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C9FF323" w14:textId="77777777" w:rsidR="00BD499F" w:rsidRPr="004C23F4" w:rsidRDefault="002A2890" w:rsidP="00B40C60">
          <w:pPr>
            <w:pStyle w:val="Heading1"/>
            <w:jc w:val="center"/>
            <w:rPr>
              <w:rFonts w:ascii="Arial" w:hAnsi="Arial" w:cs="Arial"/>
            </w:rPr>
          </w:pPr>
          <w:r w:rsidRPr="002A2890">
            <w:rPr>
              <w:rFonts w:ascii="Arial" w:hAnsi="Arial" w:cs="Arial"/>
            </w:rPr>
            <w:t>o-Tolidine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4C23F4" w14:paraId="4F266CE1" w14:textId="77777777" w:rsidTr="0070140D">
        <w:trPr>
          <w:cantSplit/>
          <w:tblHeader/>
        </w:trPr>
        <w:tc>
          <w:tcPr>
            <w:tcW w:w="3978" w:type="dxa"/>
          </w:tcPr>
          <w:p w14:paraId="2F3F590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8" w:type="dxa"/>
          </w:tcPr>
          <w:p w14:paraId="2C478783" w14:textId="77777777" w:rsidR="00F43AD5" w:rsidRPr="00717D45" w:rsidRDefault="007B7943" w:rsidP="00B76A41">
            <w:pPr>
              <w:pStyle w:val="Tablefont"/>
            </w:pPr>
            <w:r>
              <w:t>119-93-7</w:t>
            </w:r>
          </w:p>
        </w:tc>
      </w:tr>
      <w:tr w:rsidR="00F43AD5" w:rsidRPr="004C23F4" w14:paraId="0AF6F69C" w14:textId="77777777" w:rsidTr="0070140D">
        <w:trPr>
          <w:cantSplit/>
        </w:trPr>
        <w:tc>
          <w:tcPr>
            <w:tcW w:w="3978" w:type="dxa"/>
          </w:tcPr>
          <w:p w14:paraId="102BC7B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8" w:type="dxa"/>
          </w:tcPr>
          <w:p w14:paraId="7A9A4286" w14:textId="77777777" w:rsidR="00F43AD5" w:rsidRPr="00717D45" w:rsidRDefault="00085246" w:rsidP="00B76A41">
            <w:pPr>
              <w:pStyle w:val="Tablefont"/>
            </w:pPr>
            <w:r>
              <w:t xml:space="preserve">3,3’-Dimethylbenzidine, 3,3’-dimethylbiphenyl-4,4’-biphenyldiamine, 3,3’-dimethylbiphenyl-4,4’-diamine, </w:t>
            </w:r>
            <w:r w:rsidR="00E05322">
              <w:t>4,4’-diamino-3,3’-dimethylbiphenyl</w:t>
            </w:r>
          </w:p>
        </w:tc>
      </w:tr>
      <w:tr w:rsidR="00F43AD5" w:rsidRPr="004C23F4" w14:paraId="2E97FE36" w14:textId="77777777" w:rsidTr="0070140D">
        <w:trPr>
          <w:cantSplit/>
        </w:trPr>
        <w:tc>
          <w:tcPr>
            <w:tcW w:w="3978" w:type="dxa"/>
          </w:tcPr>
          <w:p w14:paraId="3F5F6FC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8" w:type="dxa"/>
          </w:tcPr>
          <w:p w14:paraId="4B4EF19D" w14:textId="77777777" w:rsidR="00F43AD5" w:rsidRPr="00717D45" w:rsidRDefault="003F5F25" w:rsidP="00B76A41">
            <w:pPr>
              <w:pStyle w:val="Tablefont"/>
            </w:pPr>
            <w:r>
              <w:t>C</w:t>
            </w:r>
            <w:r w:rsidRPr="003F5F25">
              <w:rPr>
                <w:vertAlign w:val="subscript"/>
              </w:rPr>
              <w:t>14</w:t>
            </w:r>
            <w:r>
              <w:t>H</w:t>
            </w:r>
            <w:r w:rsidRPr="003F5F25">
              <w:rPr>
                <w:vertAlign w:val="subscript"/>
              </w:rPr>
              <w:t>16</w:t>
            </w:r>
            <w:r>
              <w:t>N</w:t>
            </w:r>
            <w:r w:rsidRPr="003F5F25">
              <w:rPr>
                <w:vertAlign w:val="subscript"/>
              </w:rPr>
              <w:t>2</w:t>
            </w:r>
          </w:p>
        </w:tc>
      </w:tr>
    </w:tbl>
    <w:p w14:paraId="1C0A0904" w14:textId="506601B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24635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4A281204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4808A6F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0EFAE4CC" w14:textId="77777777" w:rsidR="002C7AFE" w:rsidRPr="00EB3D1B" w:rsidRDefault="00037E5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E79470C" w14:textId="77777777" w:rsidTr="00037E52">
        <w:trPr>
          <w:cantSplit/>
        </w:trPr>
        <w:tc>
          <w:tcPr>
            <w:tcW w:w="4010" w:type="dxa"/>
            <w:vAlign w:val="center"/>
          </w:tcPr>
          <w:p w14:paraId="7E480E39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2D569AB1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424B5809" w14:textId="77777777" w:rsidTr="00037E52">
        <w:trPr>
          <w:cantSplit/>
        </w:trPr>
        <w:tc>
          <w:tcPr>
            <w:tcW w:w="4010" w:type="dxa"/>
            <w:vAlign w:val="center"/>
          </w:tcPr>
          <w:p w14:paraId="3DA793E4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60E1677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4A5FE5A4" w14:textId="77777777" w:rsidTr="00037E52">
        <w:trPr>
          <w:cantSplit/>
        </w:trPr>
        <w:tc>
          <w:tcPr>
            <w:tcW w:w="4010" w:type="dxa"/>
          </w:tcPr>
          <w:p w14:paraId="5F7D2B42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5FF16295" w14:textId="3FB693D7" w:rsidR="00037E52" w:rsidRPr="00EB3D1B" w:rsidRDefault="00E24635" w:rsidP="00037E52">
            <w:pPr>
              <w:pStyle w:val="Tablefont"/>
              <w:rPr>
                <w:b/>
              </w:rPr>
            </w:pPr>
            <w:proofErr w:type="spellStart"/>
            <w:r w:rsidRPr="00E24635">
              <w:rPr>
                <w:b/>
              </w:rPr>
              <w:t>Carc</w:t>
            </w:r>
            <w:proofErr w:type="spellEnd"/>
            <w:r w:rsidRPr="00E24635">
              <w:rPr>
                <w:b/>
              </w:rPr>
              <w:t xml:space="preserve">. </w:t>
            </w:r>
            <w:r w:rsidR="003B7912">
              <w:rPr>
                <w:b/>
              </w:rPr>
              <w:t>1B</w:t>
            </w:r>
            <w:r w:rsidR="006819B4">
              <w:rPr>
                <w:b/>
              </w:rPr>
              <w:t>, Sk.</w:t>
            </w:r>
          </w:p>
        </w:tc>
      </w:tr>
      <w:tr w:rsidR="00037E52" w:rsidRPr="004C23F4" w14:paraId="29B9F3BE" w14:textId="77777777" w:rsidTr="00037E52">
        <w:trPr>
          <w:cantSplit/>
        </w:trPr>
        <w:tc>
          <w:tcPr>
            <w:tcW w:w="4010" w:type="dxa"/>
            <w:vAlign w:val="center"/>
          </w:tcPr>
          <w:p w14:paraId="5BF9938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109E734C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6FA1B48C" w14:textId="77777777" w:rsidTr="003B7912">
        <w:trPr>
          <w:cantSplit/>
        </w:trPr>
        <w:tc>
          <w:tcPr>
            <w:tcW w:w="9026" w:type="dxa"/>
            <w:gridSpan w:val="2"/>
            <w:vAlign w:val="center"/>
          </w:tcPr>
          <w:p w14:paraId="5DC87E4A" w14:textId="4CA5B392" w:rsidR="00155999" w:rsidRPr="00EB3D1B" w:rsidRDefault="00155999" w:rsidP="00037E52">
            <w:pPr>
              <w:pStyle w:val="Tablefont"/>
              <w:rPr>
                <w:b/>
              </w:rPr>
            </w:pPr>
            <w:r w:rsidRPr="00173E9F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24635" w:rsidRPr="00173E9F">
                  <w:rPr>
                    <w:rStyle w:val="WESstatus"/>
                    <w:bCs/>
                    <w:color w:val="auto"/>
                  </w:rPr>
                  <w:t xml:space="preserve">There </w:t>
                </w:r>
                <w:proofErr w:type="gramStart"/>
                <w:r w:rsidR="00E24635" w:rsidRPr="00173E9F">
                  <w:rPr>
                    <w:rStyle w:val="WESstatus"/>
                    <w:bCs/>
                    <w:color w:val="auto"/>
                  </w:rPr>
                  <w:t>is</w:t>
                </w:r>
                <w:proofErr w:type="gramEnd"/>
                <w:r w:rsidR="00E24635" w:rsidRPr="00173E9F">
                  <w:rPr>
                    <w:rStyle w:val="WESstatus"/>
                    <w:bCs/>
                    <w:color w:val="auto"/>
                  </w:rPr>
                  <w:t xml:space="preserve"> uncertainty regarding quantification of the recommended value with available sampling and/or analysis techniques.</w:t>
                </w:r>
              </w:sdtContent>
            </w:sdt>
          </w:p>
        </w:tc>
      </w:tr>
    </w:tbl>
    <w:p w14:paraId="29984CA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2C09A5F" w14:textId="3F7F3C8B" w:rsidR="006639B4" w:rsidRDefault="00857545" w:rsidP="00857545">
      <w:pPr>
        <w:rPr>
          <w:rFonts w:cs="Arial"/>
        </w:rPr>
      </w:pPr>
      <w:r w:rsidRPr="00857545">
        <w:rPr>
          <w:rFonts w:cs="Arial"/>
        </w:rPr>
        <w:t xml:space="preserve">Insufficient data available to recommend a </w:t>
      </w:r>
      <w:r>
        <w:rPr>
          <w:rFonts w:cs="Arial"/>
        </w:rPr>
        <w:t xml:space="preserve">WES. Inhalational and dermal exposure should be </w:t>
      </w:r>
      <w:r w:rsidR="007A279F" w:rsidRPr="007A279F">
        <w:rPr>
          <w:rFonts w:cs="Arial"/>
        </w:rPr>
        <w:t xml:space="preserve">minimised as far as possible </w:t>
      </w:r>
      <w:r>
        <w:rPr>
          <w:rFonts w:cs="Arial"/>
        </w:rPr>
        <w:t>to protect for respiratory tract irritation and cancer.</w:t>
      </w:r>
    </w:p>
    <w:p w14:paraId="0BB870F3" w14:textId="0D7FC4D0" w:rsidR="000D6FAC" w:rsidRDefault="000D6FAC" w:rsidP="000D6FAC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41EF1F34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EAC8A5B" w14:textId="77777777" w:rsidR="004B17B3" w:rsidRDefault="009511BC" w:rsidP="006639B4">
      <w:pPr>
        <w:rPr>
          <w:rFonts w:cs="Arial"/>
        </w:rPr>
      </w:pPr>
      <w:r w:rsidRPr="009511BC">
        <w:rPr>
          <w:rFonts w:cs="Arial"/>
          <w:i/>
        </w:rPr>
        <w:t>o</w:t>
      </w:r>
      <w:r>
        <w:rPr>
          <w:rFonts w:cs="Arial"/>
        </w:rPr>
        <w:t>-Tolidine is used in the production of dyes and in analytical chemistry.</w:t>
      </w:r>
      <w:r w:rsidR="00173E9F">
        <w:rPr>
          <w:rFonts w:cs="Arial"/>
        </w:rPr>
        <w:t xml:space="preserve"> </w:t>
      </w:r>
    </w:p>
    <w:p w14:paraId="59AE6240" w14:textId="77777777" w:rsidR="00130FDB" w:rsidRDefault="004B17B3" w:rsidP="006639B4">
      <w:pPr>
        <w:rPr>
          <w:rFonts w:cs="Arial"/>
        </w:rPr>
      </w:pPr>
      <w:r>
        <w:rPr>
          <w:rFonts w:cs="Arial"/>
        </w:rPr>
        <w:t>The c</w:t>
      </w:r>
      <w:r w:rsidR="009511BC">
        <w:rPr>
          <w:rFonts w:cs="Arial"/>
        </w:rPr>
        <w:t xml:space="preserve">ritical effects of exposure are respiratory tract irritation and </w:t>
      </w:r>
      <w:r w:rsidR="00857545">
        <w:rPr>
          <w:rFonts w:cs="Arial"/>
        </w:rPr>
        <w:t xml:space="preserve">potentially </w:t>
      </w:r>
      <w:r w:rsidR="009511BC">
        <w:rPr>
          <w:rFonts w:cs="Arial"/>
        </w:rPr>
        <w:t>bladder cancer.</w:t>
      </w:r>
      <w:r>
        <w:rPr>
          <w:rFonts w:cs="Arial"/>
        </w:rPr>
        <w:t xml:space="preserve"> </w:t>
      </w:r>
    </w:p>
    <w:p w14:paraId="3C028B51" w14:textId="531A4443" w:rsidR="009511BC" w:rsidRDefault="009511BC" w:rsidP="006639B4">
      <w:pPr>
        <w:rPr>
          <w:rFonts w:cs="Arial"/>
        </w:rPr>
      </w:pPr>
      <w:r>
        <w:rPr>
          <w:rFonts w:cs="Arial"/>
        </w:rPr>
        <w:t>The available toxicological database is poor</w:t>
      </w:r>
      <w:r w:rsidR="005911C8">
        <w:rPr>
          <w:rFonts w:cs="Arial"/>
        </w:rPr>
        <w:t xml:space="preserve"> (ACGIH, 2018; DFG, 1993; US EPA, 1991)</w:t>
      </w:r>
      <w:r>
        <w:rPr>
          <w:rFonts w:cs="Arial"/>
        </w:rPr>
        <w:t xml:space="preserve">. </w:t>
      </w:r>
      <w:r w:rsidR="004D04E0">
        <w:rPr>
          <w:rFonts w:cs="Arial"/>
        </w:rPr>
        <w:t xml:space="preserve">Acute exposure studies with volunteers </w:t>
      </w:r>
      <w:r w:rsidR="006819B4">
        <w:rPr>
          <w:rFonts w:cs="Arial"/>
        </w:rPr>
        <w:t>demonstrate sneezing</w:t>
      </w:r>
      <w:r w:rsidR="004D04E0">
        <w:rPr>
          <w:rFonts w:cs="Arial"/>
        </w:rPr>
        <w:t xml:space="preserve"> spasms and upper respiratory tract irritation following inhalation and rapid skin absorption following dermal application (DFG, 1993). </w:t>
      </w:r>
      <w:r>
        <w:rPr>
          <w:rFonts w:cs="Arial"/>
        </w:rPr>
        <w:t xml:space="preserve">Epidemiological studies indicate likely carcinogenic activity in exposed </w:t>
      </w:r>
      <w:r w:rsidR="0070140D">
        <w:rPr>
          <w:rFonts w:cs="Arial"/>
        </w:rPr>
        <w:t>workers but</w:t>
      </w:r>
      <w:r>
        <w:rPr>
          <w:rFonts w:cs="Arial"/>
        </w:rPr>
        <w:t xml:space="preserve"> are confounded by mixed exposures to other structurally related biphenyl amines s</w:t>
      </w:r>
      <w:r w:rsidR="004D04E0">
        <w:rPr>
          <w:rFonts w:cs="Arial"/>
        </w:rPr>
        <w:t xml:space="preserve">uch as benzidine or </w:t>
      </w:r>
      <w:r>
        <w:rPr>
          <w:rFonts w:cs="Arial"/>
        </w:rPr>
        <w:t xml:space="preserve">dye </w:t>
      </w:r>
      <w:r w:rsidR="004D04E0">
        <w:rPr>
          <w:rFonts w:cs="Arial"/>
        </w:rPr>
        <w:t>derivatives</w:t>
      </w:r>
      <w:r>
        <w:rPr>
          <w:rFonts w:cs="Arial"/>
        </w:rPr>
        <w:t xml:space="preserve">. Carcinogenic potential is </w:t>
      </w:r>
      <w:r w:rsidR="00130FDB">
        <w:rPr>
          <w:rFonts w:cs="Arial"/>
        </w:rPr>
        <w:t xml:space="preserve">reported </w:t>
      </w:r>
      <w:r>
        <w:rPr>
          <w:rFonts w:cs="Arial"/>
        </w:rPr>
        <w:t>in chronic exposure studies with animals</w:t>
      </w:r>
      <w:r w:rsidR="002B1CE0">
        <w:rPr>
          <w:rFonts w:cs="Arial"/>
        </w:rPr>
        <w:t>. H</w:t>
      </w:r>
      <w:r w:rsidR="00AD7E33">
        <w:rPr>
          <w:rFonts w:cs="Arial"/>
        </w:rPr>
        <w:t xml:space="preserve">owever, </w:t>
      </w:r>
      <w:r>
        <w:rPr>
          <w:rFonts w:cs="Arial"/>
        </w:rPr>
        <w:t xml:space="preserve">a threshold for this effect </w:t>
      </w:r>
      <w:r w:rsidR="0070140D">
        <w:rPr>
          <w:rFonts w:cs="Arial"/>
        </w:rPr>
        <w:t>i</w:t>
      </w:r>
      <w:r>
        <w:rPr>
          <w:rFonts w:cs="Arial"/>
        </w:rPr>
        <w:t>s</w:t>
      </w:r>
      <w:r w:rsidR="004D04E0">
        <w:rPr>
          <w:rFonts w:cs="Arial"/>
        </w:rPr>
        <w:t xml:space="preserve"> </w:t>
      </w:r>
      <w:r>
        <w:rPr>
          <w:rFonts w:cs="Arial"/>
        </w:rPr>
        <w:t xml:space="preserve">not determined in the available source material. </w:t>
      </w:r>
      <w:r w:rsidR="004D04E0">
        <w:rPr>
          <w:rFonts w:cs="Arial"/>
        </w:rPr>
        <w:t>G</w:t>
      </w:r>
      <w:r>
        <w:rPr>
          <w:rFonts w:cs="Arial"/>
        </w:rPr>
        <w:t>enotoxicity</w:t>
      </w:r>
      <w:r w:rsidR="004D04E0">
        <w:rPr>
          <w:rFonts w:cs="Arial"/>
        </w:rPr>
        <w:t xml:space="preserve"> and </w:t>
      </w:r>
      <w:proofErr w:type="spellStart"/>
      <w:r w:rsidR="004D04E0">
        <w:rPr>
          <w:rFonts w:cs="Arial"/>
        </w:rPr>
        <w:t>clastogenicity</w:t>
      </w:r>
      <w:proofErr w:type="spellEnd"/>
      <w:r w:rsidR="004D04E0">
        <w:rPr>
          <w:rFonts w:cs="Arial"/>
        </w:rPr>
        <w:t xml:space="preserve"> are</w:t>
      </w:r>
      <w:r>
        <w:rPr>
          <w:rFonts w:cs="Arial"/>
        </w:rPr>
        <w:t xml:space="preserve"> </w:t>
      </w:r>
      <w:r w:rsidR="00130FDB">
        <w:rPr>
          <w:rFonts w:cs="Arial"/>
        </w:rPr>
        <w:t xml:space="preserve">reported </w:t>
      </w:r>
      <w:r>
        <w:rPr>
          <w:rFonts w:cs="Arial"/>
          <w:i/>
        </w:rPr>
        <w:t>in vitro</w:t>
      </w:r>
      <w:r w:rsidR="004D04E0">
        <w:rPr>
          <w:rFonts w:cs="Arial"/>
        </w:rPr>
        <w:t xml:space="preserve"> and </w:t>
      </w:r>
      <w:r w:rsidR="004D04E0">
        <w:rPr>
          <w:rFonts w:cs="Arial"/>
          <w:i/>
        </w:rPr>
        <w:t xml:space="preserve">in </w:t>
      </w:r>
      <w:r w:rsidR="004D04E0" w:rsidRPr="004D04E0">
        <w:rPr>
          <w:rFonts w:cs="Arial"/>
          <w:i/>
        </w:rPr>
        <w:t>vivo</w:t>
      </w:r>
      <w:r w:rsidR="004D04E0">
        <w:rPr>
          <w:rFonts w:cs="Arial"/>
        </w:rPr>
        <w:t xml:space="preserve">, respectively </w:t>
      </w:r>
      <w:r w:rsidR="004D04E0" w:rsidRPr="004D04E0">
        <w:rPr>
          <w:rFonts w:cs="Arial"/>
        </w:rPr>
        <w:t>and</w:t>
      </w:r>
      <w:r w:rsidR="004D04E0">
        <w:rPr>
          <w:rFonts w:cs="Arial"/>
        </w:rPr>
        <w:t xml:space="preserve"> are supported by evidence </w:t>
      </w:r>
      <w:r w:rsidR="007C6D83">
        <w:rPr>
          <w:rFonts w:cs="Arial"/>
        </w:rPr>
        <w:t>for the formation of</w:t>
      </w:r>
      <w:r w:rsidR="00AD7E33">
        <w:rPr>
          <w:rFonts w:cs="Arial"/>
        </w:rPr>
        <w:t xml:space="preserve"> </w:t>
      </w:r>
      <w:r w:rsidR="007C6D83">
        <w:rPr>
          <w:rFonts w:cs="Arial"/>
        </w:rPr>
        <w:t>genotoxic metabolites from the pure substance or dye product derivatives</w:t>
      </w:r>
      <w:r w:rsidR="00AD7E33">
        <w:rPr>
          <w:rFonts w:cs="Arial"/>
        </w:rPr>
        <w:t xml:space="preserve"> </w:t>
      </w:r>
      <w:r w:rsidR="004D04E0">
        <w:rPr>
          <w:rFonts w:cs="Arial"/>
        </w:rPr>
        <w:t>(ACG</w:t>
      </w:r>
      <w:r w:rsidR="00407BE5">
        <w:rPr>
          <w:rFonts w:cs="Arial"/>
        </w:rPr>
        <w:t>I</w:t>
      </w:r>
      <w:r w:rsidR="004D04E0">
        <w:rPr>
          <w:rFonts w:cs="Arial"/>
        </w:rPr>
        <w:t>H, 2018; DFG, 1993).</w:t>
      </w:r>
    </w:p>
    <w:p w14:paraId="5F640FB9" w14:textId="675854A5" w:rsidR="006819B4" w:rsidRPr="009511BC" w:rsidRDefault="00F563E0" w:rsidP="006639B4">
      <w:pPr>
        <w:rPr>
          <w:rFonts w:cs="Arial"/>
          <w:i/>
        </w:rPr>
      </w:pPr>
      <w:r w:rsidRPr="00F563E0">
        <w:rPr>
          <w:rFonts w:cs="Arial"/>
        </w:rPr>
        <w:t xml:space="preserve">The </w:t>
      </w:r>
      <w:r>
        <w:rPr>
          <w:rFonts w:cs="Arial"/>
        </w:rPr>
        <w:t xml:space="preserve">available data </w:t>
      </w:r>
      <w:r w:rsidRPr="00F563E0">
        <w:rPr>
          <w:rFonts w:cs="Arial"/>
        </w:rPr>
        <w:t>summaries in the primary source</w:t>
      </w:r>
      <w:r>
        <w:rPr>
          <w:rFonts w:cs="Arial"/>
        </w:rPr>
        <w:t>s</w:t>
      </w:r>
      <w:r w:rsidRPr="00F563E0">
        <w:rPr>
          <w:rFonts w:cs="Arial"/>
        </w:rPr>
        <w:t xml:space="preserve"> are brief and </w:t>
      </w:r>
      <w:r>
        <w:rPr>
          <w:rFonts w:cs="Arial"/>
        </w:rPr>
        <w:t xml:space="preserve">not </w:t>
      </w:r>
      <w:r w:rsidRPr="00F563E0">
        <w:rPr>
          <w:rFonts w:cs="Arial"/>
        </w:rPr>
        <w:t xml:space="preserve">detailed. </w:t>
      </w:r>
      <w:r w:rsidR="002D5B13">
        <w:rPr>
          <w:rFonts w:cs="Arial"/>
        </w:rPr>
        <w:t>The primary source agencies uniformly suggest that there are insufficient data to recommend a numerical TWA equivalent</w:t>
      </w:r>
      <w:r w:rsidR="00440202">
        <w:rPr>
          <w:rFonts w:cs="Arial"/>
        </w:rPr>
        <w:t xml:space="preserve"> </w:t>
      </w:r>
      <w:r w:rsidR="00F24D4B">
        <w:rPr>
          <w:rFonts w:cs="Arial"/>
        </w:rPr>
        <w:t>value</w:t>
      </w:r>
      <w:r w:rsidR="002D5B13">
        <w:rPr>
          <w:rFonts w:cs="Arial"/>
        </w:rPr>
        <w:t xml:space="preserve"> (ACGIH, 2018; DFG, 1993). </w:t>
      </w:r>
      <w:r w:rsidR="00857545">
        <w:rPr>
          <w:rFonts w:cs="Arial"/>
        </w:rPr>
        <w:t>In view of the</w:t>
      </w:r>
      <w:r w:rsidR="002D5B13">
        <w:rPr>
          <w:rFonts w:cs="Arial"/>
        </w:rPr>
        <w:t>se recommendations, the</w:t>
      </w:r>
      <w:r w:rsidR="00857545">
        <w:rPr>
          <w:rFonts w:cs="Arial"/>
        </w:rPr>
        <w:t xml:space="preserve"> </w:t>
      </w:r>
      <w:r w:rsidR="00AD7E33">
        <w:rPr>
          <w:rFonts w:cs="Arial"/>
        </w:rPr>
        <w:t>unconfirmed</w:t>
      </w:r>
      <w:r w:rsidR="00857545">
        <w:rPr>
          <w:rFonts w:cs="Arial"/>
        </w:rPr>
        <w:t xml:space="preserve"> but </w:t>
      </w:r>
      <w:r w:rsidR="00AD7E33">
        <w:rPr>
          <w:rFonts w:cs="Arial"/>
        </w:rPr>
        <w:t>likely</w:t>
      </w:r>
      <w:r w:rsidR="00857545">
        <w:rPr>
          <w:rFonts w:cs="Arial"/>
        </w:rPr>
        <w:t xml:space="preserve"> genotoxic carcinogenicity</w:t>
      </w:r>
      <w:r w:rsidR="007C6D83">
        <w:rPr>
          <w:rFonts w:cs="Arial"/>
        </w:rPr>
        <w:t xml:space="preserve"> (NICNAS, 2014)</w:t>
      </w:r>
      <w:r w:rsidR="00857545">
        <w:rPr>
          <w:rFonts w:cs="Arial"/>
        </w:rPr>
        <w:t xml:space="preserve"> and inadequacy of the available database</w:t>
      </w:r>
      <w:r w:rsidR="002D5B13">
        <w:rPr>
          <w:rFonts w:cs="Arial"/>
        </w:rPr>
        <w:t xml:space="preserve"> for determining an inhalational carcinogenic unit risk factor</w:t>
      </w:r>
      <w:r w:rsidR="005911C8">
        <w:rPr>
          <w:rFonts w:cs="Arial"/>
        </w:rPr>
        <w:t xml:space="preserve"> (US EPA, 1991)</w:t>
      </w:r>
      <w:r w:rsidR="00857545">
        <w:rPr>
          <w:rFonts w:cs="Arial"/>
        </w:rPr>
        <w:t>,</w:t>
      </w:r>
      <w:r w:rsidR="007A279F">
        <w:rPr>
          <w:rFonts w:cs="Arial"/>
        </w:rPr>
        <w:t xml:space="preserve"> </w:t>
      </w:r>
      <w:r w:rsidR="007A279F" w:rsidRPr="007A279F">
        <w:rPr>
          <w:rFonts w:cs="Arial"/>
        </w:rPr>
        <w:t xml:space="preserve">a </w:t>
      </w:r>
      <w:r w:rsidR="007A279F">
        <w:rPr>
          <w:rFonts w:cs="Arial"/>
        </w:rPr>
        <w:t xml:space="preserve">WES value </w:t>
      </w:r>
      <w:r w:rsidR="007A279F" w:rsidRPr="007A279F">
        <w:rPr>
          <w:rFonts w:cs="Arial"/>
        </w:rPr>
        <w:t xml:space="preserve">that minimises the risk of </w:t>
      </w:r>
      <w:r w:rsidR="007A279F" w:rsidRPr="007A279F">
        <w:rPr>
          <w:rFonts w:cs="Arial"/>
        </w:rPr>
        <w:lastRenderedPageBreak/>
        <w:t xml:space="preserve">cancer </w:t>
      </w:r>
      <w:r w:rsidR="007A279F">
        <w:rPr>
          <w:rFonts w:cs="Arial"/>
        </w:rPr>
        <w:t>can</w:t>
      </w:r>
      <w:r w:rsidR="003B7912">
        <w:rPr>
          <w:rFonts w:cs="Arial"/>
        </w:rPr>
        <w:t xml:space="preserve">not </w:t>
      </w:r>
      <w:r w:rsidR="007A279F">
        <w:rPr>
          <w:rFonts w:cs="Arial"/>
        </w:rPr>
        <w:t xml:space="preserve">be </w:t>
      </w:r>
      <w:r w:rsidR="003B7912">
        <w:rPr>
          <w:rFonts w:cs="Arial"/>
        </w:rPr>
        <w:t>recommended</w:t>
      </w:r>
      <w:r w:rsidR="00857545">
        <w:rPr>
          <w:rFonts w:cs="Arial"/>
        </w:rPr>
        <w:t>.</w:t>
      </w:r>
      <w:r w:rsidR="007A279F" w:rsidRPr="007A279F">
        <w:t xml:space="preserve"> </w:t>
      </w:r>
      <w:r>
        <w:t>A</w:t>
      </w:r>
      <w:r w:rsidRPr="00F563E0">
        <w:t xml:space="preserve"> further review of the literature </w:t>
      </w:r>
      <w:r>
        <w:t xml:space="preserve">is recommended </w:t>
      </w:r>
      <w:r w:rsidRPr="00F563E0">
        <w:t>at the next scheduled review</w:t>
      </w:r>
    </w:p>
    <w:p w14:paraId="72B6B630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FB6A25D" w14:textId="1D99577F" w:rsidR="003B7912" w:rsidRPr="003B7912" w:rsidRDefault="003B7912" w:rsidP="008E4F1F">
      <w:pPr>
        <w:rPr>
          <w:rFonts w:cs="Arial"/>
        </w:rPr>
      </w:pPr>
      <w:r w:rsidRPr="003B7912">
        <w:rPr>
          <w:rFonts w:cs="Arial"/>
        </w:rPr>
        <w:t xml:space="preserve">Classified as a category 1B carcinogen according to the Globally Harmonized System of Classification and Labelling of Chemicals (GHS). </w:t>
      </w:r>
    </w:p>
    <w:p w14:paraId="2EB6EDCB" w14:textId="5D40F2FC" w:rsidR="008E4F1F" w:rsidRPr="003B7912" w:rsidRDefault="008E4F1F" w:rsidP="008E4F1F">
      <w:pPr>
        <w:rPr>
          <w:rFonts w:cs="Arial"/>
        </w:rPr>
      </w:pPr>
      <w:r w:rsidRPr="003B7912">
        <w:rPr>
          <w:rFonts w:cs="Arial"/>
        </w:rPr>
        <w:t xml:space="preserve">Not classified as a skin </w:t>
      </w:r>
      <w:r w:rsidR="00155999" w:rsidRPr="003B7912">
        <w:rPr>
          <w:rFonts w:cs="Arial"/>
        </w:rPr>
        <w:t xml:space="preserve">sensitiser </w:t>
      </w:r>
      <w:r w:rsidRPr="003B7912">
        <w:rPr>
          <w:rFonts w:cs="Arial"/>
        </w:rPr>
        <w:t>or respiratory sensitiser according to the GHS.</w:t>
      </w:r>
    </w:p>
    <w:p w14:paraId="73B55208" w14:textId="7056956A" w:rsidR="0025734A" w:rsidRPr="003B7912" w:rsidRDefault="003B7912">
      <w:pPr>
        <w:rPr>
          <w:rFonts w:cs="Arial"/>
        </w:rPr>
      </w:pPr>
      <w:r w:rsidRPr="003B7912">
        <w:rPr>
          <w:rFonts w:cs="Arial"/>
        </w:rPr>
        <w:t>A skin notation is recommended due to evidence of dermal absorption and contribution to adverse systemic effects.</w:t>
      </w:r>
    </w:p>
    <w:p w14:paraId="0E18F88B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F0394E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773784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45C4544" w14:textId="77777777" w:rsidTr="005841F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3D9C4B6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3046D1" w14:textId="77777777" w:rsidTr="005841F0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2DA4907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E088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E088F">
                  <w:t>Not assigned</w:t>
                </w:r>
              </w:sdtContent>
            </w:sdt>
          </w:p>
        </w:tc>
      </w:tr>
      <w:tr w:rsidR="00C978F0" w:rsidRPr="00DA352E" w14:paraId="00045C2E" w14:textId="77777777" w:rsidTr="005841F0">
        <w:trPr>
          <w:gridAfter w:val="1"/>
          <w:wAfter w:w="8" w:type="pct"/>
          <w:cantSplit/>
        </w:trPr>
        <w:tc>
          <w:tcPr>
            <w:tcW w:w="4992" w:type="pct"/>
          </w:tcPr>
          <w:p w14:paraId="66199F62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8B5DBA3" w14:textId="77777777" w:rsidTr="005841F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251019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80C2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80C26">
                  <w:t>Not assigned</w:t>
                </w:r>
              </w:sdtContent>
            </w:sdt>
          </w:p>
        </w:tc>
      </w:tr>
      <w:tr w:rsidR="00C978F0" w:rsidRPr="00DA352E" w14:paraId="2F3CA184" w14:textId="77777777" w:rsidTr="005841F0">
        <w:trPr>
          <w:gridAfter w:val="1"/>
          <w:wAfter w:w="8" w:type="pct"/>
          <w:cantSplit/>
        </w:trPr>
        <w:tc>
          <w:tcPr>
            <w:tcW w:w="4992" w:type="pct"/>
          </w:tcPr>
          <w:p w14:paraId="1C75D176" w14:textId="194A87D7" w:rsidR="00C978F0" w:rsidRDefault="007056AC" w:rsidP="003365A5">
            <w:pPr>
              <w:pStyle w:val="Tabletextprimarysource"/>
            </w:pPr>
            <w:r>
              <w:t>TLV</w:t>
            </w:r>
            <w:r w:rsidR="00AC3DCB">
              <w:t>-TWA</w:t>
            </w:r>
            <w:r>
              <w:t xml:space="preserve"> not established due to lack of adequate experimental or occupational data.</w:t>
            </w:r>
          </w:p>
          <w:p w14:paraId="0B7B99BE" w14:textId="33D0CB1C" w:rsidR="007056AC" w:rsidRDefault="007056AC" w:rsidP="003365A5">
            <w:pPr>
              <w:pStyle w:val="Tabletextprimarysource"/>
            </w:pPr>
            <w:r>
              <w:t>Summary of information:</w:t>
            </w:r>
          </w:p>
          <w:p w14:paraId="76D1DA86" w14:textId="06667910" w:rsidR="007056AC" w:rsidRDefault="00137F41" w:rsidP="003365A5">
            <w:pPr>
              <w:pStyle w:val="Tabletextprimarysource"/>
            </w:pPr>
            <w:r>
              <w:t>Based on structural and toxicological similarity to biphenyl amine, benzidine, carcinogenicity and appreciable skin absorption expected</w:t>
            </w:r>
            <w:r w:rsidR="00173E9F">
              <w:t xml:space="preserve">; </w:t>
            </w:r>
            <w:r>
              <w:t>A3 carcinogenicity and skin notations recommended. Carcinogenicity notation supported by limited epidemiological studies and demonstrated tumorigenicity in animal studies.</w:t>
            </w:r>
          </w:p>
          <w:p w14:paraId="7FF1F9BC" w14:textId="6C0CD0EE" w:rsidR="007056AC" w:rsidRDefault="007056AC" w:rsidP="003365A5">
            <w:pPr>
              <w:pStyle w:val="Tabletextprimarysource"/>
            </w:pPr>
            <w:r>
              <w:t>Human data:</w:t>
            </w:r>
          </w:p>
          <w:p w14:paraId="02D376F0" w14:textId="6288451F" w:rsidR="007056AC" w:rsidRDefault="00F94047" w:rsidP="00F94047">
            <w:pPr>
              <w:pStyle w:val="Tabletextprimarysource"/>
              <w:numPr>
                <w:ilvl w:val="0"/>
                <w:numId w:val="2"/>
              </w:numPr>
            </w:pPr>
            <w:r>
              <w:t>Rapidly absorbed through intact human skin</w:t>
            </w:r>
            <w:r w:rsidR="009F1E58">
              <w:t xml:space="preserve"> (no further details provided)</w:t>
            </w:r>
          </w:p>
          <w:p w14:paraId="0356DE6A" w14:textId="3B7870CF" w:rsidR="00F94047" w:rsidRDefault="00F94047" w:rsidP="00F94047">
            <w:pPr>
              <w:pStyle w:val="Tabletextprimarysource"/>
              <w:numPr>
                <w:ilvl w:val="0"/>
                <w:numId w:val="2"/>
              </w:numPr>
            </w:pPr>
            <w:r>
              <w:t>Most occupational exposure data are confounded by co-exposure to other biphenyl amines</w:t>
            </w:r>
          </w:p>
          <w:p w14:paraId="168C999B" w14:textId="2054B5D7" w:rsidR="00F94047" w:rsidRDefault="00F94047" w:rsidP="00F94047">
            <w:pPr>
              <w:pStyle w:val="Tabletextprimarysource"/>
              <w:numPr>
                <w:ilvl w:val="0"/>
                <w:numId w:val="2"/>
              </w:numPr>
            </w:pPr>
            <w:r>
              <w:t>Elevated risk of bladder cancer associated with occupational exposure to biphenyl amine mixtures in dye manufacturing</w:t>
            </w:r>
          </w:p>
          <w:p w14:paraId="6CD0B545" w14:textId="53651EDE" w:rsidR="00F94047" w:rsidRDefault="00F94047" w:rsidP="00F94047">
            <w:pPr>
              <w:pStyle w:val="Tabletextprimarysource"/>
              <w:numPr>
                <w:ilvl w:val="0"/>
                <w:numId w:val="2"/>
              </w:numPr>
            </w:pPr>
            <w:r>
              <w:t>No evidence for skin irritation from occupational exposure</w:t>
            </w:r>
            <w:r w:rsidR="00551BE1">
              <w:t>.</w:t>
            </w:r>
          </w:p>
          <w:p w14:paraId="7A2C196C" w14:textId="42B8198C" w:rsidR="007056AC" w:rsidRDefault="007056AC" w:rsidP="003365A5">
            <w:pPr>
              <w:pStyle w:val="Tabletextprimarysource"/>
            </w:pPr>
            <w:r>
              <w:t>Animal data:</w:t>
            </w:r>
          </w:p>
          <w:p w14:paraId="057A94D9" w14:textId="7C9F4EFA" w:rsidR="000A7637" w:rsidRDefault="007056AC" w:rsidP="007056A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Dose-dependent mortality </w:t>
            </w:r>
            <w:r w:rsidR="008E7733">
              <w:t xml:space="preserve">at </w:t>
            </w:r>
            <w:r w:rsidR="00173E9F">
              <w:t>&gt;</w:t>
            </w:r>
            <w:r>
              <w:t>5,000 ppm</w:t>
            </w:r>
            <w:r w:rsidR="00543947">
              <w:t xml:space="preserve"> reported</w:t>
            </w:r>
            <w:r>
              <w:t xml:space="preserve"> in</w:t>
            </w:r>
            <w:r w:rsidR="00543947">
              <w:t xml:space="preserve"> an</w:t>
            </w:r>
            <w:r w:rsidR="009F1E58">
              <w:t xml:space="preserve"> acute</w:t>
            </w:r>
            <w:r>
              <w:t xml:space="preserve"> </w:t>
            </w:r>
            <w:r w:rsidR="000A7637">
              <w:t>drinking water</w:t>
            </w:r>
            <w:r>
              <w:t xml:space="preserve"> study with dose groups 600, 1,250, 2,500, 5,000 and 7,500 ppm of drinking water (rats, 14 d)</w:t>
            </w:r>
            <w:r w:rsidR="00C667B2">
              <w:t>:</w:t>
            </w:r>
            <w:r>
              <w:t xml:space="preserve"> </w:t>
            </w:r>
          </w:p>
          <w:p w14:paraId="7756C967" w14:textId="4B7747BA" w:rsidR="007056AC" w:rsidRDefault="007056AC" w:rsidP="00173E9F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 xml:space="preserve">necrotic hepatocytes, nephropathy and bone marrow depression </w:t>
            </w:r>
            <w:r w:rsidR="000A7637">
              <w:t>observed at</w:t>
            </w:r>
            <w:r w:rsidR="00130FDB">
              <w:t xml:space="preserve"> </w:t>
            </w:r>
            <w:r w:rsidR="000A7637">
              <w:t>2,</w:t>
            </w:r>
            <w:r w:rsidR="00130FDB">
              <w:t>500 </w:t>
            </w:r>
            <w:r w:rsidR="000A7637">
              <w:t xml:space="preserve">ppm </w:t>
            </w:r>
          </w:p>
          <w:p w14:paraId="6BE8C009" w14:textId="2982AC88" w:rsidR="000A7637" w:rsidRDefault="000A7637" w:rsidP="007056AC">
            <w:pPr>
              <w:pStyle w:val="Tabletextprimarysource"/>
              <w:numPr>
                <w:ilvl w:val="0"/>
                <w:numId w:val="1"/>
              </w:numPr>
            </w:pPr>
            <w:r>
              <w:t>Similar observations made in sub</w:t>
            </w:r>
            <w:r w:rsidR="00440202">
              <w:t>-</w:t>
            </w:r>
            <w:r>
              <w:t>chronic drinking water study with dose groups 300, 500, 1,000, 2,000 and 4,000 ppm</w:t>
            </w:r>
            <w:r w:rsidR="009F1E58">
              <w:t xml:space="preserve"> of drinking water</w:t>
            </w:r>
            <w:r>
              <w:t xml:space="preserve"> (rats, 13 </w:t>
            </w:r>
            <w:proofErr w:type="spellStart"/>
            <w:r>
              <w:t>wk</w:t>
            </w:r>
            <w:proofErr w:type="spellEnd"/>
            <w:r>
              <w:t>)</w:t>
            </w:r>
          </w:p>
          <w:p w14:paraId="1BD5B2AB" w14:textId="30641509" w:rsidR="006E69ED" w:rsidRDefault="000A7637" w:rsidP="00522556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reduced thymus weight and lymphocyte atrophy in thymus, spleen and lymph nodes at 1,000</w:t>
            </w:r>
            <w:r w:rsidR="009F1E58">
              <w:t>–4,000</w:t>
            </w:r>
            <w:r>
              <w:t xml:space="preserve"> ppm</w:t>
            </w:r>
            <w:r w:rsidR="009F1E58">
              <w:t xml:space="preserve"> (no further details provided)</w:t>
            </w:r>
          </w:p>
          <w:p w14:paraId="6F958577" w14:textId="3578064E" w:rsidR="006E69ED" w:rsidRDefault="006E69ED" w:rsidP="006E69ED">
            <w:pPr>
              <w:pStyle w:val="Tabletextprimarysource"/>
              <w:numPr>
                <w:ilvl w:val="0"/>
                <w:numId w:val="1"/>
              </w:numPr>
            </w:pPr>
            <w:r>
              <w:t>Mammary carcinomas reported following administration by gavage (rats, no further details provided)</w:t>
            </w:r>
          </w:p>
          <w:p w14:paraId="5896A0CC" w14:textId="7AF6064C" w:rsidR="006E69ED" w:rsidRDefault="006E69ED" w:rsidP="006E69ED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Dose-related incidence of fatal lung tumours in chronic drinking water study with dose groups 0, 5, 9, 18, 35, 70 and 140 ppm of drinking water (mice, 2 </w:t>
            </w:r>
            <w:proofErr w:type="spellStart"/>
            <w:r>
              <w:t>yr</w:t>
            </w:r>
            <w:proofErr w:type="spellEnd"/>
            <w:r>
              <w:t>, no further details)</w:t>
            </w:r>
          </w:p>
          <w:p w14:paraId="0933FA59" w14:textId="3A7D9CDC" w:rsidR="006E69ED" w:rsidRDefault="006E69ED" w:rsidP="006E69ED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Increased incidence of skin, lung, liver and intestinal tumours in repeat drinking water study with dose groups 0, 30, 70 and 150 ppm (rats, 14 </w:t>
            </w:r>
            <w:proofErr w:type="spellStart"/>
            <w:r>
              <w:t>mo</w:t>
            </w:r>
            <w:proofErr w:type="spellEnd"/>
            <w:r>
              <w:t>)</w:t>
            </w:r>
          </w:p>
          <w:p w14:paraId="3EB1CA52" w14:textId="7B713CBA" w:rsidR="00F94047" w:rsidRDefault="00F94047" w:rsidP="006E69ED">
            <w:pPr>
              <w:pStyle w:val="Tabletextprimarysource"/>
              <w:numPr>
                <w:ilvl w:val="0"/>
                <w:numId w:val="1"/>
              </w:numPr>
            </w:pPr>
            <w:r>
              <w:t>Conflicting r</w:t>
            </w:r>
            <w:r w:rsidR="006E69ED">
              <w:t xml:space="preserve">esults </w:t>
            </w:r>
            <w:r>
              <w:t>reported for</w:t>
            </w:r>
            <w:r w:rsidR="006E69ED">
              <w:t xml:space="preserve"> </w:t>
            </w:r>
            <w:r w:rsidR="006E69ED">
              <w:rPr>
                <w:i/>
              </w:rPr>
              <w:t>in vitro</w:t>
            </w:r>
            <w:r w:rsidR="006E69ED">
              <w:t xml:space="preserve"> mutagenicity assays </w:t>
            </w:r>
            <w:r>
              <w:t>with bacterial and mammalian cells in the presence or absence of metabolic activation</w:t>
            </w:r>
            <w:r w:rsidR="00C667B2">
              <w:t>:</w:t>
            </w:r>
          </w:p>
          <w:p w14:paraId="3B2254C7" w14:textId="524EE49B" w:rsidR="006E69ED" w:rsidRDefault="00F94047" w:rsidP="00173E9F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dyes produced from o-tolidine are converted to genotoxic metabolites in the liver</w:t>
            </w:r>
          </w:p>
          <w:p w14:paraId="6E7DD521" w14:textId="77777777" w:rsidR="0070140D" w:rsidRDefault="0070140D" w:rsidP="003365A5">
            <w:pPr>
              <w:pStyle w:val="Tabletextprimarysource"/>
            </w:pPr>
          </w:p>
          <w:p w14:paraId="28EEFA73" w14:textId="77777777" w:rsidR="007056AC" w:rsidRDefault="007056AC" w:rsidP="003365A5">
            <w:pPr>
              <w:pStyle w:val="Tabletextprimarysource"/>
            </w:pPr>
            <w:r>
              <w:t>Insufficient data to recommend a TLV or a sensitiser notation.</w:t>
            </w:r>
          </w:p>
          <w:p w14:paraId="33B7DA40" w14:textId="6C663AE9" w:rsidR="0070140D" w:rsidRPr="00DA352E" w:rsidRDefault="0070140D" w:rsidP="003365A5">
            <w:pPr>
              <w:pStyle w:val="Tabletextprimarysource"/>
            </w:pPr>
          </w:p>
        </w:tc>
      </w:tr>
      <w:tr w:rsidR="00C978F0" w:rsidRPr="00DA352E" w14:paraId="463AE53A" w14:textId="77777777" w:rsidTr="005841F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40D1DB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1751D">
                  <w:t>1993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rPr>
                  <w:highlight w:val="yellow"/>
                </w:r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>
                <w:rPr>
                  <w:highlight w:val="none"/>
                </w:rPr>
              </w:sdtEndPr>
              <w:sdtContent>
                <w:r w:rsidR="00B1751D" w:rsidRPr="00137F41">
                  <w:t>Not assigned</w:t>
                </w:r>
              </w:sdtContent>
            </w:sdt>
          </w:p>
        </w:tc>
      </w:tr>
      <w:tr w:rsidR="00C978F0" w:rsidRPr="00DA352E" w14:paraId="21A20ABA" w14:textId="77777777" w:rsidTr="005841F0">
        <w:trPr>
          <w:gridAfter w:val="1"/>
          <w:wAfter w:w="8" w:type="pct"/>
        </w:trPr>
        <w:tc>
          <w:tcPr>
            <w:tcW w:w="4992" w:type="pct"/>
          </w:tcPr>
          <w:p w14:paraId="6FD422DE" w14:textId="2B912AE5" w:rsidR="00C978F0" w:rsidRDefault="00B83D44" w:rsidP="003365A5">
            <w:pPr>
              <w:pStyle w:val="Tabletextprimarysource"/>
            </w:pPr>
            <w:r>
              <w:t>Summary of additional information:</w:t>
            </w:r>
          </w:p>
          <w:p w14:paraId="7B7DC6AD" w14:textId="77777777" w:rsidR="0070140D" w:rsidRDefault="00B83D44" w:rsidP="003365A5">
            <w:pPr>
              <w:pStyle w:val="Tabletextprimarysource"/>
            </w:pPr>
            <w:r>
              <w:t xml:space="preserve">MAK not established due to </w:t>
            </w:r>
            <w:proofErr w:type="gramStart"/>
            <w:r>
              <w:t>sufficient</w:t>
            </w:r>
            <w:proofErr w:type="gramEnd"/>
            <w:r>
              <w:t xml:space="preserve"> evidence for carcinogenicity in chronic animal studies</w:t>
            </w:r>
            <w:r w:rsidR="00C72CBE">
              <w:t xml:space="preserve"> (also cited in ACGIH, 2018)</w:t>
            </w:r>
            <w:r>
              <w:t xml:space="preserve"> and likely formation of genotoxic metabolites (Category 2). </w:t>
            </w:r>
          </w:p>
          <w:p w14:paraId="20E85D32" w14:textId="033DF8C8" w:rsidR="00B83D44" w:rsidRDefault="00B83D44" w:rsidP="003365A5">
            <w:pPr>
              <w:pStyle w:val="Tabletextprimarysource"/>
            </w:pPr>
            <w:r>
              <w:t>Skin notation recommended based on high dermal absorption rate.</w:t>
            </w:r>
          </w:p>
          <w:p w14:paraId="2F89660C" w14:textId="7B2753ED" w:rsidR="00B83D44" w:rsidRDefault="00B83D44" w:rsidP="003365A5">
            <w:pPr>
              <w:pStyle w:val="Tabletextprimarysource"/>
            </w:pPr>
            <w:r>
              <w:lastRenderedPageBreak/>
              <w:t>Human data:</w:t>
            </w:r>
          </w:p>
          <w:p w14:paraId="31C257F8" w14:textId="77FD01B6" w:rsidR="001814E9" w:rsidRDefault="001814E9" w:rsidP="001814E9">
            <w:pPr>
              <w:pStyle w:val="Tabletextprimarysource"/>
              <w:numPr>
                <w:ilvl w:val="0"/>
                <w:numId w:val="1"/>
              </w:numPr>
            </w:pPr>
            <w:r>
              <w:t>Brief inhalation causes sneezing spasms and irritation of the upper respiratory tract (no further details provided)</w:t>
            </w:r>
          </w:p>
          <w:p w14:paraId="10776EDA" w14:textId="72D6143D" w:rsidR="001814E9" w:rsidRDefault="001814E9" w:rsidP="001814E9">
            <w:pPr>
              <w:pStyle w:val="Tabletextprimarysource"/>
              <w:numPr>
                <w:ilvl w:val="0"/>
                <w:numId w:val="1"/>
              </w:numPr>
            </w:pPr>
            <w:r>
              <w:t>Haematuria and kidney tumours reported in production workers exposed to mixtures containing the substance</w:t>
            </w:r>
          </w:p>
          <w:p w14:paraId="19D36465" w14:textId="1521B47A" w:rsidR="001814E9" w:rsidRDefault="003F240B" w:rsidP="001814E9">
            <w:pPr>
              <w:pStyle w:val="Tabletextprimarysource"/>
              <w:numPr>
                <w:ilvl w:val="0"/>
                <w:numId w:val="1"/>
              </w:numPr>
            </w:pPr>
            <w:r>
              <w:t>Urinary e</w:t>
            </w:r>
            <w:r w:rsidR="00EB1E25">
              <w:t xml:space="preserve">xcretion of </w:t>
            </w:r>
            <w:r w:rsidR="001814E9">
              <w:t xml:space="preserve">0.082 mg of </w:t>
            </w:r>
            <w:r w:rsidR="00EB1E25">
              <w:t>a 130</w:t>
            </w:r>
            <w:r w:rsidR="00C96D8D">
              <w:t xml:space="preserve"> </w:t>
            </w:r>
            <w:r w:rsidR="001814E9">
              <w:t xml:space="preserve">mg dermal dose after 24 h </w:t>
            </w:r>
            <w:r w:rsidR="00EB1E25">
              <w:t xml:space="preserve">reported </w:t>
            </w:r>
            <w:r w:rsidR="001814E9">
              <w:t>in volunteer dermal application study</w:t>
            </w:r>
          </w:p>
          <w:p w14:paraId="00AB38D6" w14:textId="31139DE0" w:rsidR="00EB1E25" w:rsidRDefault="003F240B" w:rsidP="001814E9">
            <w:pPr>
              <w:pStyle w:val="Tabletextprimarysource"/>
              <w:numPr>
                <w:ilvl w:val="0"/>
                <w:numId w:val="1"/>
              </w:numPr>
            </w:pPr>
            <w:r>
              <w:t>Urinary e</w:t>
            </w:r>
            <w:r w:rsidR="00EB1E25">
              <w:t>xcretion of 5.6–7.47 mg/d of 100</w:t>
            </w:r>
            <w:r w:rsidR="0070140D">
              <w:t xml:space="preserve"> </w:t>
            </w:r>
            <w:r w:rsidR="00EB1E25">
              <w:t>mg oral dose over 4 d reported in volunteer oral dose study</w:t>
            </w:r>
          </w:p>
          <w:p w14:paraId="7B8332EB" w14:textId="06A5CB61" w:rsidR="00C72CBE" w:rsidRDefault="00C72CBE" w:rsidP="001814E9">
            <w:pPr>
              <w:pStyle w:val="Tabletextprimarysource"/>
              <w:numPr>
                <w:ilvl w:val="0"/>
                <w:numId w:val="1"/>
              </w:numPr>
            </w:pPr>
            <w:r>
              <w:t>Available epidemiological data and results of case studies are conflicting or confounded by mixed exposures to other biphenyl amines and dye derivatives</w:t>
            </w:r>
            <w:r w:rsidR="00C667B2">
              <w:t>:</w:t>
            </w:r>
          </w:p>
          <w:p w14:paraId="0208D1B3" w14:textId="26ED4844" w:rsidR="00C72CBE" w:rsidRDefault="00C72CBE" w:rsidP="00173E9F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 xml:space="preserve">no evidence for increased tumorigenicity over 20 </w:t>
            </w:r>
            <w:proofErr w:type="spellStart"/>
            <w:r>
              <w:t>yr</w:t>
            </w:r>
            <w:proofErr w:type="spellEnd"/>
            <w:r>
              <w:t xml:space="preserve"> in workers exposed to mixtures containing substance reported in 1 study</w:t>
            </w:r>
          </w:p>
          <w:p w14:paraId="3EACBBE1" w14:textId="7D051E9F" w:rsidR="00C72CBE" w:rsidRDefault="00C72CBE" w:rsidP="00173E9F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 xml:space="preserve">23 cases of urinary passage cancers in workers exposed to mixtures reported in a separate study; 14 cases involved workers with &lt;6 </w:t>
            </w:r>
            <w:proofErr w:type="spellStart"/>
            <w:r>
              <w:t>yr</w:t>
            </w:r>
            <w:proofErr w:type="spellEnd"/>
            <w:r>
              <w:t xml:space="preserve"> employment</w:t>
            </w:r>
          </w:p>
          <w:p w14:paraId="78EFA39E" w14:textId="1B89FFF5" w:rsidR="00C72CBE" w:rsidRDefault="003F240B" w:rsidP="00C72CB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Cited investigation of occupationally induced bladder cancer </w:t>
            </w:r>
            <w:r w:rsidR="00C72CBE">
              <w:t xml:space="preserve">concludes </w:t>
            </w:r>
            <w:r w:rsidR="00C72CBE">
              <w:rPr>
                <w:i/>
              </w:rPr>
              <w:t>o</w:t>
            </w:r>
            <w:r w:rsidR="00C72CBE">
              <w:t>-tolidine should be treated as a human carcinogen</w:t>
            </w:r>
            <w:r w:rsidR="0017351B">
              <w:t>, analogous to benzidine</w:t>
            </w:r>
            <w:r>
              <w:t xml:space="preserve"> (no further details provided)</w:t>
            </w:r>
            <w:r w:rsidR="00330BDD">
              <w:t>.</w:t>
            </w:r>
          </w:p>
          <w:p w14:paraId="2A09AEED" w14:textId="11CFBADD" w:rsidR="00B83D44" w:rsidRDefault="00B83D44" w:rsidP="003365A5">
            <w:pPr>
              <w:pStyle w:val="Tabletextprimarysource"/>
            </w:pPr>
            <w:r>
              <w:t>Animal data:</w:t>
            </w:r>
          </w:p>
          <w:p w14:paraId="4E79C5B0" w14:textId="0C2FFAA9" w:rsidR="001814E9" w:rsidRDefault="001814E9" w:rsidP="001814E9">
            <w:pPr>
              <w:pStyle w:val="Tabletextprimarysource"/>
              <w:numPr>
                <w:ilvl w:val="0"/>
                <w:numId w:val="1"/>
              </w:numPr>
            </w:pPr>
            <w:r>
              <w:t>Rapidly absorbed through skin; dermal penetration increases with temperature and humidity (no further details provided)</w:t>
            </w:r>
          </w:p>
          <w:p w14:paraId="65BF3AB2" w14:textId="77777777" w:rsidR="00C667B2" w:rsidRDefault="005F0986" w:rsidP="005F0986">
            <w:pPr>
              <w:pStyle w:val="Tabletextprimarysource"/>
              <w:numPr>
                <w:ilvl w:val="0"/>
                <w:numId w:val="1"/>
              </w:numPr>
            </w:pPr>
            <w:r>
              <w:t>Increased tumour incidence (</w:t>
            </w:r>
            <w:proofErr w:type="spellStart"/>
            <w:r>
              <w:t>Zymbal’s</w:t>
            </w:r>
            <w:proofErr w:type="spellEnd"/>
            <w:r>
              <w:t xml:space="preserve"> gland) at 10 mg/animal </w:t>
            </w:r>
            <w:r w:rsidR="001814E9">
              <w:t xml:space="preserve">of </w:t>
            </w:r>
            <w:r>
              <w:t>pure substance o</w:t>
            </w:r>
            <w:r w:rsidR="00C72CBE">
              <w:t>r</w:t>
            </w:r>
            <w:r>
              <w:t xml:space="preserve"> 1:1</w:t>
            </w:r>
            <w:r w:rsidR="00B86BB4">
              <w:t> </w:t>
            </w:r>
            <w:r>
              <w:t>mixture with benzidine in chronic subcutaneous injection study (rats, 1 d/</w:t>
            </w:r>
            <w:proofErr w:type="spellStart"/>
            <w:r>
              <w:t>wk</w:t>
            </w:r>
            <w:proofErr w:type="spellEnd"/>
            <w:r>
              <w:t xml:space="preserve">, </w:t>
            </w:r>
          </w:p>
          <w:p w14:paraId="293E888C" w14:textId="3CFA3490" w:rsidR="00B83D44" w:rsidRDefault="005F0986" w:rsidP="00C667B2">
            <w:pPr>
              <w:pStyle w:val="Tabletextprimarysource"/>
              <w:ind w:left="720"/>
            </w:pPr>
            <w:r>
              <w:t>210–225</w:t>
            </w:r>
            <w:r w:rsidR="00B86BB4">
              <w:t> </w:t>
            </w:r>
            <w:r>
              <w:t>d)</w:t>
            </w:r>
          </w:p>
          <w:p w14:paraId="56426994" w14:textId="2177F3C6" w:rsidR="005F0986" w:rsidRDefault="005F0986" w:rsidP="005F0986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Mutagenic </w:t>
            </w:r>
            <w:r>
              <w:rPr>
                <w:i/>
              </w:rPr>
              <w:t>in vitro</w:t>
            </w:r>
            <w:r>
              <w:t xml:space="preserve"> in bacteria when bacteria preincubated with hydrogen peroxide or in the presence of acetyl coenzyme A and metabolic activation</w:t>
            </w:r>
            <w:r w:rsidR="00C667B2">
              <w:t>:</w:t>
            </w:r>
          </w:p>
          <w:p w14:paraId="644BB49F" w14:textId="007B069F" w:rsidR="001814E9" w:rsidRDefault="001814E9" w:rsidP="00173E9F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rPr>
                <w:i/>
              </w:rPr>
              <w:t>o</w:t>
            </w:r>
            <w:r>
              <w:t>-</w:t>
            </w:r>
            <w:r w:rsidR="004D04E0">
              <w:t>t</w:t>
            </w:r>
            <w:r>
              <w:t xml:space="preserve">olidine-based dyes </w:t>
            </w:r>
            <w:r w:rsidR="004D04E0">
              <w:t>also</w:t>
            </w:r>
            <w:r>
              <w:t xml:space="preserve"> mutagenic in bacteria in the presence of metabolic activation</w:t>
            </w:r>
          </w:p>
          <w:p w14:paraId="5F3F1D53" w14:textId="2810D117" w:rsidR="001814E9" w:rsidRDefault="001814E9" w:rsidP="005F0986">
            <w:pPr>
              <w:pStyle w:val="Tabletextprimarysource"/>
              <w:numPr>
                <w:ilvl w:val="0"/>
                <w:numId w:val="1"/>
              </w:numPr>
            </w:pPr>
            <w:r>
              <w:t>Increased SCE in bone marrow cells following IP injection with dose groups 10, 20, 40 and 80 mg/kg (mice)</w:t>
            </w:r>
            <w:r w:rsidR="00330BDD">
              <w:t>.</w:t>
            </w:r>
          </w:p>
          <w:p w14:paraId="5C78CECA" w14:textId="347A9F54" w:rsidR="0070140D" w:rsidRPr="00DA352E" w:rsidRDefault="0070140D" w:rsidP="0070140D">
            <w:pPr>
              <w:pStyle w:val="Tabletextprimarysource"/>
            </w:pPr>
          </w:p>
        </w:tc>
      </w:tr>
      <w:tr w:rsidR="00C978F0" w:rsidRPr="00DA352E" w14:paraId="0380E241" w14:textId="77777777" w:rsidTr="005841F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0825843" w14:textId="4E818AF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D273C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D273C0">
                  <w:t>NA</w:t>
                </w:r>
              </w:sdtContent>
            </w:sdt>
          </w:p>
        </w:tc>
      </w:tr>
      <w:tr w:rsidR="00C978F0" w:rsidRPr="00DA352E" w14:paraId="4928E422" w14:textId="77777777" w:rsidTr="005841F0">
        <w:trPr>
          <w:gridAfter w:val="1"/>
          <w:wAfter w:w="8" w:type="pct"/>
          <w:cantSplit/>
        </w:trPr>
        <w:tc>
          <w:tcPr>
            <w:tcW w:w="4992" w:type="pct"/>
          </w:tcPr>
          <w:p w14:paraId="027477E9" w14:textId="7457A2C9" w:rsidR="00C978F0" w:rsidRPr="00DA352E" w:rsidRDefault="00D273C0" w:rsidP="003365A5">
            <w:pPr>
              <w:pStyle w:val="Tabletextprimarysource"/>
            </w:pPr>
            <w:r>
              <w:t>No report</w:t>
            </w:r>
            <w:r w:rsidR="00330BDD">
              <w:t>.</w:t>
            </w:r>
          </w:p>
        </w:tc>
      </w:tr>
      <w:tr w:rsidR="00DA352E" w:rsidRPr="00DA352E" w14:paraId="5AC2CE25" w14:textId="77777777" w:rsidTr="005841F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C4D8ED" w14:textId="18F775F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A656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7A6560">
                  <w:t>NA</w:t>
                </w:r>
              </w:sdtContent>
            </w:sdt>
          </w:p>
        </w:tc>
      </w:tr>
      <w:tr w:rsidR="00DA352E" w:rsidRPr="00DA352E" w14:paraId="7235B1AE" w14:textId="77777777" w:rsidTr="005841F0">
        <w:trPr>
          <w:gridAfter w:val="1"/>
          <w:wAfter w:w="8" w:type="pct"/>
          <w:cantSplit/>
        </w:trPr>
        <w:tc>
          <w:tcPr>
            <w:tcW w:w="4992" w:type="pct"/>
          </w:tcPr>
          <w:p w14:paraId="7E6B374E" w14:textId="610CF4F3" w:rsidR="00DA352E" w:rsidRPr="00DA352E" w:rsidRDefault="007A6560" w:rsidP="003365A5">
            <w:pPr>
              <w:pStyle w:val="Tabletextprimarysource"/>
            </w:pPr>
            <w:r>
              <w:t>No report</w:t>
            </w:r>
            <w:r w:rsidR="00330BDD">
              <w:t>.</w:t>
            </w:r>
          </w:p>
        </w:tc>
      </w:tr>
      <w:tr w:rsidR="00DA352E" w:rsidRPr="00DA352E" w14:paraId="2223E935" w14:textId="77777777" w:rsidTr="005841F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0EE5447" w14:textId="7DB6EBAB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A656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7A6560">
                  <w:t>NA</w:t>
                </w:r>
              </w:sdtContent>
            </w:sdt>
          </w:p>
        </w:tc>
      </w:tr>
      <w:tr w:rsidR="00DA352E" w:rsidRPr="00DA352E" w14:paraId="2D8196B7" w14:textId="77777777" w:rsidTr="005841F0">
        <w:trPr>
          <w:gridAfter w:val="1"/>
          <w:wAfter w:w="8" w:type="pct"/>
          <w:cantSplit/>
        </w:trPr>
        <w:tc>
          <w:tcPr>
            <w:tcW w:w="4992" w:type="pct"/>
          </w:tcPr>
          <w:p w14:paraId="56B65FAF" w14:textId="491DF8E6" w:rsidR="00DA352E" w:rsidRPr="00DA352E" w:rsidRDefault="007A6560" w:rsidP="003365A5">
            <w:pPr>
              <w:pStyle w:val="Tabletextprimarysource"/>
            </w:pPr>
            <w:r>
              <w:t>No report</w:t>
            </w:r>
            <w:r w:rsidR="00330BDD">
              <w:t>.</w:t>
            </w:r>
          </w:p>
        </w:tc>
      </w:tr>
    </w:tbl>
    <w:p w14:paraId="5F7FB1A9" w14:textId="77777777" w:rsidR="00A20751" w:rsidRPr="004C23F4" w:rsidRDefault="00A20751" w:rsidP="00B86BB4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8"/>
        <w:gridCol w:w="422"/>
        <w:gridCol w:w="661"/>
        <w:gridCol w:w="6455"/>
      </w:tblGrid>
      <w:tr w:rsidR="004966BF" w:rsidRPr="00263255" w14:paraId="7118B928" w14:textId="77777777" w:rsidTr="00584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40CF8FAA" w14:textId="77777777" w:rsidR="004966BF" w:rsidRPr="00263255" w:rsidRDefault="004966BF" w:rsidP="00173E9F">
            <w:pPr>
              <w:pStyle w:val="Tableheader"/>
              <w:keepNext/>
            </w:pPr>
            <w:bookmarkStart w:id="1" w:name="_GoBack" w:colFirst="0" w:colLast="4"/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75C73C7B" w14:textId="77777777" w:rsidR="004966BF" w:rsidRPr="00263255" w:rsidRDefault="004966BF" w:rsidP="00173E9F">
            <w:pPr>
              <w:pStyle w:val="Tableheader"/>
              <w:keepNext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7681EB6" w14:textId="77777777" w:rsidR="004966BF" w:rsidRPr="00263255" w:rsidRDefault="004966BF" w:rsidP="00173E9F">
            <w:pPr>
              <w:pStyle w:val="Tableheader"/>
              <w:keepNext/>
            </w:pPr>
            <w:r>
              <w:t>Year</w:t>
            </w:r>
          </w:p>
        </w:tc>
        <w:tc>
          <w:tcPr>
            <w:tcW w:w="6455" w:type="dxa"/>
            <w:shd w:val="clear" w:color="auto" w:fill="BFBFBF" w:themeFill="background1" w:themeFillShade="BF"/>
            <w:vAlign w:val="center"/>
          </w:tcPr>
          <w:p w14:paraId="706F18D6" w14:textId="77777777" w:rsidR="004966BF" w:rsidRPr="00263255" w:rsidRDefault="004966BF" w:rsidP="00173E9F">
            <w:pPr>
              <w:pStyle w:val="Tableheader"/>
              <w:keepNext/>
            </w:pPr>
            <w:r>
              <w:t>Additional information</w:t>
            </w:r>
          </w:p>
        </w:tc>
      </w:tr>
      <w:bookmarkEnd w:id="1"/>
      <w:tr w:rsidR="004966BF" w:rsidRPr="004C23F4" w14:paraId="0C2D7912" w14:textId="77777777" w:rsidTr="005841F0">
        <w:tc>
          <w:tcPr>
            <w:tcW w:w="1488" w:type="dxa"/>
          </w:tcPr>
          <w:p w14:paraId="01E1D7BF" w14:textId="77777777" w:rsidR="004966BF" w:rsidRPr="004C23F4" w:rsidRDefault="004966BF" w:rsidP="0070140D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501E5F07" w14:textId="7117BB06" w:rsidR="004966BF" w:rsidRPr="003B7912" w:rsidRDefault="00007C3D" w:rsidP="0070140D">
            <w:pPr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24635" w:rsidRPr="003B791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8306291" w14:textId="6D1F5459" w:rsidR="004966BF" w:rsidRPr="003B7912" w:rsidRDefault="00E24635" w:rsidP="0070140D">
            <w:pPr>
              <w:pStyle w:val="Tablefont"/>
              <w:rPr>
                <w:rStyle w:val="checkbox"/>
                <w:rFonts w:ascii="Arial" w:hAnsi="Arial" w:cs="Arial"/>
                <w:lang w:eastAsia="en-US"/>
              </w:rPr>
            </w:pPr>
            <w:r w:rsidRPr="003B7912"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55" w:type="dxa"/>
          </w:tcPr>
          <w:p w14:paraId="22429111" w14:textId="69407225" w:rsidR="003B7912" w:rsidRPr="003B7912" w:rsidRDefault="003B7912" w:rsidP="0070140D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 w:rsidRPr="003B7912">
              <w:rPr>
                <w:rFonts w:cs="Arial"/>
              </w:rPr>
              <w:t>Grouped assessment with other benzidine congeners</w:t>
            </w:r>
            <w:r w:rsidR="00C667B2">
              <w:rPr>
                <w:rFonts w:cs="Arial"/>
              </w:rPr>
              <w:t>:</w:t>
            </w:r>
          </w:p>
          <w:p w14:paraId="575132A2" w14:textId="125A79E2" w:rsidR="00E24635" w:rsidRPr="003B7912" w:rsidRDefault="003B7912" w:rsidP="0070140D">
            <w:pPr>
              <w:pStyle w:val="Tablefont"/>
              <w:numPr>
                <w:ilvl w:val="1"/>
                <w:numId w:val="1"/>
              </w:numPr>
              <w:rPr>
                <w:rFonts w:cs="Arial"/>
              </w:rPr>
            </w:pPr>
            <w:r w:rsidRPr="003B7912">
              <w:rPr>
                <w:rFonts w:cs="Arial"/>
              </w:rPr>
              <w:t xml:space="preserve">These </w:t>
            </w:r>
            <w:r w:rsidR="00E24635" w:rsidRPr="003B7912">
              <w:rPr>
                <w:rFonts w:cs="Arial"/>
              </w:rPr>
              <w:t>chemicals are all reasonably anticipated to be human carcinogens</w:t>
            </w:r>
            <w:r w:rsidRPr="003B7912">
              <w:rPr>
                <w:rFonts w:cs="Arial"/>
              </w:rPr>
              <w:t xml:space="preserve"> and have similar uses</w:t>
            </w:r>
            <w:r w:rsidR="00B86BB4">
              <w:rPr>
                <w:rFonts w:cs="Arial"/>
              </w:rPr>
              <w:t>.</w:t>
            </w:r>
          </w:p>
          <w:p w14:paraId="3BCFD991" w14:textId="4225FE94" w:rsidR="004966BF" w:rsidRPr="003B7912" w:rsidRDefault="003B7912" w:rsidP="0070140D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 w:rsidRPr="003B7912">
              <w:rPr>
                <w:rFonts w:cs="Arial"/>
              </w:rPr>
              <w:t>Several</w:t>
            </w:r>
            <w:r w:rsidR="00E24635" w:rsidRPr="003B7912">
              <w:rPr>
                <w:rFonts w:cs="Arial"/>
              </w:rPr>
              <w:t xml:space="preserve"> animal studies indicate that the chemicals are genotoxic </w:t>
            </w:r>
            <w:r w:rsidR="00E24635" w:rsidRPr="003B7912">
              <w:rPr>
                <w:rFonts w:cs="Arial"/>
                <w:i/>
              </w:rPr>
              <w:t>in</w:t>
            </w:r>
            <w:r w:rsidR="00E24635" w:rsidRPr="003B7912">
              <w:rPr>
                <w:rFonts w:cs="Arial"/>
              </w:rPr>
              <w:t xml:space="preserve"> </w:t>
            </w:r>
            <w:r w:rsidR="00E24635" w:rsidRPr="003B7912">
              <w:rPr>
                <w:rFonts w:cs="Arial"/>
                <w:i/>
              </w:rPr>
              <w:t>vivo</w:t>
            </w:r>
            <w:r w:rsidR="00E24635" w:rsidRPr="003B7912">
              <w:rPr>
                <w:rFonts w:cs="Arial"/>
              </w:rPr>
              <w:t xml:space="preserve"> and </w:t>
            </w:r>
            <w:r w:rsidR="00E24635" w:rsidRPr="003B7912">
              <w:rPr>
                <w:rFonts w:cs="Arial"/>
                <w:i/>
              </w:rPr>
              <w:t>in</w:t>
            </w:r>
            <w:r w:rsidR="00E24635" w:rsidRPr="003B7912">
              <w:rPr>
                <w:rFonts w:cs="Arial"/>
              </w:rPr>
              <w:t xml:space="preserve"> </w:t>
            </w:r>
            <w:r w:rsidR="00E24635" w:rsidRPr="003B7912">
              <w:rPr>
                <w:rFonts w:cs="Arial"/>
                <w:i/>
              </w:rPr>
              <w:t>vitro</w:t>
            </w:r>
          </w:p>
          <w:p w14:paraId="3342290C" w14:textId="6B360493" w:rsidR="00E24635" w:rsidRPr="003B7912" w:rsidRDefault="003B7912" w:rsidP="0070140D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 w:rsidRPr="003B7912">
              <w:rPr>
                <w:rFonts w:cs="Arial"/>
              </w:rPr>
              <w:lastRenderedPageBreak/>
              <w:t>Extensive binding to tissue DNA in liver, bladder and small intestine following s</w:t>
            </w:r>
            <w:r w:rsidR="00E24635" w:rsidRPr="003B7912">
              <w:rPr>
                <w:rFonts w:cs="Arial"/>
              </w:rPr>
              <w:t xml:space="preserve">ingle oral dose of </w:t>
            </w:r>
            <w:r w:rsidRPr="003B7912">
              <w:rPr>
                <w:rFonts w:cs="Arial"/>
              </w:rPr>
              <w:t>structurally related 3,3'-dichlorobenzidine (rats, mice)</w:t>
            </w:r>
            <w:r w:rsidR="00B86BB4">
              <w:rPr>
                <w:rFonts w:cs="Arial"/>
              </w:rPr>
              <w:t>.</w:t>
            </w:r>
          </w:p>
        </w:tc>
      </w:tr>
      <w:tr w:rsidR="004966BF" w:rsidRPr="004C23F4" w14:paraId="2170FE87" w14:textId="77777777" w:rsidTr="005841F0">
        <w:trPr>
          <w:cantSplit/>
        </w:trPr>
        <w:tc>
          <w:tcPr>
            <w:tcW w:w="1488" w:type="dxa"/>
          </w:tcPr>
          <w:p w14:paraId="549AB842" w14:textId="77777777" w:rsidR="004966BF" w:rsidRPr="004C23F4" w:rsidRDefault="004966BF" w:rsidP="00224EE2">
            <w:pPr>
              <w:pStyle w:val="Tablefont"/>
            </w:pPr>
            <w:r>
              <w:lastRenderedPageBreak/>
              <w:t>US EPA</w:t>
            </w:r>
          </w:p>
        </w:tc>
        <w:tc>
          <w:tcPr>
            <w:tcW w:w="422" w:type="dxa"/>
          </w:tcPr>
          <w:p w14:paraId="4E9BACAB" w14:textId="2E5433C2" w:rsidR="004966BF" w:rsidRPr="00CE617F" w:rsidRDefault="00007C3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911C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53BFD27" w14:textId="58DC843E" w:rsidR="004966BF" w:rsidRPr="004C23F4" w:rsidRDefault="005911C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1991</w:t>
            </w:r>
          </w:p>
        </w:tc>
        <w:tc>
          <w:tcPr>
            <w:tcW w:w="6455" w:type="dxa"/>
          </w:tcPr>
          <w:p w14:paraId="296BA3A0" w14:textId="34029DF5" w:rsidR="004966BF" w:rsidRPr="004C23F4" w:rsidRDefault="005911C8" w:rsidP="005911C8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 xml:space="preserve">Agency </w:t>
            </w:r>
            <w:r w:rsidRPr="005911C8">
              <w:rPr>
                <w:rFonts w:cs="Arial"/>
              </w:rPr>
              <w:t xml:space="preserve">determined </w:t>
            </w:r>
            <w:r>
              <w:rPr>
                <w:rFonts w:cs="Arial"/>
              </w:rPr>
              <w:t xml:space="preserve">database </w:t>
            </w:r>
            <w:r w:rsidRPr="005911C8">
              <w:rPr>
                <w:rFonts w:cs="Arial"/>
              </w:rPr>
              <w:t xml:space="preserve">to be inadequate for derivation of an inhalation </w:t>
            </w:r>
            <w:r>
              <w:rPr>
                <w:rFonts w:cs="Arial"/>
              </w:rPr>
              <w:t>reference dose (</w:t>
            </w:r>
            <w:proofErr w:type="spellStart"/>
            <w:r>
              <w:rPr>
                <w:rFonts w:cs="Arial"/>
              </w:rPr>
              <w:t>RfC</w:t>
            </w:r>
            <w:proofErr w:type="spellEnd"/>
            <w:r>
              <w:rPr>
                <w:rFonts w:cs="Arial"/>
              </w:rPr>
              <w:t>)</w:t>
            </w:r>
            <w:r w:rsidR="00B86BB4">
              <w:rPr>
                <w:rFonts w:cs="Arial"/>
              </w:rPr>
              <w:t>.</w:t>
            </w:r>
          </w:p>
        </w:tc>
      </w:tr>
    </w:tbl>
    <w:bookmarkEnd w:id="0"/>
    <w:p w14:paraId="315D0525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D365DE3" w14:textId="77777777" w:rsidTr="00E24635">
        <w:trPr>
          <w:trHeight w:val="454"/>
          <w:tblHeader/>
        </w:trPr>
        <w:tc>
          <w:tcPr>
            <w:tcW w:w="6597" w:type="dxa"/>
            <w:vAlign w:val="center"/>
          </w:tcPr>
          <w:p w14:paraId="589B3335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5085F21" w14:textId="4BA0F223" w:rsidR="002E0D61" w:rsidRDefault="00E2463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75795E7E" w14:textId="77777777" w:rsidTr="00E24635">
        <w:trPr>
          <w:trHeight w:val="454"/>
        </w:trPr>
        <w:tc>
          <w:tcPr>
            <w:tcW w:w="6597" w:type="dxa"/>
            <w:vAlign w:val="center"/>
          </w:tcPr>
          <w:p w14:paraId="69BCB2B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720195B" w14:textId="68228721" w:rsidR="008A36CF" w:rsidRDefault="00E24635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70140D" w14:paraId="4D9BD9FE" w14:textId="77777777" w:rsidTr="009F1E58">
        <w:trPr>
          <w:trHeight w:val="454"/>
        </w:trPr>
        <w:sdt>
          <w:sdtPr>
            <w:rPr>
              <w:b/>
            </w:rPr>
            <w:id w:val="1830936485"/>
            <w:placeholder>
              <w:docPart w:val="83D639A679764179A03480BD200818CC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2AE92777" w14:textId="5E5FC444" w:rsidR="0070140D" w:rsidRDefault="0070140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4E23193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B7CF337" w14:textId="77777777" w:rsidTr="00584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38C1373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FD2F7E6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068DD30" w14:textId="77777777" w:rsidTr="005841F0">
        <w:trPr>
          <w:cantSplit/>
        </w:trPr>
        <w:tc>
          <w:tcPr>
            <w:tcW w:w="3227" w:type="dxa"/>
          </w:tcPr>
          <w:p w14:paraId="038B7BD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919DE10" w14:textId="21A5932D" w:rsidR="00687890" w:rsidRPr="007056AC" w:rsidRDefault="00B83D44" w:rsidP="00DD2F9B">
            <w:pPr>
              <w:pStyle w:val="Tablefont"/>
              <w:rPr>
                <w:highlight w:val="yellow"/>
              </w:rPr>
            </w:pPr>
            <w:r w:rsidRPr="00B83D44">
              <w:t>NA</w:t>
            </w:r>
          </w:p>
        </w:tc>
      </w:tr>
      <w:tr w:rsidR="007925F0" w:rsidRPr="004C23F4" w14:paraId="4399C8F3" w14:textId="77777777" w:rsidTr="005841F0">
        <w:trPr>
          <w:cantSplit/>
        </w:trPr>
        <w:tc>
          <w:tcPr>
            <w:tcW w:w="3227" w:type="dxa"/>
          </w:tcPr>
          <w:p w14:paraId="21FA37F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7416A5A" w14:textId="77777777" w:rsidR="007925F0" w:rsidRPr="00DD2F9B" w:rsidRDefault="00B80C26" w:rsidP="00DD2F9B">
            <w:pPr>
              <w:pStyle w:val="Tablefont"/>
            </w:pPr>
            <w:r w:rsidRPr="00B80C26">
              <w:t>Carcinogenicity – category 1B</w:t>
            </w:r>
          </w:p>
        </w:tc>
      </w:tr>
      <w:tr w:rsidR="00AF483F" w:rsidRPr="004C23F4" w14:paraId="1043542E" w14:textId="77777777" w:rsidTr="005841F0">
        <w:trPr>
          <w:cantSplit/>
        </w:trPr>
        <w:tc>
          <w:tcPr>
            <w:tcW w:w="3227" w:type="dxa"/>
          </w:tcPr>
          <w:p w14:paraId="7DBEEC5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07DAC2F" w14:textId="023DD6AC" w:rsidR="00AF483F" w:rsidRPr="00DD2F9B" w:rsidRDefault="007A6560" w:rsidP="00DD2F9B">
            <w:pPr>
              <w:pStyle w:val="Tablefont"/>
            </w:pPr>
            <w:proofErr w:type="spellStart"/>
            <w:r w:rsidRPr="007A6560">
              <w:t>Carc</w:t>
            </w:r>
            <w:proofErr w:type="spellEnd"/>
            <w:r w:rsidRPr="007A6560">
              <w:t>. Cat</w:t>
            </w:r>
            <w:r w:rsidR="008B0906">
              <w:t>.</w:t>
            </w:r>
            <w:r w:rsidRPr="007A6560">
              <w:t xml:space="preserve"> 2</w:t>
            </w:r>
          </w:p>
        </w:tc>
      </w:tr>
      <w:tr w:rsidR="00687890" w:rsidRPr="004C23F4" w14:paraId="7365ADB3" w14:textId="77777777" w:rsidTr="005841F0">
        <w:trPr>
          <w:cantSplit/>
        </w:trPr>
        <w:tc>
          <w:tcPr>
            <w:tcW w:w="3227" w:type="dxa"/>
          </w:tcPr>
          <w:p w14:paraId="020118A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F1C152F" w14:textId="424B2D14" w:rsidR="00687890" w:rsidRPr="00DD2F9B" w:rsidRDefault="00CF1D5C" w:rsidP="00DD2F9B">
            <w:pPr>
              <w:pStyle w:val="Tablefont"/>
            </w:pPr>
            <w:r w:rsidRPr="00CF1D5C">
              <w:t>Carcinogenicity – category 1B</w:t>
            </w:r>
          </w:p>
        </w:tc>
      </w:tr>
      <w:tr w:rsidR="00E41A26" w:rsidRPr="004C23F4" w14:paraId="43AA4B09" w14:textId="77777777" w:rsidTr="005841F0">
        <w:trPr>
          <w:cantSplit/>
        </w:trPr>
        <w:tc>
          <w:tcPr>
            <w:tcW w:w="3227" w:type="dxa"/>
          </w:tcPr>
          <w:p w14:paraId="1EC5A61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F816FCA" w14:textId="50849541" w:rsidR="00E41A26" w:rsidRPr="00DD2F9B" w:rsidRDefault="00CF1D5C" w:rsidP="00DD2F9B">
            <w:pPr>
              <w:pStyle w:val="Tablefont"/>
            </w:pPr>
            <w:r w:rsidRPr="00CF1D5C">
              <w:t>Carcinogenicity – category 1B</w:t>
            </w:r>
          </w:p>
        </w:tc>
      </w:tr>
      <w:tr w:rsidR="002E0D61" w:rsidRPr="004C23F4" w14:paraId="65D124D1" w14:textId="77777777" w:rsidTr="005841F0">
        <w:trPr>
          <w:cantSplit/>
        </w:trPr>
        <w:tc>
          <w:tcPr>
            <w:tcW w:w="3227" w:type="dxa"/>
          </w:tcPr>
          <w:p w14:paraId="770D6A03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8A8FBCF" w14:textId="77777777" w:rsidR="002E0D61" w:rsidRPr="00DD2F9B" w:rsidRDefault="00B80C26" w:rsidP="00B80C26">
            <w:r>
              <w:t>Carcinogenicity – A3</w:t>
            </w:r>
          </w:p>
        </w:tc>
      </w:tr>
      <w:tr w:rsidR="002E0D61" w:rsidRPr="004C23F4" w14:paraId="1B178F70" w14:textId="77777777" w:rsidTr="005841F0">
        <w:trPr>
          <w:cantSplit/>
        </w:trPr>
        <w:tc>
          <w:tcPr>
            <w:tcW w:w="3227" w:type="dxa"/>
          </w:tcPr>
          <w:p w14:paraId="237E3FFE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D69B37D" w14:textId="0E4458B7" w:rsidR="002E0D61" w:rsidRPr="00914923" w:rsidRDefault="00D273C0" w:rsidP="00DD2F9B">
            <w:pPr>
              <w:pStyle w:val="Tablefont"/>
              <w:rPr>
                <w:highlight w:val="yellow"/>
              </w:rPr>
            </w:pPr>
            <w:r w:rsidRPr="00B83D44">
              <w:t>Carcinogenicity – 2</w:t>
            </w:r>
          </w:p>
        </w:tc>
      </w:tr>
      <w:tr w:rsidR="002E0D61" w:rsidRPr="004C23F4" w14:paraId="647BB653" w14:textId="77777777" w:rsidTr="005841F0">
        <w:trPr>
          <w:cantSplit/>
        </w:trPr>
        <w:tc>
          <w:tcPr>
            <w:tcW w:w="3227" w:type="dxa"/>
          </w:tcPr>
          <w:p w14:paraId="71E68B0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470BFD2" w14:textId="05D40616" w:rsidR="002E0D61" w:rsidRPr="00DD2F9B" w:rsidRDefault="007A656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D11908F" w14:textId="77777777" w:rsidTr="005841F0">
        <w:trPr>
          <w:cantSplit/>
        </w:trPr>
        <w:tc>
          <w:tcPr>
            <w:tcW w:w="3227" w:type="dxa"/>
          </w:tcPr>
          <w:p w14:paraId="790E829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CB4BF09" w14:textId="4CCA7A87" w:rsidR="002E0D61" w:rsidRPr="00DD2F9B" w:rsidRDefault="007A656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9CFDB25" w14:textId="77777777" w:rsidTr="005841F0">
        <w:trPr>
          <w:cantSplit/>
        </w:trPr>
        <w:tc>
          <w:tcPr>
            <w:tcW w:w="3227" w:type="dxa"/>
          </w:tcPr>
          <w:p w14:paraId="25E3CB6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EFF78F3" w14:textId="24F0DB8D" w:rsidR="00386093" w:rsidRPr="00DD2F9B" w:rsidRDefault="00F87DF8" w:rsidP="00F87DF8">
            <w:r>
              <w:t>Carcinogenicity – Group 2B</w:t>
            </w:r>
          </w:p>
        </w:tc>
      </w:tr>
      <w:tr w:rsidR="00386093" w:rsidRPr="004C23F4" w14:paraId="650DE58C" w14:textId="77777777" w:rsidTr="005841F0">
        <w:trPr>
          <w:cantSplit/>
        </w:trPr>
        <w:tc>
          <w:tcPr>
            <w:tcW w:w="3227" w:type="dxa"/>
          </w:tcPr>
          <w:p w14:paraId="5616DE40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65925DA" w14:textId="697AF707" w:rsidR="00386093" w:rsidRPr="00DD2F9B" w:rsidRDefault="00F87DF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12C256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5A35EFE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A1EB5D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780252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AEF3D2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864"/>
              <w:gridCol w:w="911"/>
              <w:gridCol w:w="790"/>
              <w:gridCol w:w="3245"/>
            </w:tblGrid>
            <w:tr w:rsidR="003B7912" w:rsidRPr="003B7912" w14:paraId="55FD675C" w14:textId="77777777" w:rsidTr="003B7912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091864" w14:textId="77777777" w:rsidR="003B7912" w:rsidRPr="003B7912" w:rsidRDefault="003B7912" w:rsidP="003B791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9F98134" w14:textId="77777777" w:rsidR="003B7912" w:rsidRPr="003B7912" w:rsidRDefault="003B7912" w:rsidP="003B791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DE8FAB" w14:textId="77777777" w:rsidR="003B7912" w:rsidRPr="003B7912" w:rsidRDefault="003B7912" w:rsidP="003B791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3A5C8D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B7912" w:rsidRPr="003B7912" w14:paraId="3D639456" w14:textId="77777777" w:rsidTr="003B7912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7321F7" w14:textId="77777777" w:rsidR="003B7912" w:rsidRPr="003B7912" w:rsidRDefault="003B7912" w:rsidP="003B791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EAEFFF" w14:textId="77777777" w:rsidR="003B7912" w:rsidRPr="003B7912" w:rsidRDefault="003B7912" w:rsidP="003B791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05FFCD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33201B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B7912" w:rsidRPr="003B7912" w14:paraId="33C3D159" w14:textId="77777777" w:rsidTr="003B7912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3E69A1" w14:textId="77777777" w:rsidR="003B7912" w:rsidRPr="003B7912" w:rsidRDefault="003B7912" w:rsidP="003B791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671CC7" w14:textId="77777777" w:rsidR="003B7912" w:rsidRPr="003B7912" w:rsidRDefault="003B7912" w:rsidP="003B791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C7EF96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3F198B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B7912" w:rsidRPr="003B7912" w14:paraId="74033583" w14:textId="77777777" w:rsidTr="003B7912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4313E0" w14:textId="77777777" w:rsidR="003B7912" w:rsidRPr="003B7912" w:rsidRDefault="003B7912" w:rsidP="003B791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5E82B0" w14:textId="77777777" w:rsidR="003B7912" w:rsidRPr="003B7912" w:rsidRDefault="003B7912" w:rsidP="003B791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C8A622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9A1422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B7912" w:rsidRPr="003B7912" w14:paraId="5E23127C" w14:textId="77777777" w:rsidTr="003B7912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28E8A3" w14:textId="77777777" w:rsidR="003B7912" w:rsidRPr="003B7912" w:rsidRDefault="003B7912" w:rsidP="003B791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718D68" w14:textId="77777777" w:rsidR="003B7912" w:rsidRPr="003B7912" w:rsidRDefault="003B7912" w:rsidP="003B791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4AA09A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001B45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B7912" w:rsidRPr="003B7912" w14:paraId="35E487E2" w14:textId="77777777" w:rsidTr="003B7912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8918E2" w14:textId="77777777" w:rsidR="003B7912" w:rsidRPr="003B7912" w:rsidRDefault="003B7912" w:rsidP="003B791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8C56EA" w14:textId="77777777" w:rsidR="003B7912" w:rsidRPr="003B7912" w:rsidRDefault="003B7912" w:rsidP="003B791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EF2D6D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AE4D9F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B7912" w:rsidRPr="003B7912" w14:paraId="022A6838" w14:textId="77777777" w:rsidTr="003B7912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3DBFA5" w14:textId="77777777" w:rsidR="003B7912" w:rsidRPr="003B7912" w:rsidRDefault="003B7912" w:rsidP="003B791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EDEEEA" w14:textId="77777777" w:rsidR="003B7912" w:rsidRPr="003B7912" w:rsidRDefault="003B7912" w:rsidP="003B791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F355E9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338964" w14:textId="77777777" w:rsidR="003B7912" w:rsidRPr="003B7912" w:rsidRDefault="003B7912" w:rsidP="003B791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B791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7733D7EB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67098822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676B927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3B87C6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78A8060" w14:textId="1F5AF7E7" w:rsidR="00EB3D1B" w:rsidRDefault="00F87DF8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4DE5318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683C84F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026893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16B30D0" w14:textId="77777777" w:rsidR="001B79E5" w:rsidRDefault="008E088F" w:rsidP="001B79E5">
                <w:pPr>
                  <w:pStyle w:val="Tablefont"/>
                </w:pPr>
                <w:r>
                  <w:t>212.28</w:t>
                </w:r>
              </w:p>
            </w:tc>
          </w:sdtContent>
        </w:sdt>
      </w:tr>
      <w:tr w:rsidR="00A31D99" w:rsidRPr="004C23F4" w14:paraId="15C993D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4C6B59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0630B62D" w14:textId="745F17D6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777F2E">
                  <w:t>8.68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777F2E" w:rsidRPr="00440202">
                  <w:t>0.12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C7BCDB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13A9C5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08C96A3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5EFC649" w14:textId="77777777" w:rsidTr="00EA6243">
        <w:trPr>
          <w:cantSplit/>
        </w:trPr>
        <w:tc>
          <w:tcPr>
            <w:tcW w:w="4077" w:type="dxa"/>
            <w:vAlign w:val="center"/>
          </w:tcPr>
          <w:p w14:paraId="1490ECD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6DA760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A17FB6F" w14:textId="77777777" w:rsidTr="00EA6243">
        <w:trPr>
          <w:cantSplit/>
        </w:trPr>
        <w:tc>
          <w:tcPr>
            <w:tcW w:w="4077" w:type="dxa"/>
            <w:vAlign w:val="center"/>
          </w:tcPr>
          <w:p w14:paraId="6A96B82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322D37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B9D6976" w14:textId="77777777" w:rsidTr="00EA6243">
        <w:trPr>
          <w:cantSplit/>
        </w:trPr>
        <w:tc>
          <w:tcPr>
            <w:tcW w:w="4077" w:type="dxa"/>
            <w:vAlign w:val="center"/>
          </w:tcPr>
          <w:p w14:paraId="6515C4C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F2B4FB4" w14:textId="77777777" w:rsidR="00E06F40" w:rsidRPr="00A006A0" w:rsidRDefault="00007C3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0E388C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88D942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402AA2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547A4E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34AC28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A7A318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CCBD8D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6151918" w14:textId="77777777" w:rsidR="00F87D92" w:rsidRDefault="00F87D92" w:rsidP="00B86BB4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2709113" w14:textId="77777777" w:rsidR="007F1005" w:rsidRDefault="006650FE" w:rsidP="00173E9F">
      <w:pPr>
        <w:keepNext/>
      </w:pPr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37A5A33" w14:textId="731B1662" w:rsidR="008E4F1F" w:rsidRDefault="008E4F1F" w:rsidP="00173E9F">
      <w:pPr>
        <w:keepNext/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8762EB">
        <w:t>1993</w:t>
      </w:r>
      <w:r>
        <w:t xml:space="preserve">) </w:t>
      </w:r>
      <w:r w:rsidR="008762EB" w:rsidRPr="008762EB">
        <w:t>3,3′</w:t>
      </w:r>
      <w:r w:rsidR="008762EB" w:rsidRPr="008762EB">
        <w:rPr>
          <w:rFonts w:ascii="Cambria Math" w:hAnsi="Cambria Math" w:cs="Cambria Math"/>
        </w:rPr>
        <w:t>‐</w:t>
      </w:r>
      <w:r w:rsidR="008762EB" w:rsidRPr="008762EB">
        <w:t>Dimethylbenzidine</w:t>
      </w:r>
      <w:r>
        <w:t xml:space="preserve"> – MAK value documentation.</w:t>
      </w:r>
    </w:p>
    <w:p w14:paraId="7136B3CC" w14:textId="0AF7F4FE" w:rsidR="0083665E" w:rsidRDefault="0083665E" w:rsidP="00173E9F">
      <w:pPr>
        <w:keepNext/>
      </w:pPr>
      <w:r w:rsidRPr="0083665E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7FE85B4E" w14:textId="162A3738" w:rsidR="008E4F1F" w:rsidRDefault="008E4F1F" w:rsidP="008E4F1F">
      <w:pPr>
        <w:rPr>
          <w:b/>
        </w:rPr>
      </w:pPr>
      <w:r w:rsidRPr="002022B6">
        <w:t>International Agency for Research on Cancer</w:t>
      </w:r>
      <w:r>
        <w:t xml:space="preserve"> (IARC) (</w:t>
      </w:r>
      <w:r w:rsidR="009D42C6">
        <w:t>1972</w:t>
      </w:r>
      <w:r>
        <w:t xml:space="preserve">) </w:t>
      </w:r>
      <w:r w:rsidR="00CF65C2">
        <w:t xml:space="preserve">Volume 1, </w:t>
      </w:r>
      <w:r w:rsidR="00CF65C2" w:rsidRPr="00CF65C2">
        <w:t>Some inorganic substances, chlorinated hydrocarbons, aromatic amines, n-nitroso compounds, and natural products</w:t>
      </w:r>
      <w:r>
        <w:t>. IARC Monographs on the evaluation of the carcinogenic risk to humans.</w:t>
      </w:r>
    </w:p>
    <w:p w14:paraId="1003A983" w14:textId="19FB73AA" w:rsidR="008E4F1F" w:rsidRDefault="008E4F1F" w:rsidP="008E4F1F">
      <w:r w:rsidRPr="002022B6">
        <w:t>National Industrial Chemicals Notification and Assessment Scheme (NICNAS)</w:t>
      </w:r>
      <w:r>
        <w:t xml:space="preserve"> (</w:t>
      </w:r>
      <w:r w:rsidR="009D42C6">
        <w:t>2014</w:t>
      </w:r>
      <w:r>
        <w:t xml:space="preserve">) </w:t>
      </w:r>
      <w:r w:rsidR="009D42C6" w:rsidRPr="009D42C6">
        <w:t>Benzidine congeners</w:t>
      </w:r>
      <w:r w:rsidRPr="0071660C">
        <w:t xml:space="preserve">: Human health </w:t>
      </w:r>
      <w:sdt>
        <w:sdtPr>
          <w:id w:val="-1295753243"/>
          <w:placeholder>
            <w:docPart w:val="A070BFA618804340AABDA79FF681FE29"/>
          </w:placeholder>
          <w:temporary/>
          <w:showingPlcHdr/>
        </w:sdtPr>
        <w:sdtEndPr/>
        <w:sdtContent>
          <w:r w:rsidRPr="009D42C6"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050838D5" w14:textId="77777777" w:rsidR="00CB1DEB" w:rsidRPr="0083665E" w:rsidRDefault="00CB1DEB" w:rsidP="00CB1DEB">
      <w:r w:rsidRPr="0083665E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5E90F428" w14:textId="731E7FA5" w:rsidR="005911C8" w:rsidRPr="005911C8" w:rsidRDefault="005911C8" w:rsidP="008E4F1F"/>
    <w:p w14:paraId="224A163E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BB634" w14:textId="77777777" w:rsidR="00082CB7" w:rsidRDefault="00082CB7" w:rsidP="00F43AD5">
      <w:pPr>
        <w:spacing w:after="0" w:line="240" w:lineRule="auto"/>
      </w:pPr>
      <w:r>
        <w:separator/>
      </w:r>
    </w:p>
  </w:endnote>
  <w:endnote w:type="continuationSeparator" w:id="0">
    <w:p w14:paraId="2571ADB0" w14:textId="77777777" w:rsidR="00082CB7" w:rsidRDefault="00082CB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624DD" w14:textId="77777777" w:rsidR="005841F0" w:rsidRDefault="00584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3D79ABD" w14:textId="60F15C3E" w:rsidR="009F1E58" w:rsidRDefault="009F1E58" w:rsidP="0034744C">
        <w:pPr>
          <w:pStyle w:val="Footer"/>
          <w:rPr>
            <w:sz w:val="18"/>
            <w:szCs w:val="18"/>
          </w:rPr>
        </w:pPr>
        <w:r w:rsidRPr="002A2890">
          <w:rPr>
            <w:b/>
            <w:sz w:val="18"/>
            <w:szCs w:val="18"/>
          </w:rPr>
          <w:t>o-Tolidine</w:t>
        </w:r>
        <w:r>
          <w:rPr>
            <w:b/>
            <w:sz w:val="18"/>
            <w:szCs w:val="18"/>
          </w:rPr>
          <w:t xml:space="preserve"> (119-93-7)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20</w:t>
        </w:r>
      </w:p>
      <w:p w14:paraId="615821F2" w14:textId="271E46AE" w:rsidR="009F1E58" w:rsidRPr="00F43AD5" w:rsidRDefault="009F1E58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43947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5FDC" w14:textId="77777777" w:rsidR="005841F0" w:rsidRDefault="00584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10F50" w14:textId="77777777" w:rsidR="00082CB7" w:rsidRDefault="00082CB7" w:rsidP="00F43AD5">
      <w:pPr>
        <w:spacing w:after="0" w:line="240" w:lineRule="auto"/>
      </w:pPr>
      <w:r>
        <w:separator/>
      </w:r>
    </w:p>
  </w:footnote>
  <w:footnote w:type="continuationSeparator" w:id="0">
    <w:p w14:paraId="54E82F9E" w14:textId="77777777" w:rsidR="00082CB7" w:rsidRDefault="00082CB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9C60" w14:textId="77777777" w:rsidR="005841F0" w:rsidRDefault="00584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8C6F" w14:textId="77777777" w:rsidR="005841F0" w:rsidRDefault="005841F0" w:rsidP="005841F0">
    <w:pPr>
      <w:pStyle w:val="Header"/>
      <w:jc w:val="right"/>
    </w:pPr>
    <w:r>
      <w:pict w14:anchorId="243F06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8193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DD43436" wp14:editId="00E3DC21">
          <wp:extent cx="2945130" cy="595630"/>
          <wp:effectExtent l="0" t="0" r="762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E4368" w14:textId="77777777" w:rsidR="005841F0" w:rsidRDefault="005841F0" w:rsidP="005841F0">
    <w:pPr>
      <w:pStyle w:val="Header"/>
    </w:pPr>
  </w:p>
  <w:p w14:paraId="3171CDD4" w14:textId="74F6343D" w:rsidR="009F1E58" w:rsidRPr="005841F0" w:rsidRDefault="009F1E58" w:rsidP="00584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DD40" w14:textId="77777777" w:rsidR="005841F0" w:rsidRDefault="005841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5246" w14:textId="77777777" w:rsidR="005841F0" w:rsidRDefault="005841F0" w:rsidP="005841F0">
    <w:pPr>
      <w:pStyle w:val="Header"/>
      <w:jc w:val="right"/>
    </w:pPr>
    <w:r>
      <w:pict w14:anchorId="6A5ABC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193A09E" wp14:editId="57859BB3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00658" w14:textId="77777777" w:rsidR="009F1E58" w:rsidRDefault="009F1E58" w:rsidP="00584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447D4"/>
    <w:multiLevelType w:val="hybridMultilevel"/>
    <w:tmpl w:val="2D4AB8BA"/>
    <w:lvl w:ilvl="0" w:tplc="F814D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27206"/>
    <w:multiLevelType w:val="hybridMultilevel"/>
    <w:tmpl w:val="6F0A36C0"/>
    <w:lvl w:ilvl="0" w:tplc="3BC6A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07C3D"/>
    <w:rsid w:val="000110D9"/>
    <w:rsid w:val="00013A22"/>
    <w:rsid w:val="00014C3F"/>
    <w:rsid w:val="00017C82"/>
    <w:rsid w:val="0002423B"/>
    <w:rsid w:val="00032B88"/>
    <w:rsid w:val="00036A6D"/>
    <w:rsid w:val="00037E52"/>
    <w:rsid w:val="000424EB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2CB7"/>
    <w:rsid w:val="00084513"/>
    <w:rsid w:val="00084859"/>
    <w:rsid w:val="00085246"/>
    <w:rsid w:val="00092D94"/>
    <w:rsid w:val="000A7637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6FAC"/>
    <w:rsid w:val="000E3569"/>
    <w:rsid w:val="000E5A54"/>
    <w:rsid w:val="000E63D3"/>
    <w:rsid w:val="000E67CF"/>
    <w:rsid w:val="0010461E"/>
    <w:rsid w:val="00106FAA"/>
    <w:rsid w:val="00113443"/>
    <w:rsid w:val="001269A7"/>
    <w:rsid w:val="00130FDB"/>
    <w:rsid w:val="00131092"/>
    <w:rsid w:val="00137F41"/>
    <w:rsid w:val="00140E6A"/>
    <w:rsid w:val="00142950"/>
    <w:rsid w:val="00146545"/>
    <w:rsid w:val="00146B75"/>
    <w:rsid w:val="0015266D"/>
    <w:rsid w:val="0015288A"/>
    <w:rsid w:val="00155999"/>
    <w:rsid w:val="00160F47"/>
    <w:rsid w:val="0017351B"/>
    <w:rsid w:val="00173E9F"/>
    <w:rsid w:val="00177CA1"/>
    <w:rsid w:val="001814E9"/>
    <w:rsid w:val="00183823"/>
    <w:rsid w:val="00183942"/>
    <w:rsid w:val="001915F6"/>
    <w:rsid w:val="00196F8A"/>
    <w:rsid w:val="001A009E"/>
    <w:rsid w:val="001A1287"/>
    <w:rsid w:val="001A3859"/>
    <w:rsid w:val="001A3C9D"/>
    <w:rsid w:val="001A43F8"/>
    <w:rsid w:val="001B3A0A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0954"/>
    <w:rsid w:val="00276494"/>
    <w:rsid w:val="00277B0C"/>
    <w:rsid w:val="002A2890"/>
    <w:rsid w:val="002B1A2C"/>
    <w:rsid w:val="002B1CE0"/>
    <w:rsid w:val="002C34F2"/>
    <w:rsid w:val="002C58FF"/>
    <w:rsid w:val="002C7AFE"/>
    <w:rsid w:val="002D05D2"/>
    <w:rsid w:val="002D5B13"/>
    <w:rsid w:val="002E0D61"/>
    <w:rsid w:val="002E4C7B"/>
    <w:rsid w:val="0030740C"/>
    <w:rsid w:val="00315833"/>
    <w:rsid w:val="003215EE"/>
    <w:rsid w:val="003224BF"/>
    <w:rsid w:val="003241A8"/>
    <w:rsid w:val="003253F0"/>
    <w:rsid w:val="00330BDD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5746"/>
    <w:rsid w:val="00386093"/>
    <w:rsid w:val="003904A4"/>
    <w:rsid w:val="00391841"/>
    <w:rsid w:val="00391B6D"/>
    <w:rsid w:val="00394922"/>
    <w:rsid w:val="003A0E32"/>
    <w:rsid w:val="003A2B94"/>
    <w:rsid w:val="003B387D"/>
    <w:rsid w:val="003B7912"/>
    <w:rsid w:val="003C0D58"/>
    <w:rsid w:val="003D4FA3"/>
    <w:rsid w:val="003E0807"/>
    <w:rsid w:val="003E2555"/>
    <w:rsid w:val="003E51FB"/>
    <w:rsid w:val="003E6B39"/>
    <w:rsid w:val="003F07E1"/>
    <w:rsid w:val="003F240B"/>
    <w:rsid w:val="003F5F25"/>
    <w:rsid w:val="004030BC"/>
    <w:rsid w:val="00403F7D"/>
    <w:rsid w:val="00406785"/>
    <w:rsid w:val="004079B4"/>
    <w:rsid w:val="00407BE5"/>
    <w:rsid w:val="004138CD"/>
    <w:rsid w:val="00417A56"/>
    <w:rsid w:val="00420957"/>
    <w:rsid w:val="00422A10"/>
    <w:rsid w:val="00430179"/>
    <w:rsid w:val="00433E58"/>
    <w:rsid w:val="00440202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5E17"/>
    <w:rsid w:val="004867A2"/>
    <w:rsid w:val="004873F2"/>
    <w:rsid w:val="00490D4C"/>
    <w:rsid w:val="00493A35"/>
    <w:rsid w:val="0049527A"/>
    <w:rsid w:val="004966BF"/>
    <w:rsid w:val="00497984"/>
    <w:rsid w:val="004A5088"/>
    <w:rsid w:val="004B17B3"/>
    <w:rsid w:val="004C1E3F"/>
    <w:rsid w:val="004C23F4"/>
    <w:rsid w:val="004C3475"/>
    <w:rsid w:val="004C58B6"/>
    <w:rsid w:val="004D04E0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2556"/>
    <w:rsid w:val="005272E2"/>
    <w:rsid w:val="0053108F"/>
    <w:rsid w:val="00532B56"/>
    <w:rsid w:val="00534B10"/>
    <w:rsid w:val="00543947"/>
    <w:rsid w:val="005446A2"/>
    <w:rsid w:val="0054475A"/>
    <w:rsid w:val="00544D2F"/>
    <w:rsid w:val="00551BD8"/>
    <w:rsid w:val="00551BE1"/>
    <w:rsid w:val="00581055"/>
    <w:rsid w:val="005841F0"/>
    <w:rsid w:val="00590B72"/>
    <w:rsid w:val="005911C8"/>
    <w:rsid w:val="00591E38"/>
    <w:rsid w:val="00594F83"/>
    <w:rsid w:val="005A19C5"/>
    <w:rsid w:val="005A3034"/>
    <w:rsid w:val="005A462D"/>
    <w:rsid w:val="005A68D8"/>
    <w:rsid w:val="005B253B"/>
    <w:rsid w:val="005B771D"/>
    <w:rsid w:val="005C5D16"/>
    <w:rsid w:val="005D3193"/>
    <w:rsid w:val="005D4A6E"/>
    <w:rsid w:val="005E6979"/>
    <w:rsid w:val="005E75CB"/>
    <w:rsid w:val="005F0986"/>
    <w:rsid w:val="006013C1"/>
    <w:rsid w:val="00605039"/>
    <w:rsid w:val="0060669E"/>
    <w:rsid w:val="00610F2E"/>
    <w:rsid w:val="00611399"/>
    <w:rsid w:val="00624C4E"/>
    <w:rsid w:val="00625200"/>
    <w:rsid w:val="00625649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19B4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E69ED"/>
    <w:rsid w:val="00701053"/>
    <w:rsid w:val="0070140D"/>
    <w:rsid w:val="00701507"/>
    <w:rsid w:val="007056AC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1096"/>
    <w:rsid w:val="007770F1"/>
    <w:rsid w:val="00777F2E"/>
    <w:rsid w:val="00783FB1"/>
    <w:rsid w:val="00785CDD"/>
    <w:rsid w:val="00791847"/>
    <w:rsid w:val="007925F0"/>
    <w:rsid w:val="007939B3"/>
    <w:rsid w:val="0079509C"/>
    <w:rsid w:val="00796708"/>
    <w:rsid w:val="007A279F"/>
    <w:rsid w:val="007A6560"/>
    <w:rsid w:val="007B1B42"/>
    <w:rsid w:val="007B7943"/>
    <w:rsid w:val="007C30EB"/>
    <w:rsid w:val="007C3670"/>
    <w:rsid w:val="007C6D83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5E81"/>
    <w:rsid w:val="00826F21"/>
    <w:rsid w:val="00834CC8"/>
    <w:rsid w:val="00835E00"/>
    <w:rsid w:val="0083665E"/>
    <w:rsid w:val="00837113"/>
    <w:rsid w:val="008414E4"/>
    <w:rsid w:val="00843E21"/>
    <w:rsid w:val="0084508E"/>
    <w:rsid w:val="00857545"/>
    <w:rsid w:val="00857A8A"/>
    <w:rsid w:val="008630EE"/>
    <w:rsid w:val="00864D13"/>
    <w:rsid w:val="00871CD5"/>
    <w:rsid w:val="008745A2"/>
    <w:rsid w:val="008762EB"/>
    <w:rsid w:val="008768A8"/>
    <w:rsid w:val="0088798F"/>
    <w:rsid w:val="00887E4B"/>
    <w:rsid w:val="008915C8"/>
    <w:rsid w:val="008A36CF"/>
    <w:rsid w:val="008A3BC4"/>
    <w:rsid w:val="008B0906"/>
    <w:rsid w:val="008B403C"/>
    <w:rsid w:val="008B7983"/>
    <w:rsid w:val="008C2511"/>
    <w:rsid w:val="008D026D"/>
    <w:rsid w:val="008D23AB"/>
    <w:rsid w:val="008D4B8B"/>
    <w:rsid w:val="008D5A78"/>
    <w:rsid w:val="008E088F"/>
    <w:rsid w:val="008E4F1F"/>
    <w:rsid w:val="008E7733"/>
    <w:rsid w:val="008E7B64"/>
    <w:rsid w:val="008F5DCD"/>
    <w:rsid w:val="00900951"/>
    <w:rsid w:val="009118A6"/>
    <w:rsid w:val="00914923"/>
    <w:rsid w:val="00916909"/>
    <w:rsid w:val="00916EC0"/>
    <w:rsid w:val="00920467"/>
    <w:rsid w:val="00921DE7"/>
    <w:rsid w:val="00925366"/>
    <w:rsid w:val="0093041A"/>
    <w:rsid w:val="00930714"/>
    <w:rsid w:val="00931B03"/>
    <w:rsid w:val="009323B9"/>
    <w:rsid w:val="00932DCE"/>
    <w:rsid w:val="0093327E"/>
    <w:rsid w:val="00934028"/>
    <w:rsid w:val="0093760E"/>
    <w:rsid w:val="009426B9"/>
    <w:rsid w:val="00946044"/>
    <w:rsid w:val="0094660B"/>
    <w:rsid w:val="00946A33"/>
    <w:rsid w:val="00946FD1"/>
    <w:rsid w:val="009511BC"/>
    <w:rsid w:val="0095260E"/>
    <w:rsid w:val="009578DD"/>
    <w:rsid w:val="00961124"/>
    <w:rsid w:val="009621B6"/>
    <w:rsid w:val="00974F2D"/>
    <w:rsid w:val="00976654"/>
    <w:rsid w:val="0097696F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42C6"/>
    <w:rsid w:val="009E0C05"/>
    <w:rsid w:val="009E0D1C"/>
    <w:rsid w:val="009E2214"/>
    <w:rsid w:val="009E355A"/>
    <w:rsid w:val="009E63E2"/>
    <w:rsid w:val="009F04D2"/>
    <w:rsid w:val="009F05CF"/>
    <w:rsid w:val="009F0F3A"/>
    <w:rsid w:val="009F1E58"/>
    <w:rsid w:val="00A01D0C"/>
    <w:rsid w:val="00A050ED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5C56"/>
    <w:rsid w:val="00A53681"/>
    <w:rsid w:val="00A633D4"/>
    <w:rsid w:val="00A6461A"/>
    <w:rsid w:val="00A84504"/>
    <w:rsid w:val="00A863D0"/>
    <w:rsid w:val="00A866FA"/>
    <w:rsid w:val="00A8672F"/>
    <w:rsid w:val="00A928F4"/>
    <w:rsid w:val="00A93057"/>
    <w:rsid w:val="00A94670"/>
    <w:rsid w:val="00A968B0"/>
    <w:rsid w:val="00AB2672"/>
    <w:rsid w:val="00AB2817"/>
    <w:rsid w:val="00AB43C4"/>
    <w:rsid w:val="00AB54E5"/>
    <w:rsid w:val="00AC32E7"/>
    <w:rsid w:val="00AC3A9F"/>
    <w:rsid w:val="00AC3DCB"/>
    <w:rsid w:val="00AC6D2F"/>
    <w:rsid w:val="00AD7E33"/>
    <w:rsid w:val="00AE2745"/>
    <w:rsid w:val="00AE2F64"/>
    <w:rsid w:val="00AF42CB"/>
    <w:rsid w:val="00AF483F"/>
    <w:rsid w:val="00AF5E07"/>
    <w:rsid w:val="00AF5F06"/>
    <w:rsid w:val="00B00A25"/>
    <w:rsid w:val="00B1422A"/>
    <w:rsid w:val="00B1751D"/>
    <w:rsid w:val="00B1765C"/>
    <w:rsid w:val="00B213C4"/>
    <w:rsid w:val="00B40C60"/>
    <w:rsid w:val="00B479A9"/>
    <w:rsid w:val="00B52EDF"/>
    <w:rsid w:val="00B553E0"/>
    <w:rsid w:val="00B71188"/>
    <w:rsid w:val="00B76A41"/>
    <w:rsid w:val="00B80C26"/>
    <w:rsid w:val="00B83D44"/>
    <w:rsid w:val="00B86BB4"/>
    <w:rsid w:val="00B87D4C"/>
    <w:rsid w:val="00B91E9F"/>
    <w:rsid w:val="00B93646"/>
    <w:rsid w:val="00BA0B38"/>
    <w:rsid w:val="00BA1DBB"/>
    <w:rsid w:val="00BA4510"/>
    <w:rsid w:val="00BA529A"/>
    <w:rsid w:val="00BB612A"/>
    <w:rsid w:val="00BD41F2"/>
    <w:rsid w:val="00BD499F"/>
    <w:rsid w:val="00BD56DE"/>
    <w:rsid w:val="00BF2406"/>
    <w:rsid w:val="00BF786E"/>
    <w:rsid w:val="00C06E43"/>
    <w:rsid w:val="00C16315"/>
    <w:rsid w:val="00C22532"/>
    <w:rsid w:val="00C3091E"/>
    <w:rsid w:val="00C40FF1"/>
    <w:rsid w:val="00C419E2"/>
    <w:rsid w:val="00C5020E"/>
    <w:rsid w:val="00C57452"/>
    <w:rsid w:val="00C61EDF"/>
    <w:rsid w:val="00C6239D"/>
    <w:rsid w:val="00C6594B"/>
    <w:rsid w:val="00C667B2"/>
    <w:rsid w:val="00C67FFB"/>
    <w:rsid w:val="00C7155E"/>
    <w:rsid w:val="00C71D1E"/>
    <w:rsid w:val="00C71D7D"/>
    <w:rsid w:val="00C72AED"/>
    <w:rsid w:val="00C72CBE"/>
    <w:rsid w:val="00C74833"/>
    <w:rsid w:val="00C850A0"/>
    <w:rsid w:val="00C85A86"/>
    <w:rsid w:val="00C96D8D"/>
    <w:rsid w:val="00C978F0"/>
    <w:rsid w:val="00CA58FE"/>
    <w:rsid w:val="00CB1CB1"/>
    <w:rsid w:val="00CB1DEB"/>
    <w:rsid w:val="00CB6BC1"/>
    <w:rsid w:val="00CB6CB8"/>
    <w:rsid w:val="00CC025A"/>
    <w:rsid w:val="00CC1A68"/>
    <w:rsid w:val="00CC2123"/>
    <w:rsid w:val="00CD2BFD"/>
    <w:rsid w:val="00CE5AD6"/>
    <w:rsid w:val="00CE617F"/>
    <w:rsid w:val="00CE78EF"/>
    <w:rsid w:val="00CF1D5C"/>
    <w:rsid w:val="00CF65C2"/>
    <w:rsid w:val="00D048F7"/>
    <w:rsid w:val="00D0517E"/>
    <w:rsid w:val="00D05CC6"/>
    <w:rsid w:val="00D10E1F"/>
    <w:rsid w:val="00D140FC"/>
    <w:rsid w:val="00D21D8C"/>
    <w:rsid w:val="00D273C0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5322"/>
    <w:rsid w:val="00E06F40"/>
    <w:rsid w:val="00E07CE8"/>
    <w:rsid w:val="00E24635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1E25"/>
    <w:rsid w:val="00EB3D1B"/>
    <w:rsid w:val="00ED1D89"/>
    <w:rsid w:val="00ED57DA"/>
    <w:rsid w:val="00ED66BC"/>
    <w:rsid w:val="00EE728D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196E"/>
    <w:rsid w:val="00F22093"/>
    <w:rsid w:val="00F236DF"/>
    <w:rsid w:val="00F24D4B"/>
    <w:rsid w:val="00F43AD5"/>
    <w:rsid w:val="00F4402E"/>
    <w:rsid w:val="00F563E0"/>
    <w:rsid w:val="00F56DD0"/>
    <w:rsid w:val="00F6491C"/>
    <w:rsid w:val="00F67BBB"/>
    <w:rsid w:val="00F808B7"/>
    <w:rsid w:val="00F87D92"/>
    <w:rsid w:val="00F87DF8"/>
    <w:rsid w:val="00F90AA7"/>
    <w:rsid w:val="00F92498"/>
    <w:rsid w:val="00F9346B"/>
    <w:rsid w:val="00F94047"/>
    <w:rsid w:val="00F9496B"/>
    <w:rsid w:val="00F970C9"/>
    <w:rsid w:val="00FA06A8"/>
    <w:rsid w:val="00FA3DF5"/>
    <w:rsid w:val="00FA741F"/>
    <w:rsid w:val="00FB2A1C"/>
    <w:rsid w:val="00FB2F5C"/>
    <w:rsid w:val="00FB4E07"/>
    <w:rsid w:val="00FB755A"/>
    <w:rsid w:val="00FC2393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7B661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17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51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51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51D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56A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3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070BFA618804340AABDA79FF681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C806-D89B-43A1-9033-9237B76EF2C7}"/>
      </w:docPartPr>
      <w:docPartBody>
        <w:p w:rsidR="00CA72D3" w:rsidRDefault="00347D16" w:rsidP="00347D16">
          <w:pPr>
            <w:pStyle w:val="A070BFA618804340AABDA79FF681FE29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9C4C64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83D639A679764179A03480BD20081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DDB6-EB66-4D37-8EFC-51500A7B4E2C}"/>
      </w:docPartPr>
      <w:docPartBody>
        <w:p w:rsidR="00541538" w:rsidRDefault="0055729A" w:rsidP="0055729A">
          <w:pPr>
            <w:pStyle w:val="83D639A679764179A03480BD200818CC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30176B"/>
    <w:rsid w:val="003136B3"/>
    <w:rsid w:val="00347D16"/>
    <w:rsid w:val="003E0149"/>
    <w:rsid w:val="00541538"/>
    <w:rsid w:val="0055729A"/>
    <w:rsid w:val="00755FBF"/>
    <w:rsid w:val="009C4C64"/>
    <w:rsid w:val="00CA72D3"/>
    <w:rsid w:val="00D21A9F"/>
    <w:rsid w:val="00D74B6A"/>
    <w:rsid w:val="00F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29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83D639A679764179A03480BD200818CC">
    <w:name w:val="83D639A679764179A03480BD200818CC"/>
    <w:rsid w:val="00557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D5D8-E321-48CE-A9A8-7F8AED4CA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C4DD7-30F1-4A46-97AB-988B36CCFB20}">
  <ds:schemaRefs>
    <ds:schemaRef ds:uri="http://www.w3.org/XML/1998/namespace"/>
    <ds:schemaRef ds:uri="http://schemas.microsoft.com/office/2006/metadata/properties"/>
    <ds:schemaRef ds:uri="http://purl.org/dc/elements/1.1/"/>
    <ds:schemaRef ds:uri="bf54d604-3e62-4e70-ba33-9e9084b96a6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154B08-1350-43F1-93F8-D74D74519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1F7F3-4FFE-41AA-8F1E-93698C91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2020-04-15T04:23:00Z</dcterms:created>
  <dcterms:modified xsi:type="dcterms:W3CDTF">2020-06-18T23:44:00Z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