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18956CA9" w14:textId="77777777" w:rsidR="00BD499F" w:rsidRPr="004C23F4" w:rsidRDefault="008A35DB" w:rsidP="00B40C60">
          <w:pPr>
            <w:pStyle w:val="Heading1"/>
            <w:jc w:val="center"/>
            <w:rPr>
              <w:rFonts w:ascii="Arial" w:hAnsi="Arial" w:cs="Arial"/>
            </w:rPr>
          </w:pPr>
          <w:r w:rsidRPr="008A35DB">
            <w:rPr>
              <w:rFonts w:ascii="Arial" w:hAnsi="Arial" w:cs="Arial"/>
            </w:rPr>
            <w:t>o-Toluidine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6"/>
        <w:gridCol w:w="5050"/>
      </w:tblGrid>
      <w:tr w:rsidR="00F43AD5" w:rsidRPr="004C23F4" w14:paraId="3B41EEA3" w14:textId="77777777" w:rsidTr="000226F7">
        <w:trPr>
          <w:cantSplit/>
          <w:tblHeader/>
        </w:trPr>
        <w:tc>
          <w:tcPr>
            <w:tcW w:w="3976" w:type="dxa"/>
          </w:tcPr>
          <w:p w14:paraId="37764319" w14:textId="77777777" w:rsidR="00F43AD5" w:rsidRPr="00921DE7" w:rsidRDefault="00CB1CB1" w:rsidP="00B76A41">
            <w:pPr>
              <w:pStyle w:val="Tablerowright"/>
            </w:pPr>
            <w:r w:rsidRPr="00921DE7">
              <w:t>CAS number:</w:t>
            </w:r>
          </w:p>
        </w:tc>
        <w:tc>
          <w:tcPr>
            <w:tcW w:w="5050" w:type="dxa"/>
          </w:tcPr>
          <w:p w14:paraId="4EF8D64C" w14:textId="77777777" w:rsidR="00F43AD5" w:rsidRPr="00717D45" w:rsidRDefault="0096528B" w:rsidP="00B76A41">
            <w:pPr>
              <w:pStyle w:val="Tablefont"/>
            </w:pPr>
            <w:r w:rsidRPr="0096528B">
              <w:t>95-53-4</w:t>
            </w:r>
          </w:p>
        </w:tc>
      </w:tr>
      <w:tr w:rsidR="00F43AD5" w:rsidRPr="005E1BD5" w14:paraId="7AB86A52" w14:textId="77777777" w:rsidTr="000226F7">
        <w:trPr>
          <w:cantSplit/>
        </w:trPr>
        <w:tc>
          <w:tcPr>
            <w:tcW w:w="3976" w:type="dxa"/>
          </w:tcPr>
          <w:p w14:paraId="6B6CB290" w14:textId="77777777" w:rsidR="00F43AD5" w:rsidRPr="00921DE7" w:rsidRDefault="00CB1CB1" w:rsidP="00B76A41">
            <w:pPr>
              <w:pStyle w:val="Tablerowright"/>
            </w:pPr>
            <w:r w:rsidRPr="00921DE7">
              <w:t>Synonyms:</w:t>
            </w:r>
          </w:p>
        </w:tc>
        <w:tc>
          <w:tcPr>
            <w:tcW w:w="5050" w:type="dxa"/>
          </w:tcPr>
          <w:p w14:paraId="440B25DD" w14:textId="2F84F4E3" w:rsidR="00F43AD5" w:rsidRPr="000A6705" w:rsidRDefault="0096528B" w:rsidP="0096528B">
            <w:pPr>
              <w:pStyle w:val="Tablefont"/>
              <w:rPr>
                <w:lang w:val="it-IT"/>
              </w:rPr>
            </w:pPr>
            <w:r w:rsidRPr="000A6705">
              <w:rPr>
                <w:lang w:val="it-IT"/>
              </w:rPr>
              <w:t xml:space="preserve">1-Amino-2-methylbenzene, 2-aminotoluene, </w:t>
            </w:r>
            <w:r w:rsidR="007B398F" w:rsidRPr="000A6705">
              <w:rPr>
                <w:lang w:val="it-IT"/>
              </w:rPr>
              <w:br/>
            </w:r>
            <w:r w:rsidRPr="000A6705">
              <w:rPr>
                <w:lang w:val="it-IT"/>
              </w:rPr>
              <w:t>2-methylaniline, 2-methylbenzenamine</w:t>
            </w:r>
          </w:p>
        </w:tc>
      </w:tr>
      <w:tr w:rsidR="00F43AD5" w:rsidRPr="004C23F4" w14:paraId="28130C36" w14:textId="77777777" w:rsidTr="000226F7">
        <w:trPr>
          <w:cantSplit/>
        </w:trPr>
        <w:tc>
          <w:tcPr>
            <w:tcW w:w="3976" w:type="dxa"/>
          </w:tcPr>
          <w:p w14:paraId="0FD3C03B" w14:textId="77777777" w:rsidR="00F43AD5" w:rsidRPr="00921DE7" w:rsidRDefault="00CB1CB1" w:rsidP="00B76A41">
            <w:pPr>
              <w:pStyle w:val="Tablerowright"/>
            </w:pPr>
            <w:r w:rsidRPr="00921DE7">
              <w:t>Chemical formula:</w:t>
            </w:r>
          </w:p>
        </w:tc>
        <w:tc>
          <w:tcPr>
            <w:tcW w:w="5050" w:type="dxa"/>
          </w:tcPr>
          <w:p w14:paraId="49825566" w14:textId="77777777" w:rsidR="00F43AD5" w:rsidRPr="00717D45" w:rsidRDefault="00C057B9" w:rsidP="00B76A41">
            <w:pPr>
              <w:pStyle w:val="Tablefont"/>
            </w:pPr>
            <w:r>
              <w:t>C</w:t>
            </w:r>
            <w:r w:rsidRPr="00C057B9">
              <w:rPr>
                <w:vertAlign w:val="subscript"/>
              </w:rPr>
              <w:t>7</w:t>
            </w:r>
            <w:r>
              <w:t>H</w:t>
            </w:r>
            <w:r w:rsidRPr="00C057B9">
              <w:rPr>
                <w:vertAlign w:val="subscript"/>
              </w:rPr>
              <w:t>9</w:t>
            </w:r>
            <w:r>
              <w:t>N</w:t>
            </w:r>
          </w:p>
        </w:tc>
      </w:tr>
    </w:tbl>
    <w:p w14:paraId="4549019D" w14:textId="7777777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013D70">
            <w:rPr>
              <w:rStyle w:val="WESstatus"/>
            </w:rPr>
            <w:t>(interim)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2CFF24A8" w14:textId="77777777" w:rsidTr="00037E52">
        <w:trPr>
          <w:cantSplit/>
          <w:tblHeader/>
        </w:trPr>
        <w:tc>
          <w:tcPr>
            <w:tcW w:w="4010" w:type="dxa"/>
            <w:vAlign w:val="center"/>
          </w:tcPr>
          <w:p w14:paraId="1CCFBEA0" w14:textId="77777777" w:rsidR="002C7AFE" w:rsidRPr="002C58FF" w:rsidRDefault="00921DE7" w:rsidP="00921DE7">
            <w:pPr>
              <w:pStyle w:val="Tablerowright"/>
            </w:pPr>
            <w:r>
              <w:t>TWA:</w:t>
            </w:r>
          </w:p>
        </w:tc>
        <w:tc>
          <w:tcPr>
            <w:tcW w:w="5016" w:type="dxa"/>
          </w:tcPr>
          <w:p w14:paraId="68D0CAC0" w14:textId="17543C47" w:rsidR="002C7AFE" w:rsidRPr="00013D70" w:rsidRDefault="00E131ED" w:rsidP="00017C82">
            <w:pPr>
              <w:pStyle w:val="Tablefont"/>
              <w:rPr>
                <w:b/>
              </w:rPr>
            </w:pPr>
            <w:r>
              <w:rPr>
                <w:b/>
              </w:rPr>
              <w:t>2</w:t>
            </w:r>
            <w:r w:rsidR="004B72FC">
              <w:rPr>
                <w:b/>
              </w:rPr>
              <w:t xml:space="preserve"> </w:t>
            </w:r>
            <w:r w:rsidR="00013D70">
              <w:rPr>
                <w:b/>
              </w:rPr>
              <w:t>ppm (</w:t>
            </w:r>
            <w:r>
              <w:rPr>
                <w:b/>
              </w:rPr>
              <w:t>8.8</w:t>
            </w:r>
            <w:r w:rsidR="00013D70">
              <w:rPr>
                <w:b/>
              </w:rPr>
              <w:t xml:space="preserve"> mg/m</w:t>
            </w:r>
            <w:r w:rsidR="00013D70">
              <w:rPr>
                <w:b/>
                <w:vertAlign w:val="superscript"/>
              </w:rPr>
              <w:t>3</w:t>
            </w:r>
            <w:r w:rsidR="00013D70">
              <w:rPr>
                <w:b/>
              </w:rPr>
              <w:t>)</w:t>
            </w:r>
          </w:p>
        </w:tc>
      </w:tr>
      <w:tr w:rsidR="00037E52" w:rsidRPr="004C23F4" w14:paraId="5B5DDA71" w14:textId="77777777" w:rsidTr="00037E52">
        <w:trPr>
          <w:cantSplit/>
        </w:trPr>
        <w:tc>
          <w:tcPr>
            <w:tcW w:w="4010" w:type="dxa"/>
            <w:vAlign w:val="center"/>
          </w:tcPr>
          <w:p w14:paraId="532E1301" w14:textId="77777777" w:rsidR="00037E52" w:rsidRPr="002C58FF" w:rsidRDefault="00037E52" w:rsidP="00037E52">
            <w:pPr>
              <w:pStyle w:val="Tablerowright"/>
            </w:pPr>
            <w:r w:rsidRPr="002C58FF">
              <w:t>STEL</w:t>
            </w:r>
            <w:r>
              <w:t>:</w:t>
            </w:r>
          </w:p>
        </w:tc>
        <w:tc>
          <w:tcPr>
            <w:tcW w:w="5016" w:type="dxa"/>
          </w:tcPr>
          <w:p w14:paraId="299BDC44" w14:textId="77777777" w:rsidR="00037E52" w:rsidRPr="00EB3D1B" w:rsidRDefault="00037E52" w:rsidP="00037E52">
            <w:pPr>
              <w:pStyle w:val="Tablefont"/>
              <w:rPr>
                <w:b/>
              </w:rPr>
            </w:pPr>
            <w:r>
              <w:rPr>
                <w:b/>
              </w:rPr>
              <w:t>—</w:t>
            </w:r>
          </w:p>
        </w:tc>
      </w:tr>
      <w:tr w:rsidR="00037E52" w:rsidRPr="004C23F4" w14:paraId="6B672846" w14:textId="77777777" w:rsidTr="00037E52">
        <w:trPr>
          <w:cantSplit/>
        </w:trPr>
        <w:tc>
          <w:tcPr>
            <w:tcW w:w="4010" w:type="dxa"/>
            <w:vAlign w:val="center"/>
          </w:tcPr>
          <w:p w14:paraId="3A9214AA" w14:textId="77777777" w:rsidR="00037E52" w:rsidRPr="002C58FF" w:rsidRDefault="00037E52" w:rsidP="00037E52">
            <w:pPr>
              <w:pStyle w:val="Tablerowright"/>
            </w:pPr>
            <w:r>
              <w:t>Peak limitation:</w:t>
            </w:r>
          </w:p>
        </w:tc>
        <w:tc>
          <w:tcPr>
            <w:tcW w:w="5016" w:type="dxa"/>
          </w:tcPr>
          <w:p w14:paraId="112FA204" w14:textId="77777777" w:rsidR="00037E52" w:rsidRPr="00EB3D1B" w:rsidRDefault="00037E52" w:rsidP="00037E52">
            <w:pPr>
              <w:pStyle w:val="Tablefont"/>
              <w:rPr>
                <w:b/>
              </w:rPr>
            </w:pPr>
            <w:r>
              <w:rPr>
                <w:b/>
              </w:rPr>
              <w:t>—</w:t>
            </w:r>
          </w:p>
        </w:tc>
      </w:tr>
      <w:tr w:rsidR="00037E52" w:rsidRPr="004C23F4" w14:paraId="7F2291F8" w14:textId="77777777" w:rsidTr="00037E52">
        <w:trPr>
          <w:cantSplit/>
        </w:trPr>
        <w:tc>
          <w:tcPr>
            <w:tcW w:w="4010" w:type="dxa"/>
          </w:tcPr>
          <w:p w14:paraId="6F8107CD"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441545C6" w14:textId="77777777" w:rsidR="00037E52" w:rsidRPr="00EB3D1B" w:rsidRDefault="00013D70" w:rsidP="00037E52">
            <w:pPr>
              <w:pStyle w:val="Tablefont"/>
              <w:rPr>
                <w:b/>
              </w:rPr>
            </w:pPr>
            <w:r>
              <w:rPr>
                <w:b/>
              </w:rPr>
              <w:t>Carc. 1A, Sk.</w:t>
            </w:r>
          </w:p>
        </w:tc>
      </w:tr>
      <w:tr w:rsidR="00037E52" w:rsidRPr="004C23F4" w14:paraId="04F4C84A" w14:textId="77777777" w:rsidTr="00037E52">
        <w:trPr>
          <w:cantSplit/>
        </w:trPr>
        <w:tc>
          <w:tcPr>
            <w:tcW w:w="4010" w:type="dxa"/>
            <w:vAlign w:val="center"/>
          </w:tcPr>
          <w:p w14:paraId="6C46DD83" w14:textId="77777777" w:rsidR="00037E52" w:rsidRPr="002C58FF" w:rsidRDefault="00037E52" w:rsidP="00037E52">
            <w:pPr>
              <w:pStyle w:val="Tablerowright"/>
            </w:pPr>
            <w:r>
              <w:t>IDLH:</w:t>
            </w:r>
          </w:p>
        </w:tc>
        <w:tc>
          <w:tcPr>
            <w:tcW w:w="5016" w:type="dxa"/>
          </w:tcPr>
          <w:p w14:paraId="75ACE5B2" w14:textId="77777777" w:rsidR="00037E52" w:rsidRPr="00EB3D1B" w:rsidRDefault="00B26E11" w:rsidP="00037E52">
            <w:pPr>
              <w:pStyle w:val="Tablefont"/>
              <w:rPr>
                <w:b/>
              </w:rPr>
            </w:pPr>
            <w:r>
              <w:rPr>
                <w:b/>
              </w:rPr>
              <w:t>50 ppm</w:t>
            </w:r>
          </w:p>
        </w:tc>
      </w:tr>
      <w:tr w:rsidR="00155999" w:rsidRPr="004C23F4" w14:paraId="5151658A" w14:textId="77777777" w:rsidTr="00120080">
        <w:trPr>
          <w:cantSplit/>
        </w:trPr>
        <w:tc>
          <w:tcPr>
            <w:tcW w:w="9026" w:type="dxa"/>
            <w:gridSpan w:val="2"/>
            <w:vAlign w:val="center"/>
          </w:tcPr>
          <w:p w14:paraId="3DB484A4" w14:textId="77777777" w:rsidR="00155999" w:rsidRPr="00EB3D1B" w:rsidRDefault="00155999" w:rsidP="00037E52">
            <w:pPr>
              <w:pStyle w:val="Tablefont"/>
              <w:rPr>
                <w:b/>
              </w:rPr>
            </w:pPr>
            <w:r w:rsidRPr="00343664">
              <w:rPr>
                <w:b/>
                <w:bCs/>
              </w:rPr>
              <w:t>Sampling and analysis:</w:t>
            </w:r>
            <w:r w:rsidRPr="00EC521E">
              <w:rPr>
                <w:rStyle w:val="WESstatus"/>
                <w:color w:val="auto"/>
              </w:rPr>
              <w:t xml:space="preserve"> </w:t>
            </w:r>
            <w:sdt>
              <w:sdtPr>
                <w:rPr>
                  <w:rStyle w:val="WESstatus"/>
                  <w:bCs/>
                  <w:color w:val="auto"/>
                </w:r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013D70" w:rsidRPr="00343664">
                  <w:rPr>
                    <w:rStyle w:val="WESstatus"/>
                    <w:bCs/>
                    <w:color w:val="auto"/>
                  </w:rPr>
                  <w:t xml:space="preserve">The recommended value is quantifiable through available sampling and analysis techniques. </w:t>
                </w:r>
              </w:sdtContent>
            </w:sdt>
          </w:p>
        </w:tc>
      </w:tr>
    </w:tbl>
    <w:p w14:paraId="3AB1306E" w14:textId="77777777" w:rsidR="00CB1CB1" w:rsidRPr="003365A5" w:rsidRDefault="00F10C97" w:rsidP="003365A5">
      <w:pPr>
        <w:pStyle w:val="Heading2"/>
      </w:pPr>
      <w:r>
        <w:t>Recommendation and basis for workplace exposure standard</w:t>
      </w:r>
    </w:p>
    <w:p w14:paraId="3A9BC8DF" w14:textId="30ED6897" w:rsidR="006639B4" w:rsidRDefault="00046216" w:rsidP="000C139A">
      <w:pPr>
        <w:rPr>
          <w:rFonts w:cs="Arial"/>
        </w:rPr>
      </w:pPr>
      <w:r w:rsidRPr="00046216">
        <w:rPr>
          <w:rFonts w:cs="Arial"/>
        </w:rPr>
        <w:t xml:space="preserve">A TWA of </w:t>
      </w:r>
      <w:r w:rsidR="00E131ED">
        <w:rPr>
          <w:rFonts w:cs="Arial"/>
        </w:rPr>
        <w:t>2</w:t>
      </w:r>
      <w:r w:rsidR="004B72FC" w:rsidRPr="00046216">
        <w:rPr>
          <w:rFonts w:cs="Arial"/>
        </w:rPr>
        <w:t xml:space="preserve"> </w:t>
      </w:r>
      <w:r w:rsidRPr="00046216">
        <w:rPr>
          <w:rFonts w:cs="Arial"/>
        </w:rPr>
        <w:t>ppm (</w:t>
      </w:r>
      <w:r w:rsidR="00E131ED">
        <w:rPr>
          <w:rFonts w:cs="Arial"/>
        </w:rPr>
        <w:t>8.8</w:t>
      </w:r>
      <w:r w:rsidRPr="00046216">
        <w:rPr>
          <w:rFonts w:cs="Arial"/>
        </w:rPr>
        <w:t xml:space="preserve"> mg/m</w:t>
      </w:r>
      <w:r w:rsidRPr="00046216">
        <w:rPr>
          <w:rFonts w:cs="Arial"/>
          <w:vertAlign w:val="superscript"/>
        </w:rPr>
        <w:t>3</w:t>
      </w:r>
      <w:r w:rsidRPr="00046216">
        <w:rPr>
          <w:rFonts w:cs="Arial"/>
        </w:rPr>
        <w:t xml:space="preserve">) is recommended </w:t>
      </w:r>
      <w:r>
        <w:rPr>
          <w:rFonts w:cs="Arial"/>
        </w:rPr>
        <w:t>to</w:t>
      </w:r>
      <w:r w:rsidRPr="00046216">
        <w:rPr>
          <w:rFonts w:cs="Arial"/>
        </w:rPr>
        <w:t xml:space="preserve"> </w:t>
      </w:r>
      <w:r>
        <w:rPr>
          <w:rFonts w:cs="Arial"/>
        </w:rPr>
        <w:t>minimise potential for methaemoglobinemia, bladder and kidney irritation</w:t>
      </w:r>
      <w:r w:rsidR="00C90996">
        <w:rPr>
          <w:rFonts w:cs="Arial"/>
        </w:rPr>
        <w:t xml:space="preserve"> and</w:t>
      </w:r>
      <w:r>
        <w:rPr>
          <w:rFonts w:cs="Arial"/>
        </w:rPr>
        <w:t xml:space="preserve"> bladder cancer</w:t>
      </w:r>
      <w:r w:rsidRPr="00046216">
        <w:rPr>
          <w:rFonts w:cs="Arial"/>
        </w:rPr>
        <w:t xml:space="preserve"> in exposed workers</w:t>
      </w:r>
      <w:r>
        <w:rPr>
          <w:rFonts w:cs="Arial"/>
        </w:rPr>
        <w:t>.</w:t>
      </w:r>
    </w:p>
    <w:p w14:paraId="6DF2BC2A" w14:textId="77777777" w:rsidR="007B398F" w:rsidRPr="004C23F4" w:rsidRDefault="007B398F" w:rsidP="007B398F">
      <w:pPr>
        <w:rPr>
          <w:rFonts w:cs="Arial"/>
        </w:rPr>
      </w:pPr>
      <w:r w:rsidRPr="00413AE2">
        <w:rPr>
          <w:rFonts w:cs="Arial"/>
        </w:rPr>
        <w:t>Given the limited data available from the primary sources, it is recommended that a review of additional sources be conducted at the next scheduled review.</w:t>
      </w:r>
    </w:p>
    <w:p w14:paraId="1965295A" w14:textId="77777777" w:rsidR="00C7155E" w:rsidRPr="004C23F4" w:rsidRDefault="00F10C97" w:rsidP="003365A5">
      <w:pPr>
        <w:pStyle w:val="Heading2"/>
      </w:pPr>
      <w:r>
        <w:t>Discussion and conclusions</w:t>
      </w:r>
    </w:p>
    <w:p w14:paraId="58F018EB" w14:textId="296F842A" w:rsidR="00013D70" w:rsidRDefault="00853550" w:rsidP="006639B4">
      <w:pPr>
        <w:rPr>
          <w:rFonts w:cs="Arial"/>
        </w:rPr>
      </w:pPr>
      <w:r w:rsidRPr="00853550">
        <w:rPr>
          <w:rFonts w:cs="Arial"/>
          <w:i/>
        </w:rPr>
        <w:t>o</w:t>
      </w:r>
      <w:r>
        <w:rPr>
          <w:rFonts w:cs="Arial"/>
        </w:rPr>
        <w:t>-Toluidine</w:t>
      </w:r>
      <w:r w:rsidR="00B74D34">
        <w:rPr>
          <w:rFonts w:cs="Arial"/>
        </w:rPr>
        <w:t xml:space="preserve"> and its hydrochloride (HCl) salt</w:t>
      </w:r>
      <w:r>
        <w:rPr>
          <w:rFonts w:cs="Arial"/>
        </w:rPr>
        <w:t xml:space="preserve"> </w:t>
      </w:r>
      <w:r w:rsidR="00B74D34">
        <w:rPr>
          <w:rFonts w:cs="Arial"/>
        </w:rPr>
        <w:t xml:space="preserve">are </w:t>
      </w:r>
      <w:r>
        <w:rPr>
          <w:rFonts w:cs="Arial"/>
        </w:rPr>
        <w:t>u</w:t>
      </w:r>
      <w:r w:rsidR="00013D70">
        <w:rPr>
          <w:rFonts w:cs="Arial"/>
        </w:rPr>
        <w:t xml:space="preserve">sed in </w:t>
      </w:r>
      <w:r w:rsidR="003225DE">
        <w:rPr>
          <w:rFonts w:cs="Arial"/>
        </w:rPr>
        <w:t xml:space="preserve">the manufacture of </w:t>
      </w:r>
      <w:r w:rsidR="00013D70">
        <w:rPr>
          <w:rFonts w:cs="Arial"/>
        </w:rPr>
        <w:t>dye</w:t>
      </w:r>
      <w:r w:rsidR="003225DE">
        <w:rPr>
          <w:rFonts w:cs="Arial"/>
        </w:rPr>
        <w:t>s, rubber, pesticides</w:t>
      </w:r>
      <w:r w:rsidR="00C90996">
        <w:rPr>
          <w:rFonts w:cs="Arial"/>
        </w:rPr>
        <w:t xml:space="preserve"> and</w:t>
      </w:r>
      <w:r w:rsidR="003225DE">
        <w:rPr>
          <w:rFonts w:cs="Arial"/>
        </w:rPr>
        <w:t xml:space="preserve"> pharmaceuticals.</w:t>
      </w:r>
    </w:p>
    <w:p w14:paraId="5D89AA03" w14:textId="77777777" w:rsidR="00A35A72" w:rsidRDefault="00013D70" w:rsidP="006639B4">
      <w:pPr>
        <w:rPr>
          <w:rFonts w:cs="Arial"/>
        </w:rPr>
      </w:pPr>
      <w:r>
        <w:rPr>
          <w:rFonts w:cs="Arial"/>
        </w:rPr>
        <w:t>Critical effect</w:t>
      </w:r>
      <w:r w:rsidR="003225DE">
        <w:rPr>
          <w:rFonts w:cs="Arial"/>
        </w:rPr>
        <w:t xml:space="preserve">s of exposure </w:t>
      </w:r>
      <w:r>
        <w:rPr>
          <w:rFonts w:cs="Arial"/>
        </w:rPr>
        <w:t xml:space="preserve">are </w:t>
      </w:r>
      <w:r w:rsidR="007B398F">
        <w:rPr>
          <w:rFonts w:cs="Arial"/>
        </w:rPr>
        <w:t>methaemoglobinaemia</w:t>
      </w:r>
      <w:r w:rsidR="003225DE">
        <w:rPr>
          <w:rFonts w:cs="Arial"/>
        </w:rPr>
        <w:t>, irritation of the bladder and kidneys and bladder cancer.</w:t>
      </w:r>
    </w:p>
    <w:p w14:paraId="1B8B56F5" w14:textId="362DFF53" w:rsidR="006639B4" w:rsidRPr="00046216" w:rsidRDefault="003225DE" w:rsidP="006639B4">
      <w:pPr>
        <w:rPr>
          <w:rFonts w:cs="Arial"/>
        </w:rPr>
      </w:pPr>
      <w:r>
        <w:rPr>
          <w:rFonts w:cs="Arial"/>
        </w:rPr>
        <w:t xml:space="preserve">Chronic </w:t>
      </w:r>
      <w:r w:rsidR="00046216">
        <w:rPr>
          <w:rFonts w:cs="Arial"/>
        </w:rPr>
        <w:t xml:space="preserve">inhalational </w:t>
      </w:r>
      <w:r w:rsidR="007B398F">
        <w:rPr>
          <w:rFonts w:cs="Arial"/>
        </w:rPr>
        <w:t>and</w:t>
      </w:r>
      <w:r w:rsidR="00046216">
        <w:rPr>
          <w:rFonts w:cs="Arial"/>
        </w:rPr>
        <w:t xml:space="preserve"> dermal exposure </w:t>
      </w:r>
      <w:r>
        <w:rPr>
          <w:rFonts w:cs="Arial"/>
        </w:rPr>
        <w:t xml:space="preserve">is </w:t>
      </w:r>
      <w:r w:rsidR="00013D70">
        <w:rPr>
          <w:rFonts w:cs="Arial"/>
        </w:rPr>
        <w:t xml:space="preserve">associated with methaemoglobinemia, </w:t>
      </w:r>
      <w:r>
        <w:rPr>
          <w:rFonts w:cs="Arial"/>
        </w:rPr>
        <w:t xml:space="preserve">anaemia, skin lesions and central nervous system </w:t>
      </w:r>
      <w:r w:rsidR="007B398F">
        <w:rPr>
          <w:rFonts w:cs="Arial"/>
        </w:rPr>
        <w:t xml:space="preserve">(CNS) </w:t>
      </w:r>
      <w:r>
        <w:rPr>
          <w:rFonts w:cs="Arial"/>
        </w:rPr>
        <w:t>disturbances</w:t>
      </w:r>
      <w:r w:rsidR="00046216">
        <w:rPr>
          <w:rFonts w:cs="Arial"/>
        </w:rPr>
        <w:t xml:space="preserve"> in </w:t>
      </w:r>
      <w:r w:rsidR="004C5AE7">
        <w:rPr>
          <w:rFonts w:cs="Arial"/>
        </w:rPr>
        <w:t>workers.</w:t>
      </w:r>
      <w:r w:rsidR="00886CE0">
        <w:rPr>
          <w:rFonts w:cs="Arial"/>
        </w:rPr>
        <w:t xml:space="preserve"> A</w:t>
      </w:r>
      <w:r>
        <w:rPr>
          <w:rFonts w:cs="Arial"/>
        </w:rPr>
        <w:t xml:space="preserve"> threshold for these effects is not determined in the ava</w:t>
      </w:r>
      <w:r w:rsidR="00886CE0">
        <w:rPr>
          <w:rFonts w:cs="Arial"/>
        </w:rPr>
        <w:t>ilable database. However, p</w:t>
      </w:r>
      <w:r w:rsidR="00013D70">
        <w:rPr>
          <w:rFonts w:cs="Arial"/>
        </w:rPr>
        <w:t>oorly documented survey data indicate exposure above 5 ppm causes illness.</w:t>
      </w:r>
      <w:r w:rsidR="00886CE0">
        <w:rPr>
          <w:rFonts w:cs="Arial"/>
        </w:rPr>
        <w:t xml:space="preserve"> Epidemiological</w:t>
      </w:r>
      <w:r w:rsidR="00013D70">
        <w:rPr>
          <w:rFonts w:cs="Arial"/>
        </w:rPr>
        <w:t xml:space="preserve"> data strongly </w:t>
      </w:r>
      <w:r w:rsidR="00886CE0">
        <w:rPr>
          <w:rFonts w:cs="Arial"/>
        </w:rPr>
        <w:t>associate occupational</w:t>
      </w:r>
      <w:r w:rsidR="00013D70">
        <w:rPr>
          <w:rFonts w:cs="Arial"/>
        </w:rPr>
        <w:t xml:space="preserve"> exposure </w:t>
      </w:r>
      <w:r w:rsidR="00886CE0">
        <w:rPr>
          <w:rFonts w:cs="Arial"/>
        </w:rPr>
        <w:t xml:space="preserve">with the development of bladder cancer and are supported by evidence for </w:t>
      </w:r>
      <w:r w:rsidR="00046216">
        <w:rPr>
          <w:rFonts w:cs="Arial"/>
        </w:rPr>
        <w:t>this endpoint</w:t>
      </w:r>
      <w:r w:rsidR="00886CE0">
        <w:rPr>
          <w:rFonts w:cs="Arial"/>
        </w:rPr>
        <w:t xml:space="preserve"> in chronic feeding studies with animals</w:t>
      </w:r>
      <w:r w:rsidR="00013D70">
        <w:rPr>
          <w:rFonts w:cs="Arial"/>
        </w:rPr>
        <w:t xml:space="preserve">. </w:t>
      </w:r>
      <w:r w:rsidR="00300A61">
        <w:rPr>
          <w:rFonts w:cs="Arial"/>
        </w:rPr>
        <w:t xml:space="preserve">Results of the available </w:t>
      </w:r>
      <w:r w:rsidR="00300A61">
        <w:rPr>
          <w:rFonts w:cs="Arial"/>
          <w:i/>
        </w:rPr>
        <w:t>in vitro</w:t>
      </w:r>
      <w:r w:rsidR="00300A61">
        <w:rPr>
          <w:rFonts w:cs="Arial"/>
        </w:rPr>
        <w:t xml:space="preserve"> and </w:t>
      </w:r>
      <w:r w:rsidR="00300A61">
        <w:rPr>
          <w:rFonts w:cs="Arial"/>
          <w:i/>
        </w:rPr>
        <w:t>in vivo</w:t>
      </w:r>
      <w:r w:rsidR="00300A61">
        <w:rPr>
          <w:rFonts w:cs="Arial"/>
        </w:rPr>
        <w:t xml:space="preserve"> mutagenicity assays are equivocal </w:t>
      </w:r>
      <w:r w:rsidR="007B398F">
        <w:rPr>
          <w:rFonts w:cs="Arial"/>
        </w:rPr>
        <w:t>and</w:t>
      </w:r>
      <w:r w:rsidR="00300A61">
        <w:rPr>
          <w:rFonts w:cs="Arial"/>
        </w:rPr>
        <w:t xml:space="preserve"> indicate mutagenic potential from genotoxic metabolites. SCOEL (</w:t>
      </w:r>
      <w:r w:rsidR="009E73CE">
        <w:rPr>
          <w:rFonts w:cs="Arial"/>
        </w:rPr>
        <w:t>2014</w:t>
      </w:r>
      <w:r w:rsidR="00300A61">
        <w:rPr>
          <w:rFonts w:cs="Arial"/>
        </w:rPr>
        <w:t xml:space="preserve">) </w:t>
      </w:r>
      <w:r w:rsidR="00AE4640">
        <w:rPr>
          <w:rFonts w:cs="Arial"/>
        </w:rPr>
        <w:t>estimates a benchmark dose expected to result in 10 per cent increased tumorigenicity</w:t>
      </w:r>
      <w:r w:rsidR="00046216">
        <w:rPr>
          <w:rFonts w:cs="Arial"/>
        </w:rPr>
        <w:t xml:space="preserve"> </w:t>
      </w:r>
      <w:r w:rsidR="00AE4640">
        <w:rPr>
          <w:rFonts w:cs="Arial"/>
        </w:rPr>
        <w:t>(BMD</w:t>
      </w:r>
      <w:r w:rsidR="00AE4640">
        <w:rPr>
          <w:rFonts w:cs="Arial"/>
          <w:vertAlign w:val="subscript"/>
        </w:rPr>
        <w:t>10</w:t>
      </w:r>
      <w:r w:rsidR="00AE4640">
        <w:rPr>
          <w:rFonts w:cs="Arial"/>
        </w:rPr>
        <w:t>)</w:t>
      </w:r>
      <w:r w:rsidR="00046216">
        <w:rPr>
          <w:rFonts w:cs="Arial"/>
        </w:rPr>
        <w:t xml:space="preserve"> </w:t>
      </w:r>
      <w:r w:rsidR="00A35A72">
        <w:rPr>
          <w:rFonts w:cs="Arial"/>
        </w:rPr>
        <w:t xml:space="preserve">at </w:t>
      </w:r>
      <w:r w:rsidR="00046216">
        <w:rPr>
          <w:rFonts w:cs="Arial"/>
        </w:rPr>
        <w:t>210 mg/m</w:t>
      </w:r>
      <w:r w:rsidR="00046216">
        <w:rPr>
          <w:rFonts w:cs="Arial"/>
          <w:vertAlign w:val="superscript"/>
        </w:rPr>
        <w:t>3</w:t>
      </w:r>
      <w:r w:rsidR="00046216">
        <w:rPr>
          <w:rFonts w:cs="Arial"/>
        </w:rPr>
        <w:t xml:space="preserve"> in humans from the dose-response for the incidence of bladder cancer in rats.</w:t>
      </w:r>
    </w:p>
    <w:p w14:paraId="1E3A9A4C" w14:textId="70966C1D" w:rsidR="00A35A72" w:rsidRDefault="009E73CE" w:rsidP="006639B4">
      <w:pPr>
        <w:rPr>
          <w:rFonts w:cs="Arial"/>
        </w:rPr>
      </w:pPr>
      <w:r>
        <w:rPr>
          <w:rFonts w:cs="Arial"/>
        </w:rPr>
        <w:t xml:space="preserve">Numerical </w:t>
      </w:r>
      <w:r w:rsidR="00A35A72">
        <w:rPr>
          <w:rFonts w:cs="Arial"/>
        </w:rPr>
        <w:t xml:space="preserve">OEL </w:t>
      </w:r>
      <w:r>
        <w:rPr>
          <w:rFonts w:cs="Arial"/>
        </w:rPr>
        <w:t>equivalents are not recommended by DFG (2007) and SCOEL (2014) due to suspected genotoxic carcinogenicity.</w:t>
      </w:r>
      <w:r w:rsidR="001B04C5">
        <w:rPr>
          <w:rFonts w:cs="Arial"/>
        </w:rPr>
        <w:t xml:space="preserve"> The ACGIH (2018) TLV-TWA recommendation is based on analogy to structurally and toxicologically related aniline, for which the critical endpoint is also methaemoglobin formation.</w:t>
      </w:r>
      <w:r>
        <w:rPr>
          <w:rFonts w:cs="Arial"/>
        </w:rPr>
        <w:t xml:space="preserve"> </w:t>
      </w:r>
      <w:r w:rsidR="001B04C5">
        <w:rPr>
          <w:rFonts w:cs="Arial"/>
        </w:rPr>
        <w:t>In volunteers, a daily oral dose of 35 mg aniline is associated with blood methaemoglobin concentration of 3.7</w:t>
      </w:r>
      <w:r w:rsidR="00C72577">
        <w:rPr>
          <w:rFonts w:cs="Arial"/>
        </w:rPr>
        <w:t xml:space="preserve"> per cent, </w:t>
      </w:r>
      <w:r w:rsidR="001B04C5">
        <w:rPr>
          <w:rFonts w:cs="Arial"/>
        </w:rPr>
        <w:t xml:space="preserve">which is below the maximally tolerated level of </w:t>
      </w:r>
      <w:r w:rsidR="001B04C5">
        <w:rPr>
          <w:rFonts w:cs="Arial"/>
        </w:rPr>
        <w:lastRenderedPageBreak/>
        <w:t>approximately 5</w:t>
      </w:r>
      <w:r w:rsidR="00C72577">
        <w:rPr>
          <w:rFonts w:cs="Arial"/>
        </w:rPr>
        <w:t xml:space="preserve"> per cent </w:t>
      </w:r>
      <w:r w:rsidR="004B72FC">
        <w:rPr>
          <w:rFonts w:cs="Arial"/>
        </w:rPr>
        <w:t>(SCOEL, 201</w:t>
      </w:r>
      <w:r w:rsidR="00A1603B">
        <w:rPr>
          <w:rFonts w:cs="Arial"/>
        </w:rPr>
        <w:t>0</w:t>
      </w:r>
      <w:r w:rsidR="004B72FC">
        <w:rPr>
          <w:rFonts w:cs="Arial"/>
        </w:rPr>
        <w:t>) and is the basis of the TWA for aniline and its homologues</w:t>
      </w:r>
      <w:r w:rsidR="000226F7">
        <w:rPr>
          <w:rFonts w:cs="Arial"/>
        </w:rPr>
        <w:t xml:space="preserve"> of</w:t>
      </w:r>
      <w:r w:rsidR="004B72FC">
        <w:rPr>
          <w:rFonts w:cs="Arial"/>
        </w:rPr>
        <w:t xml:space="preserve"> </w:t>
      </w:r>
      <w:r w:rsidR="00CD19B3">
        <w:rPr>
          <w:rFonts w:cs="Arial"/>
        </w:rPr>
        <w:t>0.5</w:t>
      </w:r>
      <w:r w:rsidR="004B72FC">
        <w:rPr>
          <w:rFonts w:cs="Arial"/>
        </w:rPr>
        <w:t xml:space="preserve"> ppm</w:t>
      </w:r>
      <w:r w:rsidR="001B04C5">
        <w:rPr>
          <w:rFonts w:cs="Arial"/>
        </w:rPr>
        <w:t xml:space="preserve">. </w:t>
      </w:r>
    </w:p>
    <w:p w14:paraId="4B93AF99" w14:textId="078E742D" w:rsidR="009A5458" w:rsidRPr="00422765" w:rsidRDefault="00300A61" w:rsidP="006639B4">
      <w:pPr>
        <w:rPr>
          <w:rFonts w:cs="Arial"/>
        </w:rPr>
      </w:pPr>
      <w:r>
        <w:rPr>
          <w:rFonts w:cs="Arial"/>
        </w:rPr>
        <w:t xml:space="preserve">In view of the uncertainty of </w:t>
      </w:r>
      <w:r w:rsidR="00046216">
        <w:rPr>
          <w:rFonts w:cs="Arial"/>
        </w:rPr>
        <w:t>a</w:t>
      </w:r>
      <w:r>
        <w:rPr>
          <w:rFonts w:cs="Arial"/>
        </w:rPr>
        <w:t xml:space="preserve"> potential genotoxic mechanism of carcinogenicity</w:t>
      </w:r>
      <w:r w:rsidR="00C90996">
        <w:rPr>
          <w:rFonts w:cs="Arial"/>
        </w:rPr>
        <w:t xml:space="preserve"> and</w:t>
      </w:r>
      <w:r>
        <w:rPr>
          <w:rFonts w:cs="Arial"/>
        </w:rPr>
        <w:t xml:space="preserve"> absence of a suitable inhalation carcinogenic unit risk factor</w:t>
      </w:r>
      <w:r w:rsidR="00046216">
        <w:rPr>
          <w:rFonts w:cs="Arial"/>
        </w:rPr>
        <w:t xml:space="preserve">, </w:t>
      </w:r>
      <w:r w:rsidR="00CD19B3">
        <w:rPr>
          <w:rFonts w:cs="Arial"/>
        </w:rPr>
        <w:t>the</w:t>
      </w:r>
      <w:r w:rsidR="00CD19B3" w:rsidRPr="00CD19B3">
        <w:rPr>
          <w:rFonts w:cs="Arial"/>
        </w:rPr>
        <w:t xml:space="preserve"> TWA of </w:t>
      </w:r>
      <w:r w:rsidR="00E131ED">
        <w:rPr>
          <w:rFonts w:cs="Arial"/>
        </w:rPr>
        <w:t>2</w:t>
      </w:r>
      <w:r w:rsidR="00E131ED" w:rsidRPr="00CD19B3">
        <w:rPr>
          <w:rFonts w:cs="Arial"/>
        </w:rPr>
        <w:t> </w:t>
      </w:r>
      <w:r w:rsidR="00CD19B3" w:rsidRPr="00CD19B3">
        <w:rPr>
          <w:rFonts w:cs="Arial"/>
        </w:rPr>
        <w:t xml:space="preserve">ppm </w:t>
      </w:r>
      <w:r w:rsidR="00FB6D59">
        <w:rPr>
          <w:rFonts w:cs="Arial"/>
        </w:rPr>
        <w:t xml:space="preserve">recommended </w:t>
      </w:r>
      <w:r w:rsidR="00A35A72" w:rsidRPr="00CD19B3">
        <w:rPr>
          <w:rFonts w:cs="Arial"/>
        </w:rPr>
        <w:t>by ACGIH (2018)</w:t>
      </w:r>
      <w:r w:rsidR="00A35A72">
        <w:rPr>
          <w:rFonts w:cs="Arial"/>
        </w:rPr>
        <w:t xml:space="preserve"> </w:t>
      </w:r>
      <w:r w:rsidR="00CD19B3" w:rsidRPr="00CD19B3">
        <w:rPr>
          <w:rFonts w:cs="Arial"/>
        </w:rPr>
        <w:t>is retained</w:t>
      </w:r>
      <w:r w:rsidR="00CD19B3">
        <w:rPr>
          <w:rFonts w:cs="Arial"/>
        </w:rPr>
        <w:t xml:space="preserve"> in the interim</w:t>
      </w:r>
      <w:r w:rsidR="001B04C5">
        <w:rPr>
          <w:rFonts w:cs="Arial"/>
        </w:rPr>
        <w:t>.</w:t>
      </w:r>
      <w:r>
        <w:rPr>
          <w:rFonts w:cs="Arial"/>
        </w:rPr>
        <w:t xml:space="preserve"> However, </w:t>
      </w:r>
      <w:r w:rsidR="00AE4640">
        <w:rPr>
          <w:rFonts w:cs="Arial"/>
        </w:rPr>
        <w:t>further assessment</w:t>
      </w:r>
      <w:r w:rsidR="00046216">
        <w:rPr>
          <w:rFonts w:cs="Arial"/>
        </w:rPr>
        <w:t xml:space="preserve"> of the carcinogenic mechanism</w:t>
      </w:r>
      <w:r w:rsidR="00C72577">
        <w:rPr>
          <w:rFonts w:cs="Arial"/>
        </w:rPr>
        <w:t xml:space="preserve"> </w:t>
      </w:r>
      <w:r w:rsidR="00AE4640">
        <w:rPr>
          <w:rFonts w:cs="Arial"/>
        </w:rPr>
        <w:t>is recommended as a priority durin</w:t>
      </w:r>
      <w:r w:rsidR="00046216">
        <w:rPr>
          <w:rFonts w:cs="Arial"/>
        </w:rPr>
        <w:t>g subsequent reviews of the WES.</w:t>
      </w:r>
      <w:r w:rsidR="00C72577">
        <w:rPr>
          <w:rFonts w:cs="Arial"/>
        </w:rPr>
        <w:t xml:space="preserve"> </w:t>
      </w:r>
      <w:r w:rsidR="00422765">
        <w:rPr>
          <w:rFonts w:cs="Arial"/>
        </w:rPr>
        <w:t>Due to the toxicological similarities with aniline and the evaluation approach presented by ACGIH (2018)</w:t>
      </w:r>
      <w:r w:rsidR="00C72577">
        <w:rPr>
          <w:rFonts w:cs="Arial"/>
        </w:rPr>
        <w:t xml:space="preserve">, future reviews should also consider adoption of the TWA for aniline and its homologues for </w:t>
      </w:r>
      <w:r w:rsidR="00C72577">
        <w:rPr>
          <w:rFonts w:cs="Arial"/>
          <w:i/>
        </w:rPr>
        <w:t>o</w:t>
      </w:r>
      <w:r w:rsidR="00C72577">
        <w:rPr>
          <w:rFonts w:cs="Arial"/>
        </w:rPr>
        <w:t>-toluidine.</w:t>
      </w:r>
    </w:p>
    <w:p w14:paraId="7BC45C11" w14:textId="77777777" w:rsidR="004529F0" w:rsidRPr="004C23F4" w:rsidRDefault="004529F0" w:rsidP="004529F0">
      <w:pPr>
        <w:pStyle w:val="Heading2"/>
      </w:pPr>
      <w:r>
        <w:t>Recommendation for notations</w:t>
      </w:r>
    </w:p>
    <w:p w14:paraId="370CF010" w14:textId="77777777" w:rsidR="00046216" w:rsidRPr="00046216" w:rsidRDefault="00046216" w:rsidP="00046216">
      <w:pPr>
        <w:rPr>
          <w:rFonts w:cs="Arial"/>
        </w:rPr>
      </w:pPr>
      <w:r w:rsidRPr="00046216">
        <w:rPr>
          <w:rFonts w:cs="Arial"/>
        </w:rPr>
        <w:t xml:space="preserve">Classified as a category </w:t>
      </w:r>
      <w:r w:rsidR="00BF2CF7">
        <w:rPr>
          <w:rFonts w:cs="Arial"/>
        </w:rPr>
        <w:t>1A</w:t>
      </w:r>
      <w:r w:rsidRPr="00046216">
        <w:rPr>
          <w:rFonts w:cs="Arial"/>
        </w:rPr>
        <w:t xml:space="preserve"> carcinogen according to the Globally Harmonized System of Classification and Labelling of Chemicals (GHS). </w:t>
      </w:r>
    </w:p>
    <w:p w14:paraId="06626145" w14:textId="77777777" w:rsidR="008E4F1F" w:rsidRPr="00046216" w:rsidRDefault="008E4F1F" w:rsidP="008E4F1F">
      <w:pPr>
        <w:rPr>
          <w:rFonts w:cs="Arial"/>
        </w:rPr>
      </w:pPr>
      <w:r w:rsidRPr="00046216">
        <w:rPr>
          <w:rFonts w:cs="Arial"/>
        </w:rPr>
        <w:t xml:space="preserve">Not classified as a skin </w:t>
      </w:r>
      <w:r w:rsidR="00155999" w:rsidRPr="00046216">
        <w:rPr>
          <w:rFonts w:cs="Arial"/>
        </w:rPr>
        <w:t xml:space="preserve">sensitiser </w:t>
      </w:r>
      <w:r w:rsidRPr="00046216">
        <w:rPr>
          <w:rFonts w:cs="Arial"/>
        </w:rPr>
        <w:t>or respiratory sensitiser according to the GHS.</w:t>
      </w:r>
    </w:p>
    <w:p w14:paraId="073A442D" w14:textId="77777777" w:rsidR="0025734A" w:rsidRPr="00046216" w:rsidRDefault="00046216">
      <w:pPr>
        <w:rPr>
          <w:rFonts w:cs="Arial"/>
        </w:rPr>
      </w:pPr>
      <w:r w:rsidRPr="00046216">
        <w:rPr>
          <w:rFonts w:cs="Arial"/>
        </w:rPr>
        <w:t>A skin notation is recommended due to evidence of dermal absorption and contribution to adverse systemic effects.</w:t>
      </w:r>
    </w:p>
    <w:p w14:paraId="615616FC"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3EBCBAEE"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695C2030"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0C5A81E7" w14:textId="77777777" w:rsidTr="00CB2A8F">
        <w:trPr>
          <w:gridAfter w:val="1"/>
          <w:cnfStyle w:val="100000000000" w:firstRow="1" w:lastRow="0" w:firstColumn="0" w:lastColumn="0" w:oddVBand="0" w:evenVBand="0" w:oddHBand="0" w:evenHBand="0" w:firstRowFirstColumn="0" w:firstRowLastColumn="0" w:lastRowFirstColumn="0" w:lastRowLastColumn="0"/>
          <w:wAfter w:w="8" w:type="pct"/>
          <w:trHeight w:val="393"/>
          <w:tblHeader/>
        </w:trPr>
        <w:tc>
          <w:tcPr>
            <w:tcW w:w="4992" w:type="pct"/>
            <w:shd w:val="clear" w:color="auto" w:fill="BFBFBF" w:themeFill="background1" w:themeFillShade="BF"/>
            <w:vAlign w:val="center"/>
          </w:tcPr>
          <w:p w14:paraId="0E4BC894"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448A8B45" w14:textId="77777777" w:rsidTr="00CB2A8F">
        <w:tc>
          <w:tcPr>
            <w:tcW w:w="5000" w:type="pct"/>
            <w:gridSpan w:val="2"/>
            <w:shd w:val="clear" w:color="auto" w:fill="F2F2F2" w:themeFill="background1" w:themeFillShade="F2"/>
          </w:tcPr>
          <w:p w14:paraId="07362DDF"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421F28">
                  <w:t>1991</w:t>
                </w:r>
              </w:sdtContent>
            </w:sdt>
            <w:r w:rsidRPr="003365A5">
              <w:tab/>
            </w:r>
            <w:r>
              <w:tab/>
            </w:r>
            <w:sdt>
              <w:sdtPr>
                <w:alias w:val="SWA WES"/>
                <w:tag w:val="SWA WES"/>
                <w:id w:val="857077202"/>
                <w:placeholder>
                  <w:docPart w:val="81CFEC2FDBC5451289F394E66D92D1A0"/>
                </w:placeholder>
              </w:sdtPr>
              <w:sdtEndPr/>
              <w:sdtContent>
                <w:r w:rsidR="003B16C1">
                  <w:t>TWA:</w:t>
                </w:r>
                <w:r w:rsidR="003B16C1" w:rsidRPr="003B16C1">
                  <w:t xml:space="preserve"> 2 ppm (8.8 mg/m</w:t>
                </w:r>
                <w:r w:rsidR="003B16C1" w:rsidRPr="003B16C1">
                  <w:rPr>
                    <w:vertAlign w:val="superscript"/>
                  </w:rPr>
                  <w:t>3</w:t>
                </w:r>
                <w:r w:rsidR="003B16C1" w:rsidRPr="003B16C1">
                  <w:t>)</w:t>
                </w:r>
              </w:sdtContent>
            </w:sdt>
          </w:p>
        </w:tc>
      </w:tr>
      <w:tr w:rsidR="00C978F0" w:rsidRPr="00DA352E" w14:paraId="30A3DA28" w14:textId="77777777" w:rsidTr="00CB2A8F">
        <w:trPr>
          <w:gridAfter w:val="1"/>
          <w:wAfter w:w="8" w:type="pct"/>
        </w:trPr>
        <w:tc>
          <w:tcPr>
            <w:tcW w:w="4992" w:type="pct"/>
          </w:tcPr>
          <w:p w14:paraId="120DA5F1" w14:textId="77777777" w:rsidR="00810A8A" w:rsidRPr="00810A8A" w:rsidRDefault="00810A8A" w:rsidP="00810A8A"/>
        </w:tc>
      </w:tr>
      <w:tr w:rsidR="00C978F0" w:rsidRPr="00DA352E" w14:paraId="0771402B" w14:textId="77777777" w:rsidTr="00CB2A8F">
        <w:trPr>
          <w:gridAfter w:val="1"/>
          <w:wAfter w:w="8" w:type="pct"/>
        </w:trPr>
        <w:tc>
          <w:tcPr>
            <w:tcW w:w="4992" w:type="pct"/>
            <w:shd w:val="clear" w:color="auto" w:fill="F2F2F2" w:themeFill="background1" w:themeFillShade="F2"/>
          </w:tcPr>
          <w:p w14:paraId="18F4EE93"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071914">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071914" w:rsidRPr="00071914">
                  <w:t>TLV–TWA</w:t>
                </w:r>
                <w:r w:rsidR="00071914">
                  <w:t>:</w:t>
                </w:r>
                <w:r w:rsidR="00071914" w:rsidRPr="00071914">
                  <w:t xml:space="preserve"> 2 ppm (8.8 mg/m</w:t>
                </w:r>
                <w:r w:rsidR="00071914" w:rsidRPr="00A3108F">
                  <w:rPr>
                    <w:vertAlign w:val="superscript"/>
                  </w:rPr>
                  <w:t>3</w:t>
                </w:r>
                <w:r w:rsidR="00071914" w:rsidRPr="00071914">
                  <w:t>)</w:t>
                </w:r>
              </w:sdtContent>
            </w:sdt>
          </w:p>
        </w:tc>
      </w:tr>
      <w:tr w:rsidR="00C978F0" w:rsidRPr="00DA352E" w14:paraId="0E876767" w14:textId="77777777" w:rsidTr="00CB2A8F">
        <w:trPr>
          <w:gridAfter w:val="1"/>
          <w:wAfter w:w="8" w:type="pct"/>
        </w:trPr>
        <w:tc>
          <w:tcPr>
            <w:tcW w:w="4992" w:type="pct"/>
          </w:tcPr>
          <w:p w14:paraId="1EB75F08" w14:textId="77777777" w:rsidR="00C978F0" w:rsidRDefault="008C71FF" w:rsidP="003365A5">
            <w:pPr>
              <w:pStyle w:val="Tabletextprimarysource"/>
            </w:pPr>
            <w:r>
              <w:t>TLV-TWA intended to protect for methaemoglobinemia and irritation of the eyes, skin and bladder. Skin notation recommended based on reports of systemic toxicity following dermal absorption. Carcinogenicity in animals is unaffirmed in epidemiological data and relevance of carcinogenic potential to humans is uncertain (A3).</w:t>
            </w:r>
          </w:p>
          <w:p w14:paraId="0DEDD92E" w14:textId="53599F62" w:rsidR="00A35A72" w:rsidRDefault="008C71FF" w:rsidP="003365A5">
            <w:pPr>
              <w:pStyle w:val="Tabletextprimarysource"/>
            </w:pPr>
            <w:r>
              <w:t>Summary of information</w:t>
            </w:r>
            <w:r w:rsidR="00B5025F">
              <w:t>:</w:t>
            </w:r>
          </w:p>
          <w:p w14:paraId="5FD5E15B" w14:textId="77777777" w:rsidR="008C71FF" w:rsidRDefault="008C71FF" w:rsidP="003365A5">
            <w:pPr>
              <w:pStyle w:val="Tabletextprimarysource"/>
            </w:pPr>
            <w:r>
              <w:t>TLV-TWA based on analogy to aniline and nitrobenzene, which are toxicologically and structurally related.</w:t>
            </w:r>
          </w:p>
          <w:p w14:paraId="2D07CDC6" w14:textId="227A92AC" w:rsidR="00A35A72" w:rsidRDefault="008C71FF" w:rsidP="003365A5">
            <w:pPr>
              <w:pStyle w:val="Tabletextprimarysource"/>
            </w:pPr>
            <w:r>
              <w:t>Human data</w:t>
            </w:r>
            <w:r w:rsidR="00B5025F">
              <w:t>:</w:t>
            </w:r>
          </w:p>
          <w:p w14:paraId="6C76C238" w14:textId="32BB7FD9" w:rsidR="008C71FF" w:rsidRDefault="00BF4DB8" w:rsidP="00D76E6C">
            <w:pPr>
              <w:pStyle w:val="Tabletextprimarysource"/>
              <w:numPr>
                <w:ilvl w:val="0"/>
                <w:numId w:val="2"/>
              </w:numPr>
              <w:ind w:left="717"/>
            </w:pPr>
            <w:r>
              <w:t>Signs of intoxication include methaemoglobinemia, haematuria, irritation of bladder and kidney</w:t>
            </w:r>
            <w:r w:rsidR="00C90996">
              <w:t xml:space="preserve"> and</w:t>
            </w:r>
            <w:r>
              <w:t xml:space="preserve"> physiological and psychological disturbances (no further details provided)</w:t>
            </w:r>
          </w:p>
          <w:p w14:paraId="2305BDBB" w14:textId="77777777" w:rsidR="00BF4DB8" w:rsidRDefault="00BF4DB8" w:rsidP="00D76E6C">
            <w:pPr>
              <w:pStyle w:val="Tabletextprimarysource"/>
              <w:numPr>
                <w:ilvl w:val="0"/>
                <w:numId w:val="2"/>
              </w:numPr>
              <w:ind w:left="717"/>
            </w:pPr>
            <w:r>
              <w:t>Severe intoxication at 40 ppm (1 h, no further details provided)</w:t>
            </w:r>
          </w:p>
          <w:p w14:paraId="2E4C6B41" w14:textId="77777777" w:rsidR="00BF4DB8" w:rsidRDefault="00BF4DB8" w:rsidP="00D76E6C">
            <w:pPr>
              <w:pStyle w:val="Tabletextprimarysource"/>
              <w:numPr>
                <w:ilvl w:val="0"/>
                <w:numId w:val="2"/>
              </w:numPr>
              <w:ind w:left="717"/>
            </w:pPr>
            <w:r>
              <w:t>Available epidemiological data confounded by mixed exposures to other aromatic amines</w:t>
            </w:r>
          </w:p>
          <w:p w14:paraId="44BB588E" w14:textId="77777777" w:rsidR="00BF4DB8" w:rsidRDefault="004948EA" w:rsidP="00D76E6C">
            <w:pPr>
              <w:pStyle w:val="Tabletextprimarysource"/>
              <w:numPr>
                <w:ilvl w:val="0"/>
                <w:numId w:val="2"/>
              </w:numPr>
              <w:ind w:left="717"/>
            </w:pPr>
            <w:r>
              <w:t>Increased incidence of bladder cancer in workers co-exposed to aniline (no details on exposure provided)</w:t>
            </w:r>
          </w:p>
          <w:p w14:paraId="62412569" w14:textId="77777777" w:rsidR="004948EA" w:rsidRDefault="004948EA" w:rsidP="00D76E6C">
            <w:pPr>
              <w:pStyle w:val="Tabletextprimarysource"/>
              <w:numPr>
                <w:ilvl w:val="0"/>
                <w:numId w:val="2"/>
              </w:numPr>
              <w:ind w:left="717"/>
            </w:pPr>
            <w:r>
              <w:t>Calculated skin permeability coefficient: 0.0037 cm/h</w:t>
            </w:r>
            <w:r w:rsidR="00810A8A">
              <w:t>.</w:t>
            </w:r>
          </w:p>
          <w:p w14:paraId="6B629807" w14:textId="304456B5" w:rsidR="00A35A72" w:rsidRDefault="008C71FF" w:rsidP="003365A5">
            <w:pPr>
              <w:pStyle w:val="Tabletextprimarysource"/>
            </w:pPr>
            <w:r>
              <w:t>Animal data</w:t>
            </w:r>
            <w:r w:rsidR="00B5025F">
              <w:t>:</w:t>
            </w:r>
          </w:p>
          <w:p w14:paraId="100C2AF7" w14:textId="37AAF40C" w:rsidR="008C71FF" w:rsidRDefault="008C71FF" w:rsidP="00D76E6C">
            <w:pPr>
              <w:pStyle w:val="Tabletextprimarysource"/>
              <w:numPr>
                <w:ilvl w:val="0"/>
                <w:numId w:val="1"/>
              </w:numPr>
              <w:ind w:left="717"/>
            </w:pPr>
            <w:r>
              <w:t>LD</w:t>
            </w:r>
            <w:r>
              <w:rPr>
                <w:vertAlign w:val="subscript"/>
              </w:rPr>
              <w:t>50</w:t>
            </w:r>
            <w:r w:rsidR="00A35A72">
              <w:t xml:space="preserve"> of </w:t>
            </w:r>
            <w:r>
              <w:t>3,250 mg/kg (rabbits</w:t>
            </w:r>
            <w:r w:rsidR="00810A8A">
              <w:t>, dermal</w:t>
            </w:r>
            <w:r>
              <w:t>)</w:t>
            </w:r>
          </w:p>
          <w:p w14:paraId="3DD9033F" w14:textId="77777777" w:rsidR="008C71FF" w:rsidRDefault="008C71FF" w:rsidP="00D76E6C">
            <w:pPr>
              <w:pStyle w:val="Tabletextprimarysource"/>
              <w:numPr>
                <w:ilvl w:val="0"/>
                <w:numId w:val="1"/>
              </w:numPr>
              <w:ind w:left="717"/>
            </w:pPr>
            <w:r>
              <w:t xml:space="preserve">Mean maximal methaemoglobinemia of 70.1% following IV injection of 27 mg/kg (cats); effects </w:t>
            </w:r>
            <w:proofErr w:type="gramStart"/>
            <w:r>
              <w:t>similar to</w:t>
            </w:r>
            <w:proofErr w:type="gramEnd"/>
            <w:r>
              <w:t xml:space="preserve"> those reported for aniline</w:t>
            </w:r>
          </w:p>
          <w:p w14:paraId="495E6699" w14:textId="77777777" w:rsidR="008C71FF" w:rsidRDefault="00883A56" w:rsidP="00D76E6C">
            <w:pPr>
              <w:pStyle w:val="Tabletextprimarysource"/>
              <w:numPr>
                <w:ilvl w:val="0"/>
                <w:numId w:val="1"/>
              </w:numPr>
              <w:ind w:left="717"/>
            </w:pPr>
            <w:r>
              <w:t>Methaemoglobinemia and increased markers for anaemia at 35 mg/kg/d in subchronic gavage study (rats, 2.5 mo)</w:t>
            </w:r>
          </w:p>
          <w:p w14:paraId="4592C5D6" w14:textId="24F1B038" w:rsidR="00883A56" w:rsidRDefault="00BD708E" w:rsidP="00D76E6C">
            <w:pPr>
              <w:pStyle w:val="Tabletextprimarysource"/>
              <w:numPr>
                <w:ilvl w:val="0"/>
                <w:numId w:val="1"/>
              </w:numPr>
              <w:ind w:left="717"/>
            </w:pPr>
            <w:r>
              <w:t xml:space="preserve">Bladder </w:t>
            </w:r>
            <w:r w:rsidR="00BB32EE">
              <w:t xml:space="preserve">epithelial </w:t>
            </w:r>
            <w:r>
              <w:t>keratosis, metaplasia</w:t>
            </w:r>
            <w:r w:rsidR="00C90996">
              <w:t xml:space="preserve"> and</w:t>
            </w:r>
            <w:r>
              <w:t xml:space="preserve"> low incidence of papillomas (no further details) in subchronic feeding study at </w:t>
            </w:r>
            <w:r w:rsidR="00E72E7D">
              <w:t>5,714</w:t>
            </w:r>
            <w:r>
              <w:t xml:space="preserve"> mg/</w:t>
            </w:r>
            <w:r w:rsidR="00E72E7D">
              <w:t xml:space="preserve">kg/d as 7.5% solution in peanut oil </w:t>
            </w:r>
            <w:r>
              <w:t xml:space="preserve">(rats, 64 d, then </w:t>
            </w:r>
            <w:r w:rsidR="00E72E7D">
              <w:t xml:space="preserve">27 </w:t>
            </w:r>
            <w:r>
              <w:t>d at 50% dose</w:t>
            </w:r>
            <w:r w:rsidR="00E72E7D">
              <w:t>, 91 d total</w:t>
            </w:r>
            <w:r>
              <w:t>)</w:t>
            </w:r>
            <w:r w:rsidR="008A681C">
              <w:t>. No further information provided</w:t>
            </w:r>
          </w:p>
          <w:p w14:paraId="2ABC7CCF" w14:textId="0F54E726" w:rsidR="00FE211C" w:rsidRDefault="0050288E" w:rsidP="00D76E6C">
            <w:pPr>
              <w:pStyle w:val="Tabletextprimarysource"/>
              <w:numPr>
                <w:ilvl w:val="0"/>
                <w:numId w:val="1"/>
              </w:numPr>
              <w:ind w:left="717"/>
            </w:pPr>
            <w:r>
              <w:t xml:space="preserve">Dose-dependent decreased </w:t>
            </w:r>
            <w:r w:rsidR="00E45586">
              <w:t>body weight</w:t>
            </w:r>
            <w:r>
              <w:t xml:space="preserve"> </w:t>
            </w:r>
            <w:proofErr w:type="gramStart"/>
            <w:r>
              <w:t>gain</w:t>
            </w:r>
            <w:proofErr w:type="gramEnd"/>
            <w:r>
              <w:t xml:space="preserve"> </w:t>
            </w:r>
            <w:r w:rsidR="007818B4">
              <w:t>up to 50,000 ppm of diet (mice, rats)</w:t>
            </w:r>
            <w:r w:rsidR="00C90996">
              <w:t xml:space="preserve"> and</w:t>
            </w:r>
            <w:r w:rsidR="007818B4">
              <w:t xml:space="preserve"> renal hepatic</w:t>
            </w:r>
            <w:r w:rsidR="00C90996">
              <w:t xml:space="preserve"> and</w:t>
            </w:r>
            <w:r w:rsidR="007818B4">
              <w:t xml:space="preserve"> splenic pigmentation at 12,500 ppm (rats) reported in subchronic feeding studies (mice, rats, 7 wk)</w:t>
            </w:r>
          </w:p>
          <w:p w14:paraId="1C0CD16A" w14:textId="77777777" w:rsidR="007818B4" w:rsidRDefault="007818B4" w:rsidP="00D76E6C">
            <w:pPr>
              <w:pStyle w:val="Tabletextprimarysource"/>
              <w:numPr>
                <w:ilvl w:val="0"/>
                <w:numId w:val="1"/>
              </w:numPr>
              <w:ind w:left="717"/>
            </w:pPr>
            <w:r>
              <w:t xml:space="preserve">Significant dose-dependent increased incidence of vascular tumours in abdomen and bladder at 16,000 (3 mo) and </w:t>
            </w:r>
            <w:r w:rsidR="00390493">
              <w:t>8,000 (15 mo) ppm of diet, or 32,000 (3 mo) and 16,000 ppm of diet reported in chronic feeding study (mice, 18 mo)</w:t>
            </w:r>
          </w:p>
          <w:p w14:paraId="32CA9C89" w14:textId="77777777" w:rsidR="00390493" w:rsidRDefault="00390493" w:rsidP="00D76E6C">
            <w:pPr>
              <w:pStyle w:val="Tabletextprimarysource"/>
              <w:numPr>
                <w:ilvl w:val="0"/>
                <w:numId w:val="1"/>
              </w:numPr>
              <w:ind w:left="717"/>
            </w:pPr>
            <w:r>
              <w:t>Significant increased incidence of vascular tumours (males) and liver tumours (females) at 3,000 ppm of diet, but not at 1,000 ppm in chronic feeding study (mice, 2 yr)</w:t>
            </w:r>
          </w:p>
          <w:p w14:paraId="21E4031F" w14:textId="77777777" w:rsidR="00390493" w:rsidRDefault="00117B51" w:rsidP="00D76E6C">
            <w:pPr>
              <w:pStyle w:val="Tabletextprimarysource"/>
              <w:numPr>
                <w:ilvl w:val="0"/>
                <w:numId w:val="1"/>
              </w:numPr>
              <w:ind w:left="717"/>
            </w:pPr>
            <w:r>
              <w:t>Significant increased incidence of subcutaneous tumours and non-significant increase in bladder tumours at 8,000 (3 mo) and 4,000 (15 mo)</w:t>
            </w:r>
            <w:r w:rsidR="0045786A">
              <w:t xml:space="preserve"> ppm of diet</w:t>
            </w:r>
            <w:r>
              <w:t>, or 16,000 (3 mo)</w:t>
            </w:r>
            <w:r w:rsidR="0045786A">
              <w:t xml:space="preserve"> and 8,000 ppm of diet (rats, 18 mo)</w:t>
            </w:r>
          </w:p>
          <w:p w14:paraId="43587D73" w14:textId="560B3283" w:rsidR="0045786A" w:rsidRDefault="0045786A" w:rsidP="00D76E6C">
            <w:pPr>
              <w:pStyle w:val="Tabletextprimarysource"/>
              <w:numPr>
                <w:ilvl w:val="0"/>
                <w:numId w:val="1"/>
              </w:numPr>
              <w:ind w:left="717"/>
            </w:pPr>
            <w:r>
              <w:t xml:space="preserve">Equivocal results for mutagenicity </w:t>
            </w:r>
            <w:r>
              <w:rPr>
                <w:i/>
              </w:rPr>
              <w:t>in vitro</w:t>
            </w:r>
            <w:r>
              <w:t xml:space="preserve"> in bacteria, yeast</w:t>
            </w:r>
            <w:r w:rsidR="00C90996">
              <w:t xml:space="preserve"> and</w:t>
            </w:r>
            <w:r>
              <w:t xml:space="preserve"> mammalian cells using pure substance in the presence or absence of metabolic activation, or as concentrated urine from exposed rats</w:t>
            </w:r>
          </w:p>
          <w:p w14:paraId="34D17FAB" w14:textId="069DAEF3" w:rsidR="00BF4DB8" w:rsidRDefault="0045786A" w:rsidP="00D76E6C">
            <w:pPr>
              <w:pStyle w:val="Tabletextprimarysource"/>
              <w:numPr>
                <w:ilvl w:val="0"/>
                <w:numId w:val="1"/>
              </w:numPr>
              <w:ind w:left="717"/>
            </w:pPr>
            <w:r>
              <w:lastRenderedPageBreak/>
              <w:t>Single-strand DNA breaks in liver and kidney cells at IP dose of 100 mg/kg (mice)</w:t>
            </w:r>
            <w:r w:rsidR="00BF4DB8">
              <w:t>, inhibition of DNA synthesis in testis at gavage dose of 200 mg/kg (mice)</w:t>
            </w:r>
            <w:r w:rsidR="00C90996">
              <w:t xml:space="preserve"> and</w:t>
            </w:r>
            <w:r w:rsidR="00BF4DB8">
              <w:t xml:space="preserve"> inhibition of renal DNA synthesis in pups (mice) reported </w:t>
            </w:r>
            <w:r w:rsidR="00BF4DB8">
              <w:rPr>
                <w:i/>
              </w:rPr>
              <w:t>in vivo</w:t>
            </w:r>
            <w:r w:rsidR="00810A8A">
              <w:rPr>
                <w:i/>
              </w:rPr>
              <w:t>.</w:t>
            </w:r>
          </w:p>
          <w:p w14:paraId="68E1A99D" w14:textId="77777777" w:rsidR="00810A8A" w:rsidRDefault="008C71FF" w:rsidP="00810A8A">
            <w:pPr>
              <w:pStyle w:val="Tabletextprimarysource"/>
            </w:pPr>
            <w:r>
              <w:t>Insufficient data to recommend a TLV-STEL or sensitiser notation.</w:t>
            </w:r>
          </w:p>
          <w:p w14:paraId="641B8342" w14:textId="48BF2B01" w:rsidR="00B5025F" w:rsidRPr="00810A8A" w:rsidRDefault="00B5025F" w:rsidP="00810A8A">
            <w:pPr>
              <w:pStyle w:val="Tabletextprimarysource"/>
            </w:pPr>
          </w:p>
        </w:tc>
      </w:tr>
      <w:tr w:rsidR="00C978F0" w:rsidRPr="00DA352E" w14:paraId="58DA06DB" w14:textId="77777777" w:rsidTr="00CB2A8F">
        <w:trPr>
          <w:gridAfter w:val="1"/>
          <w:wAfter w:w="8" w:type="pct"/>
        </w:trPr>
        <w:tc>
          <w:tcPr>
            <w:tcW w:w="4992" w:type="pct"/>
            <w:shd w:val="clear" w:color="auto" w:fill="F2F2F2" w:themeFill="background1" w:themeFillShade="F2"/>
          </w:tcPr>
          <w:p w14:paraId="7B968786"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CF26BE">
                  <w:t>2007</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CF26BE">
                  <w:t>N</w:t>
                </w:r>
                <w:r w:rsidR="003D2549">
                  <w:t>o</w:t>
                </w:r>
                <w:r w:rsidR="00CF26BE">
                  <w:t>t assigned</w:t>
                </w:r>
              </w:sdtContent>
            </w:sdt>
          </w:p>
        </w:tc>
      </w:tr>
      <w:tr w:rsidR="00C978F0" w:rsidRPr="00DA352E" w14:paraId="39AF8F58" w14:textId="77777777" w:rsidTr="00CB2A8F">
        <w:trPr>
          <w:gridAfter w:val="1"/>
          <w:wAfter w:w="8" w:type="pct"/>
        </w:trPr>
        <w:tc>
          <w:tcPr>
            <w:tcW w:w="4992" w:type="pct"/>
          </w:tcPr>
          <w:p w14:paraId="3A40EC14" w14:textId="3434ED96" w:rsidR="00A35A72" w:rsidRDefault="0096402B" w:rsidP="003365A5">
            <w:pPr>
              <w:pStyle w:val="Tabletextprimarysource"/>
            </w:pPr>
            <w:r>
              <w:t>Summary of additional information</w:t>
            </w:r>
            <w:r w:rsidR="00B5025F">
              <w:t>:</w:t>
            </w:r>
          </w:p>
          <w:p w14:paraId="766427B5" w14:textId="3CDECCFE" w:rsidR="0096402B" w:rsidRDefault="0096402B" w:rsidP="003365A5">
            <w:pPr>
              <w:pStyle w:val="Tabletextprimarysource"/>
            </w:pPr>
            <w:r>
              <w:t xml:space="preserve">MAK not assigned due to suspected genotoxic carcinogenicity. </w:t>
            </w:r>
            <w:r w:rsidR="00A26A84">
              <w:t xml:space="preserve">Available human exposure data are suggestive of carcinogenic potential but are confounded by mixed exposures. </w:t>
            </w:r>
            <w:r w:rsidR="00E45586">
              <w:t xml:space="preserve">DFG </w:t>
            </w:r>
            <w:r w:rsidR="00A26A84">
              <w:t>classifies substance as category 1 car</w:t>
            </w:r>
            <w:r w:rsidR="005A4591">
              <w:t>cinogen based on weight of evidence from workplace studies</w:t>
            </w:r>
            <w:r w:rsidR="00A26A84">
              <w:t xml:space="preserve"> with mixed exposure to aniline. Aniline concentrations reported in </w:t>
            </w:r>
            <w:r w:rsidR="005A4591">
              <w:t>one</w:t>
            </w:r>
            <w:r w:rsidR="00A26A84">
              <w:t xml:space="preserve"> study were however below those expected to elicit the observed carcinogenic effects, which is considered substantial evidence for carcinogenicity in humans</w:t>
            </w:r>
            <w:r w:rsidR="005A4591">
              <w:t xml:space="preserve"> by the </w:t>
            </w:r>
            <w:r w:rsidR="00E45586">
              <w:t>DFG</w:t>
            </w:r>
            <w:r w:rsidR="00A26A84">
              <w:t>.</w:t>
            </w:r>
          </w:p>
          <w:p w14:paraId="7B54312D" w14:textId="77777777" w:rsidR="00A26A84" w:rsidRDefault="006D0A7B" w:rsidP="003365A5">
            <w:pPr>
              <w:pStyle w:val="Tabletextprimarysource"/>
            </w:pPr>
            <w:r>
              <w:t xml:space="preserve">No safe level of exposure </w:t>
            </w:r>
            <w:r w:rsidR="00770705">
              <w:t>can be assessed, skin notation therefore assigned despite low calculated dermal penetration rate.</w:t>
            </w:r>
          </w:p>
          <w:p w14:paraId="7731CCEA" w14:textId="6D8B6F80" w:rsidR="00A35A72" w:rsidRDefault="00770705" w:rsidP="003365A5">
            <w:pPr>
              <w:pStyle w:val="Tabletextprimarysource"/>
            </w:pPr>
            <w:r>
              <w:t>Human data</w:t>
            </w:r>
            <w:r w:rsidR="00B5025F">
              <w:t>:</w:t>
            </w:r>
          </w:p>
          <w:p w14:paraId="6D89DDCB" w14:textId="173D9723" w:rsidR="00770705" w:rsidRDefault="00D42812" w:rsidP="00D76E6C">
            <w:pPr>
              <w:pStyle w:val="Tabletextprimarysource"/>
              <w:numPr>
                <w:ilvl w:val="0"/>
                <w:numId w:val="1"/>
              </w:numPr>
              <w:ind w:left="717"/>
            </w:pPr>
            <w:r>
              <w:t xml:space="preserve">Increased standardised mortality ratio (SMR) </w:t>
            </w:r>
            <w:r w:rsidR="009A04D7">
              <w:t xml:space="preserve">for deaths from bladder tumours </w:t>
            </w:r>
            <w:r>
              <w:t xml:space="preserve">in rubber production workers </w:t>
            </w:r>
            <w:r w:rsidR="009A04D7">
              <w:t xml:space="preserve">(n=2,160, &gt;6 mo) </w:t>
            </w:r>
            <w:r>
              <w:t xml:space="preserve">exposed to mixtures containing substance (components not specified), regression analysis of these data showed dose-response relationship </w:t>
            </w:r>
            <w:r w:rsidR="009A04D7">
              <w:t>for substance, but not for exposure to other chemicals</w:t>
            </w:r>
            <w:r w:rsidR="00B5025F">
              <w:t>:</w:t>
            </w:r>
          </w:p>
          <w:p w14:paraId="5D0E9E65" w14:textId="77777777" w:rsidR="009A04D7" w:rsidRDefault="009A04D7" w:rsidP="00D76E6C">
            <w:pPr>
              <w:pStyle w:val="Tabletextprimarysource"/>
              <w:numPr>
                <w:ilvl w:val="1"/>
                <w:numId w:val="1"/>
              </w:numPr>
              <w:ind w:left="1080"/>
            </w:pPr>
            <w:r>
              <w:t>relative risk increased from 6.7 for 4-yr exposure to 7.6 for 5-yr exposure</w:t>
            </w:r>
          </w:p>
          <w:p w14:paraId="14DF6707" w14:textId="77777777" w:rsidR="009A04D7" w:rsidRDefault="009A04D7" w:rsidP="00D76E6C">
            <w:pPr>
              <w:pStyle w:val="Tabletextprimarysource"/>
              <w:numPr>
                <w:ilvl w:val="1"/>
                <w:numId w:val="1"/>
              </w:numPr>
              <w:ind w:left="1080"/>
            </w:pPr>
            <w:r>
              <w:t xml:space="preserve">results potentially confounded by exposure to </w:t>
            </w:r>
            <w:r>
              <w:rPr>
                <w:i/>
              </w:rPr>
              <w:t>N</w:t>
            </w:r>
            <w:r>
              <w:t>-phenyl-2-napthylamine</w:t>
            </w:r>
          </w:p>
          <w:p w14:paraId="59804551" w14:textId="1DF8B22F" w:rsidR="009A04D7" w:rsidRDefault="00120599" w:rsidP="00D76E6C">
            <w:pPr>
              <w:pStyle w:val="Tabletextprimarysource"/>
              <w:numPr>
                <w:ilvl w:val="0"/>
                <w:numId w:val="1"/>
              </w:numPr>
              <w:ind w:left="717"/>
            </w:pPr>
            <w:r>
              <w:t>Significant increased standardised incidence ratio (SIR) for bladder cancer in rubber production workers (n=1,749) exposed to mixtures containing substance, aniline</w:t>
            </w:r>
            <w:r w:rsidR="00C90996">
              <w:t xml:space="preserve"> and</w:t>
            </w:r>
            <w:r>
              <w:t xml:space="preserve"> potentially 4-aminobiphenyl not attributable to aniline; bladder carcinogenicity of 4</w:t>
            </w:r>
            <w:r>
              <w:noBreakHyphen/>
              <w:t>aminobiphenyl in humans noted in cited article</w:t>
            </w:r>
          </w:p>
          <w:p w14:paraId="28F02319" w14:textId="30DBC998" w:rsidR="005A4591" w:rsidRDefault="005A4591" w:rsidP="00D76E6C">
            <w:pPr>
              <w:pStyle w:val="Tabletextprimarysource"/>
              <w:numPr>
                <w:ilvl w:val="0"/>
                <w:numId w:val="1"/>
              </w:numPr>
              <w:ind w:left="717"/>
            </w:pPr>
            <w:r>
              <w:t>Exposure and biomonitoring data reviewed in follow-up study to the above SIR study</w:t>
            </w:r>
            <w:r w:rsidR="00B5025F">
              <w:t>:</w:t>
            </w:r>
          </w:p>
          <w:p w14:paraId="1F7F346D" w14:textId="77777777" w:rsidR="00120599" w:rsidRDefault="00120599" w:rsidP="007742A2">
            <w:pPr>
              <w:pStyle w:val="Tabletextprimarysource"/>
              <w:numPr>
                <w:ilvl w:val="1"/>
                <w:numId w:val="1"/>
              </w:numPr>
              <w:ind w:left="1080"/>
            </w:pPr>
            <w:r>
              <w:t>average air concentrations estimated at 0.412</w:t>
            </w:r>
            <w:r>
              <w:rPr>
                <w:rFonts w:cs="Arial"/>
              </w:rPr>
              <w:t>±0.</w:t>
            </w:r>
            <w:r>
              <w:t>366 mg/m</w:t>
            </w:r>
            <w:r>
              <w:rPr>
                <w:vertAlign w:val="superscript"/>
              </w:rPr>
              <w:t>3</w:t>
            </w:r>
            <w:r>
              <w:t xml:space="preserve"> and 0.187</w:t>
            </w:r>
            <w:r>
              <w:rPr>
                <w:rFonts w:cs="Arial"/>
              </w:rPr>
              <w:t>±0.</w:t>
            </w:r>
            <w:r>
              <w:t>181 mg/m</w:t>
            </w:r>
            <w:r>
              <w:rPr>
                <w:vertAlign w:val="superscript"/>
              </w:rPr>
              <w:t>3</w:t>
            </w:r>
          </w:p>
          <w:p w14:paraId="6E0AF1DE" w14:textId="77777777" w:rsidR="00120599" w:rsidRDefault="005A4591" w:rsidP="007742A2">
            <w:pPr>
              <w:pStyle w:val="Tabletextprimarysource"/>
              <w:numPr>
                <w:ilvl w:val="1"/>
                <w:numId w:val="1"/>
              </w:numPr>
              <w:ind w:left="1080"/>
            </w:pPr>
            <w:r>
              <w:t>urinary excretion 3 times higher than that of aniline; 4</w:t>
            </w:r>
            <w:r>
              <w:noBreakHyphen/>
              <w:t>aminobiphenyl was the same between controls and exposed workers</w:t>
            </w:r>
          </w:p>
          <w:p w14:paraId="34EDBB4C" w14:textId="62D69DF6" w:rsidR="005A4591" w:rsidRDefault="00B568DB" w:rsidP="007742A2">
            <w:pPr>
              <w:pStyle w:val="Tabletextprimarysource"/>
              <w:numPr>
                <w:ilvl w:val="1"/>
                <w:numId w:val="1"/>
              </w:numPr>
              <w:ind w:left="1080"/>
            </w:pPr>
            <w:r>
              <w:t>cited authors conclude highly likely the causal carcinogenic agent, prior exposure to 4</w:t>
            </w:r>
            <w:r w:rsidR="00E45586">
              <w:noBreakHyphen/>
            </w:r>
            <w:r>
              <w:t xml:space="preserve">aminobiphenyl could however not be ruled out </w:t>
            </w:r>
          </w:p>
          <w:p w14:paraId="1F3730F2" w14:textId="77777777" w:rsidR="00B568DB" w:rsidRDefault="00B568DB" w:rsidP="007742A2">
            <w:pPr>
              <w:pStyle w:val="Tabletextprimarysource"/>
              <w:numPr>
                <w:ilvl w:val="1"/>
                <w:numId w:val="1"/>
              </w:numPr>
              <w:ind w:left="1080"/>
            </w:pPr>
            <w:r>
              <w:t>agency argues exposure to aniline at these concentrations unlikely to cause the observed carcinogenic effect regarding MAK of 7.7 mg/m</w:t>
            </w:r>
            <w:r>
              <w:rPr>
                <w:vertAlign w:val="superscript"/>
              </w:rPr>
              <w:t>3</w:t>
            </w:r>
            <w:r>
              <w:t xml:space="preserve"> for aniline</w:t>
            </w:r>
          </w:p>
          <w:p w14:paraId="235D81B1" w14:textId="7AD1A8AD" w:rsidR="00920818" w:rsidRPr="00920818" w:rsidRDefault="003B672F" w:rsidP="007742A2">
            <w:pPr>
              <w:pStyle w:val="Tabletextprimarysource"/>
              <w:numPr>
                <w:ilvl w:val="0"/>
                <w:numId w:val="1"/>
              </w:numPr>
              <w:ind w:left="717"/>
            </w:pPr>
            <w:r>
              <w:t xml:space="preserve">Dermal penetration </w:t>
            </w:r>
            <w:r w:rsidR="00920818">
              <w:t xml:space="preserve">rate </w:t>
            </w:r>
            <w:r>
              <w:rPr>
                <w:i/>
              </w:rPr>
              <w:t>in vitro</w:t>
            </w:r>
            <w:r w:rsidR="00920818">
              <w:t>: 0.37</w:t>
            </w:r>
            <w:r w:rsidR="00920818">
              <w:rPr>
                <w:rFonts w:cs="Arial"/>
              </w:rPr>
              <w:t>±0.12 µg/cm</w:t>
            </w:r>
            <w:r w:rsidR="00920818">
              <w:rPr>
                <w:rFonts w:cs="Arial"/>
                <w:vertAlign w:val="superscript"/>
              </w:rPr>
              <w:t>2</w:t>
            </w:r>
            <w:r w:rsidR="00920818">
              <w:rPr>
                <w:rFonts w:cs="Arial"/>
              </w:rPr>
              <w:t>/h</w:t>
            </w:r>
            <w:r w:rsidR="00B5025F">
              <w:rPr>
                <w:rFonts w:cs="Arial"/>
              </w:rPr>
              <w:t>:</w:t>
            </w:r>
            <w:r w:rsidR="00920818">
              <w:rPr>
                <w:rFonts w:cs="Arial"/>
              </w:rPr>
              <w:t xml:space="preserve"> </w:t>
            </w:r>
          </w:p>
          <w:p w14:paraId="55452B9B" w14:textId="77777777" w:rsidR="003B672F" w:rsidRPr="00920818" w:rsidRDefault="00920818" w:rsidP="007742A2">
            <w:pPr>
              <w:pStyle w:val="Tabletextprimarysource"/>
              <w:numPr>
                <w:ilvl w:val="1"/>
                <w:numId w:val="1"/>
              </w:numPr>
              <w:ind w:left="1080"/>
            </w:pPr>
            <w:r>
              <w:rPr>
                <w:rFonts w:cs="Arial"/>
              </w:rPr>
              <w:t>skin barrier creams may increase dermal penetration by a factor of 10</w:t>
            </w:r>
            <w:r w:rsidR="00810A8A">
              <w:rPr>
                <w:rFonts w:cs="Arial"/>
              </w:rPr>
              <w:t>.</w:t>
            </w:r>
          </w:p>
          <w:p w14:paraId="2B8BC72D" w14:textId="23C493B0" w:rsidR="00A35A72" w:rsidRDefault="00920818" w:rsidP="00920818">
            <w:pPr>
              <w:pStyle w:val="Tabletextprimarysource"/>
              <w:rPr>
                <w:rFonts w:cs="Arial"/>
              </w:rPr>
            </w:pPr>
            <w:r>
              <w:rPr>
                <w:rFonts w:cs="Arial"/>
              </w:rPr>
              <w:t>Animal data</w:t>
            </w:r>
            <w:r w:rsidR="00B5025F">
              <w:rPr>
                <w:rFonts w:cs="Arial"/>
              </w:rPr>
              <w:t>:</w:t>
            </w:r>
          </w:p>
          <w:p w14:paraId="6CD457B9" w14:textId="77777777" w:rsidR="00920818" w:rsidRPr="00920818" w:rsidRDefault="00920818" w:rsidP="007742A2">
            <w:pPr>
              <w:pStyle w:val="Tabletextprimarysource"/>
              <w:numPr>
                <w:ilvl w:val="0"/>
                <w:numId w:val="1"/>
              </w:numPr>
              <w:ind w:left="717"/>
            </w:pPr>
            <w:r>
              <w:rPr>
                <w:rFonts w:cs="Arial"/>
              </w:rPr>
              <w:t xml:space="preserve">Substance forms genotoxic </w:t>
            </w:r>
            <w:r>
              <w:rPr>
                <w:rFonts w:cs="Arial"/>
                <w:i/>
              </w:rPr>
              <w:t>N</w:t>
            </w:r>
            <w:r>
              <w:rPr>
                <w:rFonts w:cs="Arial"/>
              </w:rPr>
              <w:t>-hydroxyl metabolites, analogous to other aromatic amines</w:t>
            </w:r>
          </w:p>
          <w:p w14:paraId="29363DDC" w14:textId="75B633F7" w:rsidR="00920818" w:rsidRPr="00920818" w:rsidRDefault="00920818" w:rsidP="007742A2">
            <w:pPr>
              <w:pStyle w:val="Tabletextprimarysource"/>
              <w:numPr>
                <w:ilvl w:val="0"/>
                <w:numId w:val="1"/>
              </w:numPr>
              <w:ind w:left="717"/>
            </w:pPr>
            <w:r>
              <w:rPr>
                <w:rFonts w:cs="Arial"/>
              </w:rPr>
              <w:t xml:space="preserve">Positive and negative </w:t>
            </w:r>
            <w:r>
              <w:rPr>
                <w:rFonts w:cs="Arial"/>
                <w:i/>
              </w:rPr>
              <w:t xml:space="preserve">in </w:t>
            </w:r>
            <w:r w:rsidRPr="00920818">
              <w:rPr>
                <w:rFonts w:cs="Arial"/>
                <w:i/>
              </w:rPr>
              <w:t>vitro</w:t>
            </w:r>
            <w:r>
              <w:rPr>
                <w:rFonts w:cs="Arial"/>
              </w:rPr>
              <w:t xml:space="preserve"> mutagenicity </w:t>
            </w:r>
            <w:r w:rsidRPr="00920818">
              <w:rPr>
                <w:rFonts w:cs="Arial"/>
              </w:rPr>
              <w:t>results</w:t>
            </w:r>
            <w:r>
              <w:rPr>
                <w:rFonts w:cs="Arial"/>
              </w:rPr>
              <w:t xml:space="preserve"> (also </w:t>
            </w:r>
            <w:r w:rsidR="005E1BD5">
              <w:rPr>
                <w:rFonts w:cs="Arial"/>
              </w:rPr>
              <w:t xml:space="preserve">reported </w:t>
            </w:r>
            <w:r>
              <w:rPr>
                <w:rFonts w:cs="Arial"/>
              </w:rPr>
              <w:t>in ACGIH, 2018) were independent of metabolic activation</w:t>
            </w:r>
          </w:p>
          <w:p w14:paraId="20EFD8E5" w14:textId="545D364B" w:rsidR="00920818" w:rsidRDefault="009C33C7" w:rsidP="007742A2">
            <w:pPr>
              <w:pStyle w:val="Tabletextprimarysource"/>
              <w:numPr>
                <w:ilvl w:val="0"/>
                <w:numId w:val="1"/>
              </w:numPr>
              <w:ind w:left="717"/>
            </w:pPr>
            <w:r>
              <w:t xml:space="preserve">Evidence for mutagenicity </w:t>
            </w:r>
            <w:r w:rsidRPr="009C33C7">
              <w:rPr>
                <w:i/>
              </w:rPr>
              <w:t>in</w:t>
            </w:r>
            <w:r>
              <w:t xml:space="preserve"> </w:t>
            </w:r>
            <w:r w:rsidRPr="009C33C7">
              <w:rPr>
                <w:i/>
              </w:rPr>
              <w:t>vivo</w:t>
            </w:r>
            <w:r>
              <w:t xml:space="preserve"> included c</w:t>
            </w:r>
            <w:r w:rsidRPr="009C33C7">
              <w:t>ovalent</w:t>
            </w:r>
            <w:r>
              <w:t xml:space="preserve"> binding to DNA, RNA</w:t>
            </w:r>
            <w:r w:rsidR="00C90996">
              <w:t xml:space="preserve"> and</w:t>
            </w:r>
            <w:r>
              <w:t xml:space="preserve"> proteins in liver </w:t>
            </w:r>
            <w:r>
              <w:rPr>
                <w:i/>
              </w:rPr>
              <w:t>in vivo</w:t>
            </w:r>
            <w:r>
              <w:t xml:space="preserve"> (rats), induction of DNA repair in bladder (rats)</w:t>
            </w:r>
            <w:r w:rsidR="00C90996">
              <w:t xml:space="preserve"> and</w:t>
            </w:r>
            <w:r>
              <w:t xml:space="preserve"> DNA strand breaks in liver and kidneys (mice); chromosomal aberration and micronucleus assays were negative (mice)</w:t>
            </w:r>
          </w:p>
          <w:p w14:paraId="2C6096F8" w14:textId="66435BFB" w:rsidR="003435F0" w:rsidRDefault="009C33C7" w:rsidP="007742A2">
            <w:pPr>
              <w:pStyle w:val="Tabletextprimarysource"/>
              <w:numPr>
                <w:ilvl w:val="0"/>
                <w:numId w:val="1"/>
              </w:numPr>
              <w:ind w:left="717"/>
            </w:pPr>
            <w:r>
              <w:t>Overall, consider</w:t>
            </w:r>
            <w:r w:rsidR="00E45586">
              <w:t>ed</w:t>
            </w:r>
            <w:r>
              <w:t xml:space="preserve"> </w:t>
            </w:r>
            <w:r w:rsidR="00E50F47">
              <w:t xml:space="preserve">results of </w:t>
            </w:r>
            <w:r w:rsidR="00E50F47">
              <w:rPr>
                <w:i/>
              </w:rPr>
              <w:t>in vitro</w:t>
            </w:r>
            <w:r w:rsidR="00E50F47">
              <w:t xml:space="preserve"> and </w:t>
            </w:r>
            <w:r w:rsidR="00E50F47">
              <w:rPr>
                <w:i/>
              </w:rPr>
              <w:t>in vivo</w:t>
            </w:r>
            <w:r w:rsidR="00E50F47">
              <w:t xml:space="preserve"> </w:t>
            </w:r>
            <w:r w:rsidR="00A7474C">
              <w:t xml:space="preserve">mutagenicity </w:t>
            </w:r>
            <w:r w:rsidR="00E50F47">
              <w:t>assays consistent with those of other genotoxic aromatic amines</w:t>
            </w:r>
          </w:p>
          <w:p w14:paraId="76C0DDC1" w14:textId="5840FA98" w:rsidR="00810A8A" w:rsidRDefault="003435F0" w:rsidP="00607A95">
            <w:pPr>
              <w:pStyle w:val="Tabletextprimarysource"/>
              <w:numPr>
                <w:ilvl w:val="0"/>
                <w:numId w:val="1"/>
              </w:numPr>
              <w:ind w:left="717"/>
            </w:pPr>
            <w:r>
              <w:t xml:space="preserve">Limited evidence for bladder tumorigenicity at 125 mg/kg/d after 11 yr in chronic feeding/gavage study (dogs, n=5, 5 d/wk, 9 yr); all dogs died of different causes, 1 dog, in </w:t>
            </w:r>
            <w:r>
              <w:lastRenderedPageBreak/>
              <w:t xml:space="preserve">which bladder hyperplasia and papillomas were detected, died after 11 </w:t>
            </w:r>
            <w:proofErr w:type="spellStart"/>
            <w:r>
              <w:t>yr</w:t>
            </w:r>
            <w:proofErr w:type="spellEnd"/>
            <w:r>
              <w:t xml:space="preserve"> from thyroid tumour</w:t>
            </w:r>
            <w:r w:rsidR="00810A8A">
              <w:t>.</w:t>
            </w:r>
          </w:p>
          <w:p w14:paraId="60083A1C" w14:textId="77777777" w:rsidR="00810A8A" w:rsidRDefault="00810A8A" w:rsidP="00810A8A">
            <w:pPr>
              <w:pStyle w:val="Tabletextprimarysource"/>
            </w:pPr>
          </w:p>
          <w:p w14:paraId="36AA2DE6" w14:textId="77777777" w:rsidR="00810A8A" w:rsidRPr="00DA352E" w:rsidRDefault="00810A8A" w:rsidP="00810A8A">
            <w:pPr>
              <w:pStyle w:val="Tabletextprimarysource"/>
            </w:pPr>
          </w:p>
        </w:tc>
      </w:tr>
      <w:tr w:rsidR="00C978F0" w:rsidRPr="00DA352E" w14:paraId="6A9D94A5" w14:textId="77777777" w:rsidTr="00CB2A8F">
        <w:trPr>
          <w:gridAfter w:val="1"/>
          <w:wAfter w:w="8" w:type="pct"/>
        </w:trPr>
        <w:tc>
          <w:tcPr>
            <w:tcW w:w="4992" w:type="pct"/>
            <w:shd w:val="clear" w:color="auto" w:fill="F2F2F2" w:themeFill="background1" w:themeFillShade="F2"/>
          </w:tcPr>
          <w:p w14:paraId="1F1B050D"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B11410">
                  <w:t>2017</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B11410">
                  <w:t>Not assigned</w:t>
                </w:r>
              </w:sdtContent>
            </w:sdt>
          </w:p>
        </w:tc>
      </w:tr>
      <w:tr w:rsidR="00C978F0" w:rsidRPr="00DA352E" w14:paraId="5EF4EEC1" w14:textId="77777777" w:rsidTr="00CB2A8F">
        <w:trPr>
          <w:gridAfter w:val="1"/>
          <w:wAfter w:w="8" w:type="pct"/>
        </w:trPr>
        <w:tc>
          <w:tcPr>
            <w:tcW w:w="4992" w:type="pct"/>
          </w:tcPr>
          <w:p w14:paraId="4739AA66" w14:textId="33D7C47C" w:rsidR="00A35A72" w:rsidRDefault="00696E93" w:rsidP="003365A5">
            <w:pPr>
              <w:pStyle w:val="Tabletextprimarysource"/>
            </w:pPr>
            <w:r>
              <w:t>Summary of additional data</w:t>
            </w:r>
            <w:r w:rsidR="00B5025F">
              <w:t>:</w:t>
            </w:r>
          </w:p>
          <w:p w14:paraId="049D59F4" w14:textId="779997DE" w:rsidR="001340A7" w:rsidRDefault="00696E93" w:rsidP="003365A5">
            <w:pPr>
              <w:pStyle w:val="Tabletextprimarysource"/>
            </w:pPr>
            <w:r>
              <w:t>No OEL recommended due to suspected genotoxic carcinogenicity. Skin notation recommended based on reports of systemic availability following dermal exposure in workers.</w:t>
            </w:r>
            <w:r w:rsidR="008D699E">
              <w:t xml:space="preserve"> Incidence of bladder carcinomas in female rats in chronic feeding study used in Benchmark dose (BMD) analysis</w:t>
            </w:r>
            <w:r w:rsidR="00B5025F">
              <w:t>:</w:t>
            </w:r>
            <w:r w:rsidR="001340A7">
              <w:t xml:space="preserve"> </w:t>
            </w:r>
          </w:p>
          <w:p w14:paraId="23908749" w14:textId="77777777" w:rsidR="00696E93" w:rsidRDefault="001340A7" w:rsidP="007742A2">
            <w:pPr>
              <w:pStyle w:val="Tabletextprimarysource"/>
              <w:numPr>
                <w:ilvl w:val="0"/>
                <w:numId w:val="1"/>
              </w:numPr>
              <w:ind w:left="717"/>
            </w:pPr>
            <w:r>
              <w:t>best fit for estimating d</w:t>
            </w:r>
            <w:r w:rsidR="008D699E">
              <w:t>ose expected to cause tumorigenicity</w:t>
            </w:r>
            <w:r>
              <w:t xml:space="preserve"> at 10% above the background level (BMD</w:t>
            </w:r>
            <w:r>
              <w:rPr>
                <w:vertAlign w:val="subscript"/>
              </w:rPr>
              <w:t>10</w:t>
            </w:r>
            <w:r>
              <w:t>) achieved with Quantal-linear model; BMD</w:t>
            </w:r>
            <w:r>
              <w:rPr>
                <w:vertAlign w:val="subscript"/>
              </w:rPr>
              <w:t>10</w:t>
            </w:r>
            <w:r>
              <w:t xml:space="preserve"> estimated at 42.2 mg/kg/d in rats</w:t>
            </w:r>
          </w:p>
          <w:p w14:paraId="7AA2C459" w14:textId="6A14BAA3" w:rsidR="001340A7" w:rsidRDefault="001340A7" w:rsidP="007742A2">
            <w:pPr>
              <w:pStyle w:val="Tabletextprimarysource"/>
              <w:numPr>
                <w:ilvl w:val="0"/>
                <w:numId w:val="1"/>
              </w:numPr>
              <w:ind w:left="717"/>
            </w:pPr>
            <w:r>
              <w:t xml:space="preserve">equivalent inhalational dose </w:t>
            </w:r>
            <w:r w:rsidR="00E45586">
              <w:t xml:space="preserve">extrapolated </w:t>
            </w:r>
            <w:r>
              <w:t>as 840 mg/m</w:t>
            </w:r>
            <w:r>
              <w:rPr>
                <w:vertAlign w:val="superscript"/>
              </w:rPr>
              <w:t>3</w:t>
            </w:r>
            <w:r>
              <w:t xml:space="preserve"> assuming a respiratory volume of 10 m</w:t>
            </w:r>
            <w:r>
              <w:rPr>
                <w:vertAlign w:val="superscript"/>
              </w:rPr>
              <w:t>3</w:t>
            </w:r>
            <w:r>
              <w:t xml:space="preserve"> during an 8-h shift for a 70-kg worker working for 5 d/wk, 48 wk/yr for 40/75 yr</w:t>
            </w:r>
          </w:p>
          <w:p w14:paraId="51537973" w14:textId="77777777" w:rsidR="001340A7" w:rsidRDefault="001340A7" w:rsidP="007742A2">
            <w:pPr>
              <w:pStyle w:val="Tabletextprimarysource"/>
              <w:numPr>
                <w:ilvl w:val="0"/>
                <w:numId w:val="1"/>
              </w:numPr>
              <w:ind w:left="717"/>
            </w:pPr>
            <w:r>
              <w:t>a factor of 4 is applied to account for allometric scaling to derive the human BMD</w:t>
            </w:r>
            <w:r>
              <w:rPr>
                <w:vertAlign w:val="subscript"/>
              </w:rPr>
              <w:t>10</w:t>
            </w:r>
            <w:r>
              <w:t xml:space="preserve"> of 210 mg/m</w:t>
            </w:r>
            <w:r>
              <w:rPr>
                <w:vertAlign w:val="superscript"/>
              </w:rPr>
              <w:t>3</w:t>
            </w:r>
          </w:p>
          <w:p w14:paraId="0A671902" w14:textId="77777777" w:rsidR="001340A7" w:rsidRPr="001340A7" w:rsidRDefault="001340A7" w:rsidP="007742A2">
            <w:pPr>
              <w:pStyle w:val="Tabletextprimarysource"/>
              <w:numPr>
                <w:ilvl w:val="0"/>
                <w:numId w:val="1"/>
              </w:numPr>
              <w:ind w:left="717"/>
            </w:pPr>
            <w:r>
              <w:t>tumour incidence at 8.8 mg/m</w:t>
            </w:r>
            <w:r>
              <w:rPr>
                <w:vertAlign w:val="superscript"/>
              </w:rPr>
              <w:t>3</w:t>
            </w:r>
            <w:r>
              <w:t xml:space="preserve"> was therefore estimated to be 1:239.</w:t>
            </w:r>
          </w:p>
          <w:p w14:paraId="1AB548DA" w14:textId="2C4ECC61" w:rsidR="00A35A72" w:rsidRDefault="00696E93" w:rsidP="000226F7">
            <w:pPr>
              <w:pStyle w:val="Tabletextprimarysource"/>
            </w:pPr>
            <w:r>
              <w:t>Human data</w:t>
            </w:r>
            <w:r w:rsidR="00B5025F">
              <w:t>:</w:t>
            </w:r>
          </w:p>
          <w:p w14:paraId="4A43F3EF" w14:textId="2D61FD2C" w:rsidR="00696E93" w:rsidRDefault="00696E93" w:rsidP="007742A2">
            <w:pPr>
              <w:pStyle w:val="Tabletextprimarysource"/>
              <w:numPr>
                <w:ilvl w:val="0"/>
                <w:numId w:val="1"/>
              </w:numPr>
              <w:ind w:left="717"/>
            </w:pPr>
            <w:r>
              <w:t>Dermal absorption evidenced in several workplace studies, in which biomonitoring showed systemically available concentrations greater than those expected from inhalational exposure alone</w:t>
            </w:r>
          </w:p>
          <w:p w14:paraId="2BF2079E" w14:textId="19031C9F" w:rsidR="00032839" w:rsidRDefault="00032839" w:rsidP="007742A2">
            <w:pPr>
              <w:pStyle w:val="Tabletextprimarysource"/>
              <w:numPr>
                <w:ilvl w:val="0"/>
                <w:numId w:val="1"/>
              </w:numPr>
              <w:ind w:left="717"/>
            </w:pPr>
            <w:r>
              <w:t xml:space="preserve">Exposure at 40 ppm (1 h) of toluidine (isomer not specified) caused severe </w:t>
            </w:r>
            <w:r w:rsidR="00A8056A">
              <w:t>intoxication, 10 </w:t>
            </w:r>
            <w:r>
              <w:t>ppm caused illness</w:t>
            </w:r>
            <w:r w:rsidR="00C90996">
              <w:t xml:space="preserve"> and</w:t>
            </w:r>
            <w:r w:rsidR="00A8056A">
              <w:t xml:space="preserve"> unsatisfactory conditions &gt;5 ppm (no further details provided) reported in survey article</w:t>
            </w:r>
            <w:r w:rsidR="00810A8A">
              <w:t>.</w:t>
            </w:r>
          </w:p>
          <w:p w14:paraId="1CFBE8C0" w14:textId="6603830C" w:rsidR="00A35A72" w:rsidRDefault="001B04C5" w:rsidP="000226F7">
            <w:pPr>
              <w:pStyle w:val="Tabletextprimarysource"/>
            </w:pPr>
            <w:r>
              <w:t xml:space="preserve">Human data for </w:t>
            </w:r>
            <w:r w:rsidRPr="000226F7">
              <w:rPr>
                <w:i/>
              </w:rPr>
              <w:t>aniline</w:t>
            </w:r>
            <w:r w:rsidR="00A1603B">
              <w:rPr>
                <w:i/>
              </w:rPr>
              <w:t xml:space="preserve"> </w:t>
            </w:r>
            <w:r w:rsidR="00A1603B">
              <w:t>(</w:t>
            </w:r>
            <w:r w:rsidR="005E1BD5">
              <w:t>reported</w:t>
            </w:r>
            <w:r w:rsidR="00A1603B">
              <w:t xml:space="preserve"> in SCOEL, 2010)</w:t>
            </w:r>
            <w:r w:rsidR="00B5025F">
              <w:t>:</w:t>
            </w:r>
          </w:p>
          <w:p w14:paraId="0871C293" w14:textId="0FD4A4EA" w:rsidR="001B04C5" w:rsidRDefault="001B04C5" w:rsidP="000226F7">
            <w:pPr>
              <w:pStyle w:val="ListBullet"/>
              <w:ind w:left="731"/>
            </w:pPr>
            <w:r>
              <w:t xml:space="preserve">Blood methaemoglobin concentrations levels of </w:t>
            </w:r>
            <w:r>
              <w:rPr>
                <w:rFonts w:cs="Arial"/>
              </w:rPr>
              <w:t>≈</w:t>
            </w:r>
            <w:r>
              <w:t>5</w:t>
            </w:r>
            <w:r w:rsidRPr="00D36BB1">
              <w:t>% considered tolerable</w:t>
            </w:r>
            <w:r>
              <w:t xml:space="preserve"> by analogy to c</w:t>
            </w:r>
            <w:r w:rsidRPr="00852C3B">
              <w:t>arboxyh</w:t>
            </w:r>
            <w:r>
              <w:t>a</w:t>
            </w:r>
            <w:r w:rsidRPr="00852C3B">
              <w:t>emoglobin</w:t>
            </w:r>
            <w:r>
              <w:t>, for which 4% is tolerable</w:t>
            </w:r>
          </w:p>
          <w:p w14:paraId="51D62729" w14:textId="5A642325" w:rsidR="001B04C5" w:rsidRDefault="001B04C5" w:rsidP="000226F7">
            <w:pPr>
              <w:pStyle w:val="ListBullet"/>
              <w:ind w:left="731"/>
            </w:pPr>
            <w:r>
              <w:t xml:space="preserve">Methaemoglobin formation </w:t>
            </w:r>
            <w:r w:rsidR="00E45586">
              <w:t xml:space="preserve">reported </w:t>
            </w:r>
            <w:r>
              <w:t>in volunteer repeat oral dose study with aniline dose groups</w:t>
            </w:r>
            <w:r w:rsidR="005E1BD5">
              <w:t xml:space="preserve"> 0,</w:t>
            </w:r>
            <w:r>
              <w:t xml:space="preserve"> 5, 15, 25, 35, 45, 55</w:t>
            </w:r>
            <w:r w:rsidR="00C90996">
              <w:t xml:space="preserve"> and</w:t>
            </w:r>
            <w:r>
              <w:t xml:space="preserve"> 65 mg/person/d (n=5/group, 3 d)</w:t>
            </w:r>
            <w:r w:rsidR="00B5025F">
              <w:t>:</w:t>
            </w:r>
          </w:p>
          <w:p w14:paraId="2A546211" w14:textId="4E0E9A50" w:rsidR="001B04C5" w:rsidRDefault="001B04C5" w:rsidP="000226F7">
            <w:pPr>
              <w:pStyle w:val="ListBullet"/>
              <w:numPr>
                <w:ilvl w:val="0"/>
                <w:numId w:val="4"/>
              </w:numPr>
              <w:ind w:left="1080"/>
            </w:pPr>
            <w:r>
              <w:t>increase in methaemoglobin formation non-significant up to 15 mg (1.2–1.8%)</w:t>
            </w:r>
          </w:p>
          <w:p w14:paraId="2142C0F6" w14:textId="5F1A4774" w:rsidR="001B04C5" w:rsidRDefault="001B04C5" w:rsidP="000226F7">
            <w:pPr>
              <w:pStyle w:val="ListBullet"/>
              <w:numPr>
                <w:ilvl w:val="0"/>
                <w:numId w:val="4"/>
              </w:numPr>
              <w:ind w:left="1080"/>
            </w:pPr>
            <w:r>
              <w:t>doses of 35, 45, 55</w:t>
            </w:r>
            <w:r w:rsidR="00C90996">
              <w:t xml:space="preserve"> and</w:t>
            </w:r>
            <w:r>
              <w:t xml:space="preserve"> 65 mg aniline caused methaemoglobin levels of 3.7, 7.1, 5.2%</w:t>
            </w:r>
            <w:r w:rsidR="00C90996">
              <w:t xml:space="preserve"> and</w:t>
            </w:r>
            <w:r>
              <w:t xml:space="preserve"> 16%, respectively</w:t>
            </w:r>
          </w:p>
          <w:p w14:paraId="56F3132B" w14:textId="6BCEF1BC" w:rsidR="001B04C5" w:rsidRDefault="001B04C5" w:rsidP="000226F7">
            <w:pPr>
              <w:pStyle w:val="ListBullet"/>
              <w:numPr>
                <w:ilvl w:val="0"/>
                <w:numId w:val="4"/>
              </w:numPr>
              <w:ind w:left="1080"/>
            </w:pPr>
            <w:r>
              <w:t xml:space="preserve">daily dose of 35 mg aniline, corresponding to 3.7% increase in blood methaemoglobin concentrations, used as basis for TWA of aniline (0.5 ppm </w:t>
            </w:r>
            <w:r>
              <w:rPr>
                <w:rFonts w:cs="Arial"/>
              </w:rPr>
              <w:t>≡1.94 mg/m</w:t>
            </w:r>
            <w:r>
              <w:rPr>
                <w:rFonts w:cs="Arial"/>
                <w:vertAlign w:val="superscript"/>
              </w:rPr>
              <w:t>3</w:t>
            </w:r>
            <w:r>
              <w:rPr>
                <w:rFonts w:cs="Arial"/>
              </w:rPr>
              <w:t>)</w:t>
            </w:r>
            <w:r w:rsidR="00B5025F">
              <w:rPr>
                <w:rFonts w:cs="Arial"/>
              </w:rPr>
              <w:t>.</w:t>
            </w:r>
          </w:p>
          <w:p w14:paraId="52CFCE6E" w14:textId="7D1CB094" w:rsidR="00A35A72" w:rsidRDefault="00A8056A" w:rsidP="00A8056A">
            <w:pPr>
              <w:pStyle w:val="Tabletextprimarysource"/>
            </w:pPr>
            <w:r>
              <w:t>Animal data</w:t>
            </w:r>
            <w:r w:rsidR="00B5025F">
              <w:t>:</w:t>
            </w:r>
          </w:p>
          <w:p w14:paraId="4CA2FF50" w14:textId="051D22EB" w:rsidR="00332F7E" w:rsidRDefault="00120080" w:rsidP="007742A2">
            <w:pPr>
              <w:pStyle w:val="Tabletextprimarysource"/>
              <w:numPr>
                <w:ilvl w:val="0"/>
                <w:numId w:val="1"/>
              </w:numPr>
              <w:ind w:left="717"/>
            </w:pPr>
            <w:r>
              <w:t>Increased tumour incidence in bladder (females), spleen (females, males), abdominal cavity and scrotum (males), subcutaneous tissue (males)</w:t>
            </w:r>
            <w:r w:rsidR="00C90996">
              <w:t xml:space="preserve"> and</w:t>
            </w:r>
            <w:r>
              <w:t xml:space="preserve"> mammary gland (females) reported in chronic feeding study with dose groups 0, 3,000</w:t>
            </w:r>
            <w:r w:rsidR="00C90996">
              <w:t xml:space="preserve"> and</w:t>
            </w:r>
            <w:r>
              <w:t xml:space="preserve"> 6,000 ppm of diet (rats, mice, 2 </w:t>
            </w:r>
            <w:proofErr w:type="spellStart"/>
            <w:r>
              <w:t>yr</w:t>
            </w:r>
            <w:proofErr w:type="spellEnd"/>
            <w:r>
              <w:t xml:space="preserve">, also </w:t>
            </w:r>
            <w:r w:rsidR="005E1BD5">
              <w:t>reported</w:t>
            </w:r>
            <w:r>
              <w:t xml:space="preserve"> in ACGIH, 2018)</w:t>
            </w:r>
            <w:r w:rsidR="00607A95">
              <w:t>:</w:t>
            </w:r>
          </w:p>
          <w:p w14:paraId="24298F7C" w14:textId="415608C2" w:rsidR="00120080" w:rsidRDefault="00120080" w:rsidP="007742A2">
            <w:pPr>
              <w:pStyle w:val="Tabletextprimarysource"/>
              <w:numPr>
                <w:ilvl w:val="1"/>
                <w:numId w:val="1"/>
              </w:numPr>
              <w:ind w:left="1080"/>
            </w:pPr>
            <w:r>
              <w:t xml:space="preserve">observations for mice not </w:t>
            </w:r>
            <w:r w:rsidR="005E1BD5">
              <w:t>reported</w:t>
            </w:r>
          </w:p>
          <w:p w14:paraId="0A5ECFFF" w14:textId="77777777" w:rsidR="00120080" w:rsidRDefault="00120080" w:rsidP="007742A2">
            <w:pPr>
              <w:pStyle w:val="Tabletextprimarysource"/>
              <w:numPr>
                <w:ilvl w:val="1"/>
                <w:numId w:val="1"/>
              </w:numPr>
              <w:ind w:left="1080"/>
            </w:pPr>
            <w:r>
              <w:t xml:space="preserve">dose-response relationship for bladder carcinomas in females used to calculate </w:t>
            </w:r>
            <w:r w:rsidR="008D699E">
              <w:t>BMD</w:t>
            </w:r>
            <w:r>
              <w:t>; incidence of carcinomas reported as 0, 20</w:t>
            </w:r>
            <w:r w:rsidR="00C90996">
              <w:t xml:space="preserve"> and</w:t>
            </w:r>
            <w:r>
              <w:t xml:space="preserve"> 47% for dose groups 0, 3,000</w:t>
            </w:r>
            <w:r w:rsidR="00C90996">
              <w:t xml:space="preserve"> and</w:t>
            </w:r>
            <w:r>
              <w:t xml:space="preserve"> 6,000 ppm of diet </w:t>
            </w:r>
            <w:r>
              <w:rPr>
                <w:rFonts w:cs="Arial"/>
              </w:rPr>
              <w:t>≡</w:t>
            </w:r>
            <w:r>
              <w:t xml:space="preserve">0, 150, 300 mg/kg/d of the </w:t>
            </w:r>
            <w:r w:rsidR="00B74D34" w:rsidRPr="00422765">
              <w:rPr>
                <w:i/>
              </w:rPr>
              <w:t>o</w:t>
            </w:r>
            <w:r w:rsidR="00B74D34">
              <w:t xml:space="preserve">-toluidine hydrochloride </w:t>
            </w:r>
            <w:r>
              <w:t>salt</w:t>
            </w:r>
            <w:r w:rsidR="00810A8A">
              <w:t>.</w:t>
            </w:r>
          </w:p>
          <w:p w14:paraId="69723F57" w14:textId="60146B22" w:rsidR="008A681C" w:rsidRPr="00A8056A" w:rsidRDefault="008A681C" w:rsidP="008A681C">
            <w:pPr>
              <w:pStyle w:val="Tabletextprimarysource"/>
              <w:ind w:left="1080"/>
            </w:pPr>
          </w:p>
        </w:tc>
      </w:tr>
      <w:tr w:rsidR="00DA352E" w:rsidRPr="00DA352E" w14:paraId="238F0F8F" w14:textId="77777777" w:rsidTr="00CB2A8F">
        <w:trPr>
          <w:gridAfter w:val="1"/>
          <w:wAfter w:w="8" w:type="pct"/>
        </w:trPr>
        <w:tc>
          <w:tcPr>
            <w:tcW w:w="4992" w:type="pct"/>
            <w:shd w:val="clear" w:color="auto" w:fill="F2F2F2" w:themeFill="background1" w:themeFillShade="F2"/>
          </w:tcPr>
          <w:p w14:paraId="75784F81"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F62189">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F62189">
                  <w:t>NA</w:t>
                </w:r>
              </w:sdtContent>
            </w:sdt>
          </w:p>
        </w:tc>
      </w:tr>
      <w:tr w:rsidR="00DA352E" w:rsidRPr="00DA352E" w14:paraId="4749AC29" w14:textId="77777777" w:rsidTr="00CB2A8F">
        <w:trPr>
          <w:gridAfter w:val="1"/>
          <w:wAfter w:w="8" w:type="pct"/>
        </w:trPr>
        <w:tc>
          <w:tcPr>
            <w:tcW w:w="4992" w:type="pct"/>
          </w:tcPr>
          <w:p w14:paraId="4254B8FD" w14:textId="77777777" w:rsidR="00DA352E" w:rsidRPr="00DA352E" w:rsidRDefault="00F62189" w:rsidP="003365A5">
            <w:pPr>
              <w:pStyle w:val="Tabletextprimarysource"/>
            </w:pPr>
            <w:r>
              <w:t>No report</w:t>
            </w:r>
            <w:r w:rsidR="00810A8A">
              <w:t>.</w:t>
            </w:r>
          </w:p>
        </w:tc>
      </w:tr>
      <w:tr w:rsidR="00DA352E" w:rsidRPr="00DA352E" w14:paraId="71192CAD" w14:textId="77777777" w:rsidTr="00CB2A8F">
        <w:trPr>
          <w:gridAfter w:val="1"/>
          <w:wAfter w:w="8" w:type="pct"/>
        </w:trPr>
        <w:tc>
          <w:tcPr>
            <w:tcW w:w="4992" w:type="pct"/>
            <w:shd w:val="clear" w:color="auto" w:fill="F2F2F2" w:themeFill="background1" w:themeFillShade="F2"/>
          </w:tcPr>
          <w:p w14:paraId="705E6A19" w14:textId="77777777" w:rsidR="00DA352E" w:rsidRPr="00DA352E" w:rsidRDefault="00DA352E" w:rsidP="0051509C">
            <w:pPr>
              <w:pStyle w:val="Tablerowheadingitalic"/>
              <w:tabs>
                <w:tab w:val="clear" w:pos="2268"/>
                <w:tab w:val="clear" w:pos="5670"/>
                <w:tab w:val="left" w:pos="1418"/>
                <w:tab w:val="left" w:pos="2552"/>
              </w:tabs>
            </w:pPr>
            <w:r w:rsidRPr="00DA352E">
              <w:lastRenderedPageBreak/>
              <w:t>HCOTN</w:t>
            </w:r>
            <w:r w:rsidR="00916EC0" w:rsidRPr="003365A5">
              <w:t xml:space="preserve"> </w:t>
            </w:r>
            <w:r w:rsidR="00916EC0" w:rsidRPr="003365A5">
              <w:tab/>
            </w:r>
            <w:sdt>
              <w:sdtPr>
                <w:id w:val="1543090908"/>
                <w:placeholder>
                  <w:docPart w:val="EA1708404F1C4A3BB080A0D8EEB67D1D"/>
                </w:placeholder>
                <w:text/>
              </w:sdtPr>
              <w:sdtEndPr/>
              <w:sdtContent>
                <w:r w:rsidR="00F62189">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F62189">
                  <w:t>NA</w:t>
                </w:r>
              </w:sdtContent>
            </w:sdt>
          </w:p>
        </w:tc>
      </w:tr>
      <w:tr w:rsidR="00DA352E" w:rsidRPr="00DA352E" w14:paraId="74AEF454" w14:textId="77777777" w:rsidTr="00CB2A8F">
        <w:trPr>
          <w:gridAfter w:val="1"/>
          <w:wAfter w:w="8" w:type="pct"/>
        </w:trPr>
        <w:tc>
          <w:tcPr>
            <w:tcW w:w="4992" w:type="pct"/>
          </w:tcPr>
          <w:p w14:paraId="6DD3E2C1" w14:textId="77777777" w:rsidR="00DA352E" w:rsidRPr="00DA352E" w:rsidRDefault="00F62189" w:rsidP="003365A5">
            <w:pPr>
              <w:pStyle w:val="Tabletextprimarysource"/>
            </w:pPr>
            <w:r>
              <w:t>No report</w:t>
            </w:r>
            <w:r w:rsidR="00810A8A">
              <w:t>.</w:t>
            </w:r>
          </w:p>
        </w:tc>
      </w:tr>
    </w:tbl>
    <w:p w14:paraId="76E04235"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87"/>
        <w:gridCol w:w="421"/>
        <w:gridCol w:w="661"/>
        <w:gridCol w:w="6457"/>
      </w:tblGrid>
      <w:tr w:rsidR="004966BF" w:rsidRPr="00263255" w14:paraId="0900BB91" w14:textId="77777777" w:rsidTr="00CB2A8F">
        <w:trPr>
          <w:cnfStyle w:val="100000000000" w:firstRow="1" w:lastRow="0" w:firstColumn="0" w:lastColumn="0" w:oddVBand="0" w:evenVBand="0" w:oddHBand="0" w:evenHBand="0" w:firstRowFirstColumn="0" w:firstRowLastColumn="0" w:lastRowFirstColumn="0" w:lastRowLastColumn="0"/>
          <w:cantSplit/>
          <w:trHeight w:val="393"/>
          <w:tblHeader/>
        </w:trPr>
        <w:tc>
          <w:tcPr>
            <w:tcW w:w="1487" w:type="dxa"/>
            <w:shd w:val="clear" w:color="auto" w:fill="BFBFBF" w:themeFill="background1" w:themeFillShade="BF"/>
            <w:vAlign w:val="center"/>
          </w:tcPr>
          <w:p w14:paraId="1458E9A9" w14:textId="77777777" w:rsidR="004966BF" w:rsidRPr="00263255" w:rsidRDefault="004966BF" w:rsidP="00263255">
            <w:pPr>
              <w:pStyle w:val="Tableheader"/>
            </w:pPr>
            <w:r w:rsidRPr="00263255">
              <w:t>Source</w:t>
            </w:r>
          </w:p>
        </w:tc>
        <w:tc>
          <w:tcPr>
            <w:tcW w:w="421" w:type="dxa"/>
            <w:shd w:val="clear" w:color="auto" w:fill="BFBFBF" w:themeFill="background1" w:themeFillShade="BF"/>
            <w:vAlign w:val="center"/>
          </w:tcPr>
          <w:p w14:paraId="3208BC5B" w14:textId="77777777" w:rsidR="004966BF" w:rsidRPr="00263255" w:rsidRDefault="004966BF" w:rsidP="00263255">
            <w:pPr>
              <w:pStyle w:val="Tableheader"/>
            </w:pPr>
          </w:p>
        </w:tc>
        <w:tc>
          <w:tcPr>
            <w:tcW w:w="661" w:type="dxa"/>
            <w:shd w:val="clear" w:color="auto" w:fill="BFBFBF" w:themeFill="background1" w:themeFillShade="BF"/>
            <w:vAlign w:val="center"/>
          </w:tcPr>
          <w:p w14:paraId="142EBF3C" w14:textId="77777777" w:rsidR="004966BF" w:rsidRPr="00263255" w:rsidRDefault="004966BF" w:rsidP="00263255">
            <w:pPr>
              <w:pStyle w:val="Tableheader"/>
            </w:pPr>
            <w:r>
              <w:t>Year</w:t>
            </w:r>
          </w:p>
        </w:tc>
        <w:tc>
          <w:tcPr>
            <w:tcW w:w="6457" w:type="dxa"/>
            <w:shd w:val="clear" w:color="auto" w:fill="BFBFBF" w:themeFill="background1" w:themeFillShade="BF"/>
            <w:vAlign w:val="center"/>
          </w:tcPr>
          <w:p w14:paraId="606B21E8" w14:textId="77777777" w:rsidR="004966BF" w:rsidRPr="00263255" w:rsidRDefault="004966BF" w:rsidP="00263255">
            <w:pPr>
              <w:pStyle w:val="Tableheader"/>
            </w:pPr>
            <w:r>
              <w:t>Additional information</w:t>
            </w:r>
          </w:p>
        </w:tc>
      </w:tr>
      <w:tr w:rsidR="004966BF" w:rsidRPr="004C23F4" w14:paraId="0F02AF32" w14:textId="77777777" w:rsidTr="00CB2A8F">
        <w:trPr>
          <w:cantSplit/>
        </w:trPr>
        <w:tc>
          <w:tcPr>
            <w:tcW w:w="1487" w:type="dxa"/>
          </w:tcPr>
          <w:p w14:paraId="7C286DEF" w14:textId="77777777" w:rsidR="004966BF" w:rsidRPr="004C23F4" w:rsidRDefault="004966BF" w:rsidP="00224EE2">
            <w:pPr>
              <w:pStyle w:val="Tablefont"/>
            </w:pPr>
            <w:r>
              <w:t>NICNAS</w:t>
            </w:r>
          </w:p>
        </w:tc>
        <w:tc>
          <w:tcPr>
            <w:tcW w:w="421" w:type="dxa"/>
          </w:tcPr>
          <w:p w14:paraId="360E55DF" w14:textId="77777777" w:rsidR="004966BF" w:rsidRPr="00CE617F" w:rsidRDefault="00CB2A8F"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4C5AE7">
                  <w:rPr>
                    <w:rStyle w:val="checkbox"/>
                  </w:rPr>
                  <w:t></w:t>
                </w:r>
              </w:sdtContent>
            </w:sdt>
          </w:p>
        </w:tc>
        <w:tc>
          <w:tcPr>
            <w:tcW w:w="661" w:type="dxa"/>
          </w:tcPr>
          <w:p w14:paraId="5F012327" w14:textId="77777777" w:rsidR="004966BF" w:rsidRPr="004C23F4" w:rsidRDefault="004C5AE7" w:rsidP="00717D45">
            <w:pPr>
              <w:pStyle w:val="Tablefont"/>
              <w:rPr>
                <w:rStyle w:val="checkbox"/>
                <w:rFonts w:ascii="Arial" w:hAnsi="Arial" w:cs="Arial"/>
              </w:rPr>
            </w:pPr>
            <w:r>
              <w:rPr>
                <w:rStyle w:val="checkbox"/>
                <w:rFonts w:ascii="Arial" w:hAnsi="Arial" w:cs="Arial"/>
              </w:rPr>
              <w:t>2014</w:t>
            </w:r>
          </w:p>
        </w:tc>
        <w:tc>
          <w:tcPr>
            <w:tcW w:w="6457" w:type="dxa"/>
          </w:tcPr>
          <w:p w14:paraId="49AE7286" w14:textId="507D04BA" w:rsidR="004C5AE7" w:rsidRDefault="004C5AE7" w:rsidP="007742A2">
            <w:pPr>
              <w:pStyle w:val="Tablefont"/>
              <w:numPr>
                <w:ilvl w:val="0"/>
                <w:numId w:val="1"/>
              </w:numPr>
              <w:ind w:left="717"/>
              <w:rPr>
                <w:rFonts w:cs="Arial"/>
              </w:rPr>
            </w:pPr>
            <w:r>
              <w:rPr>
                <w:rFonts w:cs="Arial"/>
              </w:rPr>
              <w:t>A</w:t>
            </w:r>
            <w:r w:rsidRPr="00B07299">
              <w:rPr>
                <w:rFonts w:cs="Arial"/>
              </w:rPr>
              <w:t>naemia, weight loss, ano</w:t>
            </w:r>
            <w:r>
              <w:rPr>
                <w:rFonts w:cs="Arial"/>
              </w:rPr>
              <w:t xml:space="preserve">rexia, cyanosis, </w:t>
            </w:r>
            <w:r w:rsidR="00810A8A" w:rsidRPr="00B07299">
              <w:rPr>
                <w:rFonts w:cs="Arial"/>
              </w:rPr>
              <w:t>skin lesions</w:t>
            </w:r>
            <w:r w:rsidR="00810A8A">
              <w:rPr>
                <w:rFonts w:cs="Arial"/>
              </w:rPr>
              <w:t xml:space="preserve">, </w:t>
            </w:r>
            <w:r>
              <w:rPr>
                <w:rFonts w:cs="Arial"/>
              </w:rPr>
              <w:t>methaemoglobin</w:t>
            </w:r>
            <w:r w:rsidRPr="00B07299">
              <w:rPr>
                <w:rFonts w:cs="Arial"/>
              </w:rPr>
              <w:t>emia</w:t>
            </w:r>
            <w:r w:rsidR="00C90996">
              <w:rPr>
                <w:rFonts w:cs="Arial"/>
              </w:rPr>
              <w:t xml:space="preserve"> and</w:t>
            </w:r>
            <w:r w:rsidRPr="00B07299">
              <w:rPr>
                <w:rFonts w:cs="Arial"/>
              </w:rPr>
              <w:t xml:space="preserve"> disturbance in the </w:t>
            </w:r>
            <w:r w:rsidR="00810A8A">
              <w:rPr>
                <w:rFonts w:cs="Arial"/>
              </w:rPr>
              <w:t xml:space="preserve">CNS </w:t>
            </w:r>
            <w:r w:rsidRPr="00B07299">
              <w:rPr>
                <w:rFonts w:cs="Arial"/>
              </w:rPr>
              <w:t xml:space="preserve">such as headache, dizziness and confusion </w:t>
            </w:r>
            <w:r>
              <w:rPr>
                <w:rFonts w:cs="Arial"/>
              </w:rPr>
              <w:t>reported in chronically exposed workers (no further details provided)</w:t>
            </w:r>
          </w:p>
          <w:p w14:paraId="446C52F9" w14:textId="3D6B7E06" w:rsidR="004C5AE7" w:rsidRDefault="004C5AE7" w:rsidP="007742A2">
            <w:pPr>
              <w:pStyle w:val="Tablefont"/>
              <w:numPr>
                <w:ilvl w:val="0"/>
                <w:numId w:val="1"/>
              </w:numPr>
              <w:ind w:left="717"/>
              <w:rPr>
                <w:rFonts w:cs="Arial"/>
              </w:rPr>
            </w:pPr>
            <w:r>
              <w:rPr>
                <w:rFonts w:cs="Arial"/>
              </w:rPr>
              <w:t>H</w:t>
            </w:r>
            <w:r w:rsidR="00B07299" w:rsidRPr="00B07299">
              <w:rPr>
                <w:rFonts w:cs="Arial"/>
              </w:rPr>
              <w:t>aemoglobin adducts found in the urine of</w:t>
            </w:r>
            <w:r>
              <w:rPr>
                <w:rFonts w:cs="Arial"/>
              </w:rPr>
              <w:t xml:space="preserve"> exposed</w:t>
            </w:r>
            <w:r w:rsidR="00B07299" w:rsidRPr="00B07299">
              <w:rPr>
                <w:rFonts w:cs="Arial"/>
              </w:rPr>
              <w:t xml:space="preserve"> workers</w:t>
            </w:r>
            <w:r w:rsidR="008A681C">
              <w:rPr>
                <w:rFonts w:cs="Arial"/>
              </w:rPr>
              <w:t>:</w:t>
            </w:r>
            <w:r w:rsidR="00B07299" w:rsidRPr="00B07299">
              <w:rPr>
                <w:rFonts w:cs="Arial"/>
              </w:rPr>
              <w:t xml:space="preserve"> </w:t>
            </w:r>
          </w:p>
          <w:p w14:paraId="0AB80190" w14:textId="77777777" w:rsidR="00852170" w:rsidRDefault="00B07299" w:rsidP="007742A2">
            <w:pPr>
              <w:pStyle w:val="Tablefont"/>
              <w:numPr>
                <w:ilvl w:val="1"/>
                <w:numId w:val="1"/>
              </w:numPr>
              <w:ind w:left="1080"/>
              <w:rPr>
                <w:rFonts w:cs="Arial"/>
              </w:rPr>
            </w:pPr>
            <w:r w:rsidRPr="00B07299">
              <w:rPr>
                <w:rFonts w:cs="Arial"/>
              </w:rPr>
              <w:t xml:space="preserve">higher levels identified in those with existing impaired skin condition </w:t>
            </w:r>
          </w:p>
          <w:p w14:paraId="5020A264" w14:textId="1C9AC8EE" w:rsidR="00852170" w:rsidRPr="004C5AE7" w:rsidRDefault="005E1BD5" w:rsidP="007742A2">
            <w:pPr>
              <w:pStyle w:val="Tablefont"/>
              <w:numPr>
                <w:ilvl w:val="0"/>
                <w:numId w:val="1"/>
              </w:numPr>
              <w:ind w:left="717"/>
              <w:rPr>
                <w:rStyle w:val="checkbox"/>
                <w:rFonts w:ascii="Arial" w:hAnsi="Arial" w:cs="Arial"/>
              </w:rPr>
            </w:pPr>
            <w:r>
              <w:rPr>
                <w:rFonts w:cs="Arial"/>
              </w:rPr>
              <w:t xml:space="preserve">NICNAS </w:t>
            </w:r>
            <w:r w:rsidR="004C5AE7">
              <w:rPr>
                <w:rFonts w:cs="Arial"/>
              </w:rPr>
              <w:t>considers substance</w:t>
            </w:r>
            <w:r w:rsidR="00852170" w:rsidRPr="00852170">
              <w:rPr>
                <w:rFonts w:cs="Arial"/>
              </w:rPr>
              <w:t xml:space="preserve"> mutagenic based on the weight of evidence from available, well-document</w:t>
            </w:r>
            <w:r w:rsidR="004C5AE7">
              <w:rPr>
                <w:rFonts w:cs="Arial"/>
              </w:rPr>
              <w:t xml:space="preserve">ed </w:t>
            </w:r>
            <w:r w:rsidR="004C5AE7" w:rsidRPr="004C5AE7">
              <w:rPr>
                <w:rFonts w:cs="Arial"/>
                <w:i/>
              </w:rPr>
              <w:t>in</w:t>
            </w:r>
            <w:r w:rsidR="004C5AE7">
              <w:rPr>
                <w:rFonts w:cs="Arial"/>
              </w:rPr>
              <w:t xml:space="preserve"> </w:t>
            </w:r>
            <w:r w:rsidR="004C5AE7" w:rsidRPr="004C5AE7">
              <w:rPr>
                <w:rFonts w:cs="Arial"/>
                <w:i/>
              </w:rPr>
              <w:t>vitro</w:t>
            </w:r>
            <w:r w:rsidR="004C5AE7">
              <w:rPr>
                <w:rFonts w:cs="Arial"/>
              </w:rPr>
              <w:t xml:space="preserve"> and </w:t>
            </w:r>
            <w:r w:rsidR="004C5AE7" w:rsidRPr="004C5AE7">
              <w:rPr>
                <w:rFonts w:cs="Arial"/>
                <w:i/>
              </w:rPr>
              <w:t>in</w:t>
            </w:r>
            <w:r w:rsidR="004C5AE7">
              <w:rPr>
                <w:rFonts w:cs="Arial"/>
              </w:rPr>
              <w:t xml:space="preserve"> </w:t>
            </w:r>
            <w:r w:rsidR="004C5AE7" w:rsidRPr="004C5AE7">
              <w:rPr>
                <w:rFonts w:cs="Arial"/>
                <w:i/>
              </w:rPr>
              <w:t>vivo</w:t>
            </w:r>
            <w:r w:rsidR="004C5AE7">
              <w:rPr>
                <w:rFonts w:cs="Arial"/>
              </w:rPr>
              <w:t xml:space="preserve"> studies</w:t>
            </w:r>
            <w:r w:rsidR="00810A8A">
              <w:rPr>
                <w:rFonts w:cs="Arial"/>
              </w:rPr>
              <w:t>.</w:t>
            </w:r>
          </w:p>
        </w:tc>
      </w:tr>
      <w:tr w:rsidR="004966BF" w:rsidRPr="004C23F4" w14:paraId="279DEA4C" w14:textId="77777777" w:rsidTr="00CB2A8F">
        <w:trPr>
          <w:cantSplit/>
        </w:trPr>
        <w:tc>
          <w:tcPr>
            <w:tcW w:w="1487" w:type="dxa"/>
          </w:tcPr>
          <w:p w14:paraId="7507D4F9" w14:textId="77777777" w:rsidR="004966BF" w:rsidRPr="004C23F4" w:rsidRDefault="004966BF" w:rsidP="00224EE2">
            <w:pPr>
              <w:pStyle w:val="Tablefont"/>
            </w:pPr>
            <w:r>
              <w:t>IARC</w:t>
            </w:r>
          </w:p>
        </w:tc>
        <w:tc>
          <w:tcPr>
            <w:tcW w:w="421" w:type="dxa"/>
          </w:tcPr>
          <w:p w14:paraId="48823D0F" w14:textId="77777777" w:rsidR="004966BF" w:rsidRPr="00CE617F" w:rsidRDefault="00CB2A8F"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4C5AE7">
                  <w:rPr>
                    <w:rStyle w:val="checkbox"/>
                  </w:rPr>
                  <w:t></w:t>
                </w:r>
              </w:sdtContent>
            </w:sdt>
          </w:p>
        </w:tc>
        <w:tc>
          <w:tcPr>
            <w:tcW w:w="661" w:type="dxa"/>
          </w:tcPr>
          <w:p w14:paraId="476D31CE" w14:textId="77777777" w:rsidR="004966BF" w:rsidRPr="004C23F4" w:rsidRDefault="004C5AE7" w:rsidP="00717D45">
            <w:pPr>
              <w:pStyle w:val="Tablefont"/>
              <w:rPr>
                <w:rStyle w:val="checkbox"/>
                <w:rFonts w:ascii="Arial" w:hAnsi="Arial" w:cs="Arial"/>
              </w:rPr>
            </w:pPr>
            <w:r>
              <w:rPr>
                <w:rStyle w:val="checkbox"/>
                <w:rFonts w:ascii="Arial" w:hAnsi="Arial" w:cs="Arial"/>
              </w:rPr>
              <w:t>2012</w:t>
            </w:r>
          </w:p>
        </w:tc>
        <w:tc>
          <w:tcPr>
            <w:tcW w:w="6457" w:type="dxa"/>
          </w:tcPr>
          <w:p w14:paraId="431C7F02" w14:textId="5FCE9261" w:rsidR="002E0FD5" w:rsidRDefault="002E0FD5" w:rsidP="007742A2">
            <w:pPr>
              <w:pStyle w:val="Tablefont"/>
              <w:numPr>
                <w:ilvl w:val="0"/>
                <w:numId w:val="1"/>
              </w:numPr>
              <w:ind w:left="717"/>
              <w:rPr>
                <w:rFonts w:cs="Arial"/>
              </w:rPr>
            </w:pPr>
            <w:r>
              <w:rPr>
                <w:rFonts w:cs="Arial"/>
              </w:rPr>
              <w:t>Metabolism of substance not yet fully characterised</w:t>
            </w:r>
            <w:r w:rsidR="008A681C">
              <w:rPr>
                <w:rFonts w:cs="Arial"/>
              </w:rPr>
              <w:t>:</w:t>
            </w:r>
          </w:p>
          <w:p w14:paraId="37413B08" w14:textId="791B0CC1" w:rsidR="0029341F" w:rsidRPr="0029341F" w:rsidRDefault="0029341F" w:rsidP="007742A2">
            <w:pPr>
              <w:pStyle w:val="Tablefont"/>
              <w:numPr>
                <w:ilvl w:val="1"/>
                <w:numId w:val="1"/>
              </w:numPr>
              <w:ind w:left="1072" w:hanging="352"/>
              <w:rPr>
                <w:rFonts w:cs="Arial"/>
              </w:rPr>
            </w:pPr>
            <w:r>
              <w:rPr>
                <w:rFonts w:cs="Arial"/>
              </w:rPr>
              <w:t xml:space="preserve">available data indicate preferential </w:t>
            </w:r>
            <w:proofErr w:type="spellStart"/>
            <w:r>
              <w:rPr>
                <w:rFonts w:cs="Arial"/>
              </w:rPr>
              <w:t>arene</w:t>
            </w:r>
            <w:proofErr w:type="spellEnd"/>
            <w:r>
              <w:rPr>
                <w:rFonts w:cs="Arial"/>
              </w:rPr>
              <w:t xml:space="preserve"> oxidation or </w:t>
            </w:r>
            <w:r>
              <w:rPr>
                <w:rFonts w:cs="Arial"/>
                <w:i/>
              </w:rPr>
              <w:t>N</w:t>
            </w:r>
            <w:r w:rsidR="005E1BD5">
              <w:rPr>
                <w:rFonts w:cs="Arial"/>
              </w:rPr>
              <w:noBreakHyphen/>
            </w:r>
            <w:r>
              <w:rPr>
                <w:rFonts w:cs="Arial"/>
              </w:rPr>
              <w:t xml:space="preserve">acetylation rather than </w:t>
            </w:r>
            <w:r>
              <w:rPr>
                <w:rFonts w:cs="Arial"/>
                <w:i/>
              </w:rPr>
              <w:t>N</w:t>
            </w:r>
            <w:r>
              <w:rPr>
                <w:rFonts w:cs="Arial"/>
              </w:rPr>
              <w:t xml:space="preserve">-oxidation; the latter would generate </w:t>
            </w:r>
            <w:r>
              <w:rPr>
                <w:rFonts w:cs="Arial"/>
                <w:i/>
              </w:rPr>
              <w:t>N</w:t>
            </w:r>
            <w:r>
              <w:rPr>
                <w:rFonts w:cs="Arial"/>
              </w:rPr>
              <w:t>-hydroxyl metabolites</w:t>
            </w:r>
          </w:p>
          <w:p w14:paraId="5C826A6F" w14:textId="77777777" w:rsidR="0029341F" w:rsidRPr="0029341F" w:rsidRDefault="0029341F" w:rsidP="007742A2">
            <w:pPr>
              <w:pStyle w:val="Tablefont"/>
              <w:numPr>
                <w:ilvl w:val="0"/>
                <w:numId w:val="1"/>
              </w:numPr>
              <w:ind w:left="717"/>
              <w:rPr>
                <w:rFonts w:cs="Arial"/>
              </w:rPr>
            </w:pPr>
            <w:r>
              <w:t>C</w:t>
            </w:r>
            <w:r w:rsidR="0019761A">
              <w:t xml:space="preserve">ancers of the urinary bladder associated with occupational exposure may result from </w:t>
            </w:r>
            <w:r>
              <w:t xml:space="preserve">oxidation </w:t>
            </w:r>
            <w:r w:rsidR="0019761A">
              <w:t xml:space="preserve">in </w:t>
            </w:r>
            <w:r>
              <w:t xml:space="preserve">bladder </w:t>
            </w:r>
            <w:r w:rsidR="0019761A">
              <w:t xml:space="preserve">epithelium </w:t>
            </w:r>
          </w:p>
          <w:p w14:paraId="123A1DF0" w14:textId="77777777" w:rsidR="0019761A" w:rsidRDefault="0029341F" w:rsidP="007742A2">
            <w:pPr>
              <w:pStyle w:val="Tablefont"/>
              <w:numPr>
                <w:ilvl w:val="0"/>
                <w:numId w:val="1"/>
              </w:numPr>
              <w:ind w:left="717"/>
              <w:rPr>
                <w:rFonts w:cs="Arial"/>
              </w:rPr>
            </w:pPr>
            <w:r>
              <w:t>H</w:t>
            </w:r>
            <w:r w:rsidR="0019761A">
              <w:t>aemoglobin adduct levels increased in patients treated w</w:t>
            </w:r>
            <w:r>
              <w:t xml:space="preserve">ith prilocaine </w:t>
            </w:r>
            <w:r w:rsidR="0019761A">
              <w:t xml:space="preserve">and rubber manufacturing </w:t>
            </w:r>
            <w:r>
              <w:t>workers</w:t>
            </w:r>
          </w:p>
          <w:p w14:paraId="5A9B2C18" w14:textId="12D28A27" w:rsidR="0029341F" w:rsidRDefault="0029341F" w:rsidP="007742A2">
            <w:pPr>
              <w:pStyle w:val="Tablefont"/>
              <w:numPr>
                <w:ilvl w:val="0"/>
                <w:numId w:val="1"/>
              </w:numPr>
              <w:ind w:left="717"/>
              <w:rPr>
                <w:rFonts w:cs="Arial"/>
              </w:rPr>
            </w:pPr>
            <w:r>
              <w:rPr>
                <w:rFonts w:cs="Arial"/>
              </w:rPr>
              <w:t xml:space="preserve">Classified as Group 1; </w:t>
            </w:r>
            <w:r w:rsidRPr="0019761A">
              <w:rPr>
                <w:rFonts w:cs="Arial"/>
              </w:rPr>
              <w:t>carcinogenic to humans</w:t>
            </w:r>
            <w:r w:rsidR="008A681C">
              <w:rPr>
                <w:rFonts w:cs="Arial"/>
              </w:rPr>
              <w:t>:</w:t>
            </w:r>
            <w:r w:rsidRPr="0019761A">
              <w:rPr>
                <w:rFonts w:cs="Arial"/>
              </w:rPr>
              <w:t xml:space="preserve"> </w:t>
            </w:r>
          </w:p>
          <w:p w14:paraId="0DF77F7F" w14:textId="77777777" w:rsidR="0029341F" w:rsidRDefault="00810A8A" w:rsidP="007742A2">
            <w:pPr>
              <w:pStyle w:val="Tablefont"/>
              <w:numPr>
                <w:ilvl w:val="1"/>
                <w:numId w:val="1"/>
              </w:numPr>
              <w:ind w:left="1080"/>
              <w:rPr>
                <w:rFonts w:cs="Arial"/>
              </w:rPr>
            </w:pPr>
            <w:r>
              <w:rPr>
                <w:rFonts w:cs="Arial"/>
              </w:rPr>
              <w:t>su</w:t>
            </w:r>
            <w:r w:rsidRPr="0019761A">
              <w:rPr>
                <w:rFonts w:cs="Arial"/>
              </w:rPr>
              <w:t>fficient</w:t>
            </w:r>
            <w:r w:rsidR="0019761A" w:rsidRPr="0019761A">
              <w:rPr>
                <w:rFonts w:cs="Arial"/>
              </w:rPr>
              <w:t xml:space="preserve"> evidence </w:t>
            </w:r>
            <w:r w:rsidR="0029341F" w:rsidRPr="0019761A">
              <w:rPr>
                <w:rFonts w:cs="Arial"/>
              </w:rPr>
              <w:t xml:space="preserve">for carcinogenicity </w:t>
            </w:r>
            <w:r w:rsidR="0029341F">
              <w:rPr>
                <w:rFonts w:cs="Arial"/>
              </w:rPr>
              <w:t xml:space="preserve">in humans; </w:t>
            </w:r>
            <w:r w:rsidR="0019761A" w:rsidRPr="0019761A">
              <w:rPr>
                <w:rFonts w:cs="Arial"/>
              </w:rPr>
              <w:t xml:space="preserve">causes </w:t>
            </w:r>
            <w:r w:rsidR="0029341F">
              <w:rPr>
                <w:rFonts w:cs="Arial"/>
              </w:rPr>
              <w:t>bladder cancer</w:t>
            </w:r>
          </w:p>
          <w:p w14:paraId="6AE2D864" w14:textId="77777777" w:rsidR="0029341F" w:rsidRDefault="0019761A" w:rsidP="007742A2">
            <w:pPr>
              <w:pStyle w:val="Tablefont"/>
              <w:numPr>
                <w:ilvl w:val="1"/>
                <w:numId w:val="1"/>
              </w:numPr>
              <w:ind w:left="1080"/>
              <w:rPr>
                <w:rFonts w:cs="Arial"/>
              </w:rPr>
            </w:pPr>
            <w:r w:rsidRPr="0019761A">
              <w:rPr>
                <w:rFonts w:cs="Arial"/>
              </w:rPr>
              <w:t xml:space="preserve">sufficient evidence </w:t>
            </w:r>
            <w:r w:rsidR="0029341F" w:rsidRPr="0019761A">
              <w:rPr>
                <w:rFonts w:cs="Arial"/>
              </w:rPr>
              <w:t xml:space="preserve">for carcinogenicity </w:t>
            </w:r>
            <w:r w:rsidRPr="0019761A">
              <w:rPr>
                <w:rFonts w:cs="Arial"/>
              </w:rPr>
              <w:t xml:space="preserve">in animals </w:t>
            </w:r>
          </w:p>
          <w:p w14:paraId="1B946972" w14:textId="672B399F" w:rsidR="004966BF" w:rsidRPr="004C23F4" w:rsidRDefault="0019761A" w:rsidP="007742A2">
            <w:pPr>
              <w:pStyle w:val="Tablefont"/>
              <w:numPr>
                <w:ilvl w:val="1"/>
                <w:numId w:val="1"/>
              </w:numPr>
              <w:ind w:left="1080"/>
              <w:rPr>
                <w:rStyle w:val="checkbox"/>
                <w:rFonts w:ascii="Arial" w:hAnsi="Arial" w:cs="Arial"/>
              </w:rPr>
            </w:pPr>
            <w:r w:rsidRPr="0019761A">
              <w:rPr>
                <w:rFonts w:cs="Arial"/>
              </w:rPr>
              <w:t>moderate mechanistic evidence indicating carcinogenicity involves metabolic activation, formation of DNA adducts</w:t>
            </w:r>
            <w:r w:rsidR="00C90996">
              <w:rPr>
                <w:rFonts w:cs="Arial"/>
              </w:rPr>
              <w:t xml:space="preserve"> and</w:t>
            </w:r>
            <w:r w:rsidRPr="0019761A">
              <w:rPr>
                <w:rFonts w:cs="Arial"/>
              </w:rPr>
              <w:t xml:space="preserve"> in</w:t>
            </w:r>
            <w:r w:rsidR="0029341F">
              <w:rPr>
                <w:rFonts w:cs="Arial"/>
              </w:rPr>
              <w:t>duction of DNA-damaging effects</w:t>
            </w:r>
            <w:r w:rsidR="00810A8A">
              <w:rPr>
                <w:rFonts w:cs="Arial"/>
              </w:rPr>
              <w:t>.</w:t>
            </w:r>
          </w:p>
        </w:tc>
      </w:tr>
      <w:tr w:rsidR="004966BF" w:rsidRPr="004C23F4" w14:paraId="75567F76" w14:textId="77777777" w:rsidTr="00CB2A8F">
        <w:trPr>
          <w:cantSplit/>
        </w:trPr>
        <w:tc>
          <w:tcPr>
            <w:tcW w:w="1487" w:type="dxa"/>
          </w:tcPr>
          <w:p w14:paraId="70321BB4" w14:textId="77777777" w:rsidR="004966BF" w:rsidRPr="004C23F4" w:rsidRDefault="004966BF" w:rsidP="00224EE2">
            <w:pPr>
              <w:pStyle w:val="Tablefont"/>
            </w:pPr>
            <w:r>
              <w:t>ECHA</w:t>
            </w:r>
          </w:p>
        </w:tc>
        <w:tc>
          <w:tcPr>
            <w:tcW w:w="421" w:type="dxa"/>
          </w:tcPr>
          <w:p w14:paraId="4D5DCE23" w14:textId="77777777" w:rsidR="004966BF" w:rsidRPr="00CE617F" w:rsidRDefault="00CB2A8F"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19761A">
                  <w:rPr>
                    <w:rStyle w:val="checkbox"/>
                  </w:rPr>
                  <w:t></w:t>
                </w:r>
              </w:sdtContent>
            </w:sdt>
          </w:p>
        </w:tc>
        <w:tc>
          <w:tcPr>
            <w:tcW w:w="661" w:type="dxa"/>
          </w:tcPr>
          <w:p w14:paraId="22B9F766" w14:textId="77777777" w:rsidR="004966BF" w:rsidRPr="004C23F4" w:rsidRDefault="0019761A" w:rsidP="00717D45">
            <w:pPr>
              <w:pStyle w:val="Tablefont"/>
              <w:rPr>
                <w:rStyle w:val="checkbox"/>
                <w:rFonts w:ascii="Arial" w:hAnsi="Arial" w:cs="Arial"/>
              </w:rPr>
            </w:pPr>
            <w:r>
              <w:rPr>
                <w:rStyle w:val="checkbox"/>
                <w:rFonts w:ascii="Arial" w:hAnsi="Arial" w:cs="Arial"/>
              </w:rPr>
              <w:t>2020</w:t>
            </w:r>
          </w:p>
        </w:tc>
        <w:tc>
          <w:tcPr>
            <w:tcW w:w="6457" w:type="dxa"/>
          </w:tcPr>
          <w:p w14:paraId="5354BFFF" w14:textId="77777777" w:rsidR="004966BF" w:rsidRPr="004C23F4" w:rsidRDefault="0019761A" w:rsidP="007742A2">
            <w:pPr>
              <w:pStyle w:val="Tablefont"/>
              <w:numPr>
                <w:ilvl w:val="0"/>
                <w:numId w:val="1"/>
              </w:numPr>
              <w:ind w:left="717"/>
              <w:rPr>
                <w:rStyle w:val="checkbox"/>
                <w:rFonts w:ascii="Arial" w:hAnsi="Arial" w:cs="Arial"/>
              </w:rPr>
            </w:pPr>
            <w:r>
              <w:rPr>
                <w:rStyle w:val="checkbox"/>
                <w:rFonts w:ascii="Arial" w:hAnsi="Arial" w:cs="Arial"/>
              </w:rPr>
              <w:t>High hazard due to carcinogenicity (no threshold derived)</w:t>
            </w:r>
            <w:r w:rsidR="00810A8A">
              <w:rPr>
                <w:rStyle w:val="checkbox"/>
                <w:rFonts w:ascii="Arial" w:hAnsi="Arial" w:cs="Arial"/>
              </w:rPr>
              <w:t>.</w:t>
            </w:r>
          </w:p>
        </w:tc>
      </w:tr>
      <w:tr w:rsidR="004966BF" w:rsidRPr="004C23F4" w14:paraId="38A0E663" w14:textId="77777777" w:rsidTr="00CB2A8F">
        <w:trPr>
          <w:cantSplit/>
        </w:trPr>
        <w:tc>
          <w:tcPr>
            <w:tcW w:w="1487" w:type="dxa"/>
          </w:tcPr>
          <w:p w14:paraId="1264CC4E" w14:textId="77777777" w:rsidR="004966BF" w:rsidRDefault="004966BF" w:rsidP="00224EE2">
            <w:pPr>
              <w:pStyle w:val="Tablefont"/>
            </w:pPr>
            <w:r>
              <w:t>US NIOSH</w:t>
            </w:r>
          </w:p>
        </w:tc>
        <w:tc>
          <w:tcPr>
            <w:tcW w:w="421" w:type="dxa"/>
          </w:tcPr>
          <w:p w14:paraId="3FFE7852" w14:textId="77777777" w:rsidR="004966BF" w:rsidRDefault="00CB2A8F"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013D70">
                  <w:rPr>
                    <w:rStyle w:val="checkbox"/>
                  </w:rPr>
                  <w:t></w:t>
                </w:r>
              </w:sdtContent>
            </w:sdt>
          </w:p>
        </w:tc>
        <w:tc>
          <w:tcPr>
            <w:tcW w:w="661" w:type="dxa"/>
          </w:tcPr>
          <w:p w14:paraId="205AAD2B" w14:textId="77777777" w:rsidR="004966BF" w:rsidRPr="004C23F4" w:rsidRDefault="00013D70" w:rsidP="00717D45">
            <w:pPr>
              <w:pStyle w:val="Tablefont"/>
              <w:rPr>
                <w:rStyle w:val="checkbox"/>
                <w:rFonts w:ascii="Arial" w:hAnsi="Arial" w:cs="Arial"/>
              </w:rPr>
            </w:pPr>
            <w:r>
              <w:rPr>
                <w:rStyle w:val="checkbox"/>
                <w:rFonts w:ascii="Arial" w:hAnsi="Arial" w:cs="Arial"/>
              </w:rPr>
              <w:t>1994</w:t>
            </w:r>
          </w:p>
        </w:tc>
        <w:tc>
          <w:tcPr>
            <w:tcW w:w="6457" w:type="dxa"/>
          </w:tcPr>
          <w:p w14:paraId="51B21A1F" w14:textId="77777777" w:rsidR="004966BF" w:rsidRPr="004C23F4" w:rsidRDefault="0019761A" w:rsidP="007742A2">
            <w:pPr>
              <w:pStyle w:val="Tablefont"/>
              <w:numPr>
                <w:ilvl w:val="0"/>
                <w:numId w:val="1"/>
              </w:numPr>
              <w:ind w:left="717"/>
              <w:rPr>
                <w:rStyle w:val="checkbox"/>
                <w:rFonts w:ascii="Arial" w:hAnsi="Arial" w:cs="Arial"/>
              </w:rPr>
            </w:pPr>
            <w:r w:rsidRPr="0019761A">
              <w:rPr>
                <w:rFonts w:cs="Arial"/>
              </w:rPr>
              <w:t>IDLH based on acute inhalation toxicity data in humans</w:t>
            </w:r>
            <w:r w:rsidR="00810A8A">
              <w:rPr>
                <w:rFonts w:cs="Arial"/>
              </w:rPr>
              <w:t>.</w:t>
            </w:r>
          </w:p>
        </w:tc>
      </w:tr>
    </w:tbl>
    <w:p w14:paraId="0FB3369D" w14:textId="77777777" w:rsidR="007E2A4B" w:rsidRDefault="007E2A4B"/>
    <w:bookmarkEnd w:id="0"/>
    <w:p w14:paraId="6942E5EC" w14:textId="77777777" w:rsidR="007E2A4B" w:rsidRDefault="007E2A4B" w:rsidP="007E2A4B">
      <w:pPr>
        <w:pStyle w:val="Heading3"/>
      </w:pPr>
      <w:r>
        <w:lastRenderedPageBreak/>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03F6E275" w14:textId="77777777" w:rsidTr="00A8056A">
        <w:trPr>
          <w:trHeight w:val="454"/>
          <w:tblHeader/>
        </w:trPr>
        <w:tc>
          <w:tcPr>
            <w:tcW w:w="6597" w:type="dxa"/>
            <w:vAlign w:val="center"/>
          </w:tcPr>
          <w:p w14:paraId="467B741D"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09224D29" w14:textId="77777777" w:rsidR="002E0D61" w:rsidRDefault="00A8056A" w:rsidP="00C3091E">
                <w:pPr>
                  <w:pStyle w:val="Tablefont"/>
                  <w:keepNext/>
                  <w:keepLines/>
                  <w:spacing w:before="40" w:after="40"/>
                </w:pPr>
                <w:r>
                  <w:t>Yes</w:t>
                </w:r>
              </w:p>
            </w:tc>
          </w:sdtContent>
        </w:sdt>
      </w:tr>
      <w:tr w:rsidR="008A36CF" w14:paraId="32D5F8B0" w14:textId="77777777" w:rsidTr="00A8056A">
        <w:trPr>
          <w:trHeight w:val="454"/>
        </w:trPr>
        <w:tc>
          <w:tcPr>
            <w:tcW w:w="6597" w:type="dxa"/>
            <w:vAlign w:val="center"/>
          </w:tcPr>
          <w:p w14:paraId="315A5DB3"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72C96288" w14:textId="77777777" w:rsidR="008A36CF" w:rsidRDefault="00A8056A" w:rsidP="008A36CF">
                <w:pPr>
                  <w:pStyle w:val="Tablefont"/>
                  <w:keepNext/>
                  <w:keepLines/>
                  <w:spacing w:before="40" w:after="40"/>
                </w:pPr>
                <w:r>
                  <w:t>Insufficient data</w:t>
                </w:r>
              </w:p>
            </w:tc>
          </w:sdtContent>
        </w:sdt>
      </w:tr>
      <w:tr w:rsidR="008A36CF" w14:paraId="31E0CDBE" w14:textId="77777777" w:rsidTr="00A8056A">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597" w:type="dxa"/>
                <w:vAlign w:val="center"/>
              </w:tcPr>
              <w:p w14:paraId="55B24663" w14:textId="77777777" w:rsidR="008A36CF" w:rsidRPr="006901A2" w:rsidRDefault="00A8056A" w:rsidP="008A36CF">
                <w:pPr>
                  <w:pStyle w:val="Tablefont"/>
                  <w:keepNext/>
                  <w:keepLines/>
                  <w:spacing w:before="40" w:after="40"/>
                  <w:rPr>
                    <w:b/>
                  </w:rPr>
                </w:pPr>
                <w:r>
                  <w:rPr>
                    <w:b/>
                  </w:rPr>
                  <w:t>Insufficient data are available to determine if the chemical is a non-threshold based genotoxic carcinogen.</w:t>
                </w:r>
              </w:p>
            </w:tc>
          </w:sdtContent>
        </w:sdt>
        <w:tc>
          <w:tcPr>
            <w:tcW w:w="2429" w:type="dxa"/>
            <w:vAlign w:val="center"/>
          </w:tcPr>
          <w:p w14:paraId="334324A0" w14:textId="77777777" w:rsidR="008A36CF" w:rsidRDefault="008A36CF" w:rsidP="008A36CF">
            <w:pPr>
              <w:pStyle w:val="Tablefont"/>
              <w:keepNext/>
              <w:keepLines/>
              <w:spacing w:before="40" w:after="40"/>
            </w:pPr>
          </w:p>
        </w:tc>
      </w:tr>
    </w:tbl>
    <w:bookmarkEnd w:id="1"/>
    <w:p w14:paraId="1841ADAB"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68BF9D33" w14:textId="77777777" w:rsidTr="00CB2A8F">
        <w:trPr>
          <w:cnfStyle w:val="100000000000" w:firstRow="1" w:lastRow="0" w:firstColumn="0" w:lastColumn="0" w:oddVBand="0" w:evenVBand="0" w:oddHBand="0" w:evenHBand="0" w:firstRowFirstColumn="0" w:firstRowLastColumn="0" w:lastRowFirstColumn="0" w:lastRowLastColumn="0"/>
          <w:cantSplit/>
          <w:tblHeader/>
        </w:trPr>
        <w:tc>
          <w:tcPr>
            <w:tcW w:w="3153" w:type="dxa"/>
            <w:shd w:val="clear" w:color="auto" w:fill="BFBFBF" w:themeFill="background1" w:themeFillShade="BF"/>
            <w:vAlign w:val="center"/>
          </w:tcPr>
          <w:p w14:paraId="2AB04314" w14:textId="77777777" w:rsidR="00687890" w:rsidRPr="004C23F4" w:rsidRDefault="00687890" w:rsidP="00263255">
            <w:pPr>
              <w:pStyle w:val="Tableheader"/>
            </w:pPr>
            <w:bookmarkStart w:id="2" w:name="Notations"/>
            <w:r w:rsidRPr="004C23F4">
              <w:t>Source</w:t>
            </w:r>
          </w:p>
        </w:tc>
        <w:tc>
          <w:tcPr>
            <w:tcW w:w="5873" w:type="dxa"/>
            <w:shd w:val="clear" w:color="auto" w:fill="BFBFBF" w:themeFill="background1" w:themeFillShade="BF"/>
            <w:vAlign w:val="center"/>
          </w:tcPr>
          <w:p w14:paraId="470A1475" w14:textId="77777777" w:rsidR="00687890" w:rsidRPr="004C23F4" w:rsidRDefault="00687890" w:rsidP="00F4402E">
            <w:pPr>
              <w:pStyle w:val="Tableheader"/>
              <w:tabs>
                <w:tab w:val="right" w:pos="5272"/>
              </w:tabs>
            </w:pPr>
            <w:r w:rsidRPr="004C23F4">
              <w:t>Notations</w:t>
            </w:r>
            <w:r w:rsidR="003A2B94">
              <w:tab/>
            </w:r>
          </w:p>
        </w:tc>
      </w:tr>
      <w:tr w:rsidR="00687890" w:rsidRPr="004C23F4" w14:paraId="440A0295" w14:textId="77777777" w:rsidTr="00CB2A8F">
        <w:trPr>
          <w:cantSplit/>
        </w:trPr>
        <w:tc>
          <w:tcPr>
            <w:tcW w:w="3153" w:type="dxa"/>
          </w:tcPr>
          <w:p w14:paraId="19FE9F6C" w14:textId="77777777" w:rsidR="004079B4" w:rsidRPr="004C23F4" w:rsidRDefault="00084513" w:rsidP="00F4402E">
            <w:pPr>
              <w:pStyle w:val="Tablefont"/>
            </w:pPr>
            <w:r w:rsidRPr="004C23F4">
              <w:t>SWA</w:t>
            </w:r>
          </w:p>
        </w:tc>
        <w:tc>
          <w:tcPr>
            <w:tcW w:w="5873" w:type="dxa"/>
          </w:tcPr>
          <w:p w14:paraId="5836A94E" w14:textId="77777777" w:rsidR="00687890" w:rsidRPr="00DD2F9B" w:rsidRDefault="00421F28" w:rsidP="00DD2F9B">
            <w:pPr>
              <w:pStyle w:val="Tablefont"/>
            </w:pPr>
            <w:r w:rsidRPr="00421F28">
              <w:t>Carc. 2</w:t>
            </w:r>
            <w:r>
              <w:t>, Skin</w:t>
            </w:r>
          </w:p>
        </w:tc>
      </w:tr>
      <w:tr w:rsidR="007925F0" w:rsidRPr="004C23F4" w14:paraId="01863400" w14:textId="77777777" w:rsidTr="00CB2A8F">
        <w:trPr>
          <w:cantSplit/>
        </w:trPr>
        <w:tc>
          <w:tcPr>
            <w:tcW w:w="3153" w:type="dxa"/>
          </w:tcPr>
          <w:p w14:paraId="4F11E186" w14:textId="77777777" w:rsidR="004079B4" w:rsidRPr="004C23F4" w:rsidRDefault="007925F0" w:rsidP="00F4402E">
            <w:pPr>
              <w:pStyle w:val="Tablefont"/>
            </w:pPr>
            <w:r>
              <w:t>HCIS</w:t>
            </w:r>
          </w:p>
        </w:tc>
        <w:tc>
          <w:tcPr>
            <w:tcW w:w="5873" w:type="dxa"/>
          </w:tcPr>
          <w:p w14:paraId="7C05B1E2" w14:textId="77777777" w:rsidR="007925F0" w:rsidRPr="00DD2F9B" w:rsidRDefault="00A52059" w:rsidP="00DD2F9B">
            <w:pPr>
              <w:pStyle w:val="Tablefont"/>
            </w:pPr>
            <w:r w:rsidRPr="00A52059">
              <w:t>Carcinogenicity – category 1A</w:t>
            </w:r>
          </w:p>
        </w:tc>
      </w:tr>
      <w:tr w:rsidR="00AF483F" w:rsidRPr="004C23F4" w14:paraId="75C5D109" w14:textId="77777777" w:rsidTr="00CB2A8F">
        <w:trPr>
          <w:cantSplit/>
        </w:trPr>
        <w:tc>
          <w:tcPr>
            <w:tcW w:w="3153" w:type="dxa"/>
          </w:tcPr>
          <w:p w14:paraId="14859215" w14:textId="77777777" w:rsidR="00AF483F" w:rsidRPr="004C23F4" w:rsidRDefault="00AF483F" w:rsidP="00F4402E">
            <w:pPr>
              <w:pStyle w:val="Tablefont"/>
            </w:pPr>
            <w:r>
              <w:t>NICNAS</w:t>
            </w:r>
          </w:p>
        </w:tc>
        <w:tc>
          <w:tcPr>
            <w:tcW w:w="5873" w:type="dxa"/>
          </w:tcPr>
          <w:p w14:paraId="6341FE4E" w14:textId="77777777" w:rsidR="00AF483F" w:rsidRPr="00DD2F9B" w:rsidRDefault="00F62189" w:rsidP="00DD2F9B">
            <w:pPr>
              <w:pStyle w:val="Tablefont"/>
            </w:pPr>
            <w:r w:rsidRPr="00F62189">
              <w:t>Carc. Cat</w:t>
            </w:r>
            <w:r>
              <w:t>.</w:t>
            </w:r>
            <w:r w:rsidRPr="00F62189">
              <w:t xml:space="preserve"> 1</w:t>
            </w:r>
          </w:p>
        </w:tc>
      </w:tr>
      <w:tr w:rsidR="00687890" w:rsidRPr="004C23F4" w14:paraId="7BD543C1" w14:textId="77777777" w:rsidTr="00CB2A8F">
        <w:trPr>
          <w:cantSplit/>
        </w:trPr>
        <w:tc>
          <w:tcPr>
            <w:tcW w:w="3153" w:type="dxa"/>
          </w:tcPr>
          <w:p w14:paraId="40F12E92" w14:textId="77777777" w:rsidR="004079B4" w:rsidRPr="004C23F4" w:rsidRDefault="00687890" w:rsidP="00F4402E">
            <w:pPr>
              <w:pStyle w:val="Tablefont"/>
            </w:pPr>
            <w:r w:rsidRPr="004C23F4">
              <w:t>EU Annex</w:t>
            </w:r>
          </w:p>
        </w:tc>
        <w:tc>
          <w:tcPr>
            <w:tcW w:w="5873" w:type="dxa"/>
          </w:tcPr>
          <w:p w14:paraId="7F946AE1" w14:textId="77777777" w:rsidR="00687890" w:rsidRPr="00DD2F9B" w:rsidRDefault="00F62189" w:rsidP="00DD2F9B">
            <w:pPr>
              <w:pStyle w:val="Tablefont"/>
            </w:pPr>
            <w:r w:rsidRPr="00F62189">
              <w:t>Carcinogenicity – category 1B</w:t>
            </w:r>
          </w:p>
        </w:tc>
      </w:tr>
      <w:tr w:rsidR="00B214ED" w:rsidRPr="004C23F4" w14:paraId="70DB6385" w14:textId="77777777" w:rsidTr="00CB2A8F">
        <w:trPr>
          <w:cantSplit/>
        </w:trPr>
        <w:tc>
          <w:tcPr>
            <w:tcW w:w="3153" w:type="dxa"/>
          </w:tcPr>
          <w:p w14:paraId="3F95336E" w14:textId="77777777" w:rsidR="00B214ED" w:rsidRDefault="00B214ED" w:rsidP="00B214ED">
            <w:pPr>
              <w:pStyle w:val="Tablefont"/>
            </w:pPr>
            <w:r>
              <w:t>ECHA</w:t>
            </w:r>
          </w:p>
        </w:tc>
        <w:tc>
          <w:tcPr>
            <w:tcW w:w="5873" w:type="dxa"/>
          </w:tcPr>
          <w:p w14:paraId="59E2E797" w14:textId="77777777" w:rsidR="00B214ED" w:rsidRPr="00DD2F9B" w:rsidRDefault="00B214ED" w:rsidP="00B214ED">
            <w:pPr>
              <w:pStyle w:val="Tablefont"/>
            </w:pPr>
            <w:r w:rsidRPr="00F62189">
              <w:t>Carcinogenicity – category 1B</w:t>
            </w:r>
          </w:p>
        </w:tc>
      </w:tr>
      <w:tr w:rsidR="00B214ED" w:rsidRPr="004C23F4" w14:paraId="3BFD1211" w14:textId="77777777" w:rsidTr="00CB2A8F">
        <w:trPr>
          <w:cantSplit/>
        </w:trPr>
        <w:tc>
          <w:tcPr>
            <w:tcW w:w="3153" w:type="dxa"/>
          </w:tcPr>
          <w:p w14:paraId="2B85D317" w14:textId="77777777" w:rsidR="00B214ED" w:rsidRPr="004C23F4" w:rsidRDefault="00B214ED" w:rsidP="00B214ED">
            <w:pPr>
              <w:pStyle w:val="Tablefont"/>
            </w:pPr>
            <w:r>
              <w:t>ACGIH</w:t>
            </w:r>
          </w:p>
        </w:tc>
        <w:tc>
          <w:tcPr>
            <w:tcW w:w="5873" w:type="dxa"/>
          </w:tcPr>
          <w:p w14:paraId="47FFD0E1" w14:textId="77777777" w:rsidR="00B214ED" w:rsidRPr="00DD2F9B" w:rsidRDefault="00B214ED" w:rsidP="00B214ED">
            <w:r>
              <w:t>Carcinogenicity – A3</w:t>
            </w:r>
          </w:p>
        </w:tc>
      </w:tr>
      <w:tr w:rsidR="00B214ED" w:rsidRPr="004C23F4" w14:paraId="36A1A9AB" w14:textId="77777777" w:rsidTr="00CB2A8F">
        <w:trPr>
          <w:cantSplit/>
        </w:trPr>
        <w:tc>
          <w:tcPr>
            <w:tcW w:w="3153" w:type="dxa"/>
          </w:tcPr>
          <w:p w14:paraId="76AAF734" w14:textId="77777777" w:rsidR="00B214ED" w:rsidRPr="004C23F4" w:rsidRDefault="00B214ED" w:rsidP="00B214ED">
            <w:pPr>
              <w:pStyle w:val="Tablefont"/>
            </w:pPr>
            <w:r>
              <w:t>DFG</w:t>
            </w:r>
          </w:p>
        </w:tc>
        <w:tc>
          <w:tcPr>
            <w:tcW w:w="5873" w:type="dxa"/>
          </w:tcPr>
          <w:p w14:paraId="17DA8EB6" w14:textId="77777777" w:rsidR="00B214ED" w:rsidRPr="00DD2F9B" w:rsidRDefault="00B214ED" w:rsidP="00B214ED">
            <w:pPr>
              <w:pStyle w:val="Tablefont"/>
            </w:pPr>
            <w:r w:rsidRPr="00CF26BE">
              <w:t>Carcinogenicity – 1</w:t>
            </w:r>
            <w:r>
              <w:t>, H (skin)</w:t>
            </w:r>
          </w:p>
        </w:tc>
      </w:tr>
      <w:tr w:rsidR="00B214ED" w:rsidRPr="004C23F4" w14:paraId="1588D036" w14:textId="77777777" w:rsidTr="00CB2A8F">
        <w:trPr>
          <w:cantSplit/>
        </w:trPr>
        <w:tc>
          <w:tcPr>
            <w:tcW w:w="3153" w:type="dxa"/>
          </w:tcPr>
          <w:p w14:paraId="72F6DEE2" w14:textId="77777777" w:rsidR="00B214ED" w:rsidRPr="004C23F4" w:rsidRDefault="00B214ED" w:rsidP="00B214ED">
            <w:pPr>
              <w:pStyle w:val="Tablefont"/>
            </w:pPr>
            <w:r>
              <w:t>SCOEL</w:t>
            </w:r>
          </w:p>
        </w:tc>
        <w:tc>
          <w:tcPr>
            <w:tcW w:w="5873" w:type="dxa"/>
          </w:tcPr>
          <w:p w14:paraId="03D1752C" w14:textId="77777777" w:rsidR="00B214ED" w:rsidRPr="00DD2F9B" w:rsidRDefault="00B214ED" w:rsidP="00B214ED">
            <w:pPr>
              <w:pStyle w:val="Tablefont"/>
            </w:pPr>
            <w:r w:rsidRPr="00F66D24">
              <w:t>Carcinogenicity – A</w:t>
            </w:r>
            <w:r>
              <w:t>, Skin</w:t>
            </w:r>
          </w:p>
        </w:tc>
      </w:tr>
      <w:tr w:rsidR="00B214ED" w:rsidRPr="004C23F4" w14:paraId="53BF140B" w14:textId="77777777" w:rsidTr="00CB2A8F">
        <w:trPr>
          <w:cantSplit/>
        </w:trPr>
        <w:tc>
          <w:tcPr>
            <w:tcW w:w="3153" w:type="dxa"/>
          </w:tcPr>
          <w:p w14:paraId="3CA85613" w14:textId="77777777" w:rsidR="00B214ED" w:rsidRDefault="00B214ED" w:rsidP="00B214ED">
            <w:pPr>
              <w:pStyle w:val="Tablefont"/>
            </w:pPr>
            <w:r>
              <w:t>HCOTN</w:t>
            </w:r>
          </w:p>
        </w:tc>
        <w:tc>
          <w:tcPr>
            <w:tcW w:w="5873" w:type="dxa"/>
          </w:tcPr>
          <w:p w14:paraId="20FAE20F" w14:textId="77777777" w:rsidR="00B214ED" w:rsidRPr="00DD2F9B" w:rsidRDefault="00B214ED" w:rsidP="00B214ED">
            <w:pPr>
              <w:pStyle w:val="Tablefont"/>
            </w:pPr>
            <w:r>
              <w:t>NA</w:t>
            </w:r>
          </w:p>
        </w:tc>
      </w:tr>
      <w:tr w:rsidR="00B214ED" w:rsidRPr="004C23F4" w14:paraId="37AA677E" w14:textId="77777777" w:rsidTr="00CB2A8F">
        <w:trPr>
          <w:cantSplit/>
        </w:trPr>
        <w:tc>
          <w:tcPr>
            <w:tcW w:w="3153" w:type="dxa"/>
          </w:tcPr>
          <w:p w14:paraId="6470C57B" w14:textId="77777777" w:rsidR="00B214ED" w:rsidRDefault="00B214ED" w:rsidP="00B214ED">
            <w:pPr>
              <w:pStyle w:val="Tablefont"/>
            </w:pPr>
            <w:r>
              <w:t>IARC</w:t>
            </w:r>
          </w:p>
        </w:tc>
        <w:tc>
          <w:tcPr>
            <w:tcW w:w="5873" w:type="dxa"/>
          </w:tcPr>
          <w:p w14:paraId="5554F791" w14:textId="77777777" w:rsidR="00B214ED" w:rsidRPr="00DD2F9B" w:rsidRDefault="00B214ED" w:rsidP="00B214ED">
            <w:pPr>
              <w:pStyle w:val="Tablefont"/>
            </w:pPr>
            <w:r w:rsidRPr="00B214ED">
              <w:t>Carcinogenicity – Group 1</w:t>
            </w:r>
          </w:p>
        </w:tc>
      </w:tr>
      <w:tr w:rsidR="00B214ED" w:rsidRPr="004C23F4" w14:paraId="53D02A10" w14:textId="77777777" w:rsidTr="00CB2A8F">
        <w:trPr>
          <w:cantSplit/>
        </w:trPr>
        <w:tc>
          <w:tcPr>
            <w:tcW w:w="3153" w:type="dxa"/>
          </w:tcPr>
          <w:p w14:paraId="1F51233E" w14:textId="77777777" w:rsidR="00B214ED" w:rsidRDefault="00B214ED" w:rsidP="00B214ED">
            <w:pPr>
              <w:pStyle w:val="Tablefont"/>
              <w:keepNext/>
            </w:pPr>
            <w:r>
              <w:t>US NIOSH</w:t>
            </w:r>
          </w:p>
        </w:tc>
        <w:tc>
          <w:tcPr>
            <w:tcW w:w="5873" w:type="dxa"/>
          </w:tcPr>
          <w:p w14:paraId="06C1CC88" w14:textId="77777777" w:rsidR="00B214ED" w:rsidRPr="00DD2F9B" w:rsidRDefault="00341DC4" w:rsidP="00B214ED">
            <w:pPr>
              <w:pStyle w:val="Tablefont"/>
              <w:keepNext/>
            </w:pPr>
            <w:r>
              <w:t>NA</w:t>
            </w:r>
          </w:p>
        </w:tc>
      </w:tr>
    </w:tbl>
    <w:bookmarkEnd w:id="2"/>
    <w:p w14:paraId="73EA8B8A"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07F82446"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3310565F" w14:textId="77777777" w:rsidTr="00EA6243">
        <w:trPr>
          <w:cantSplit/>
          <w:tblHeader/>
        </w:trPr>
        <w:tc>
          <w:tcPr>
            <w:tcW w:w="5000" w:type="pct"/>
            <w:shd w:val="clear" w:color="auto" w:fill="BFBFBF" w:themeFill="background1" w:themeFillShade="BF"/>
            <w:vAlign w:val="center"/>
          </w:tcPr>
          <w:p w14:paraId="55943DB6"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2BBF15AF" w14:textId="77777777" w:rsidTr="00EA6243">
        <w:trPr>
          <w:cantSplit/>
          <w:tblHeader/>
        </w:trPr>
        <w:tc>
          <w:tcPr>
            <w:tcW w:w="5000" w:type="pct"/>
            <w:vAlign w:val="center"/>
          </w:tcPr>
          <w:tbl>
            <w:tblPr>
              <w:tblW w:w="9023" w:type="dxa"/>
              <w:tblLook w:val="04A0" w:firstRow="1" w:lastRow="0" w:firstColumn="1" w:lastColumn="0" w:noHBand="0" w:noVBand="1"/>
            </w:tblPr>
            <w:tblGrid>
              <w:gridCol w:w="3825"/>
              <w:gridCol w:w="1130"/>
              <w:gridCol w:w="1130"/>
              <w:gridCol w:w="2725"/>
            </w:tblGrid>
            <w:tr w:rsidR="00A8056A" w:rsidRPr="00A8056A" w14:paraId="040A343A" w14:textId="77777777" w:rsidTr="00A8056A">
              <w:trPr>
                <w:trHeight w:val="231"/>
              </w:trPr>
              <w:tc>
                <w:tcPr>
                  <w:tcW w:w="3921" w:type="dxa"/>
                  <w:tcBorders>
                    <w:top w:val="nil"/>
                    <w:left w:val="nil"/>
                    <w:bottom w:val="nil"/>
                    <w:right w:val="nil"/>
                  </w:tcBorders>
                  <w:shd w:val="clear" w:color="000000" w:fill="C5D9F1"/>
                  <w:noWrap/>
                  <w:vAlign w:val="center"/>
                  <w:hideMark/>
                </w:tcPr>
                <w:p w14:paraId="14CE3988" w14:textId="77777777" w:rsidR="00A8056A" w:rsidRPr="00A8056A" w:rsidRDefault="00A8056A" w:rsidP="00A8056A">
                  <w:pPr>
                    <w:spacing w:after="0" w:line="240" w:lineRule="auto"/>
                    <w:jc w:val="right"/>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Adverse effects in human case study:</w:t>
                  </w:r>
                </w:p>
              </w:tc>
              <w:tc>
                <w:tcPr>
                  <w:tcW w:w="1155" w:type="dxa"/>
                  <w:tcBorders>
                    <w:top w:val="nil"/>
                    <w:left w:val="nil"/>
                    <w:bottom w:val="nil"/>
                    <w:right w:val="nil"/>
                  </w:tcBorders>
                  <w:shd w:val="clear" w:color="000000" w:fill="FFEB9C"/>
                  <w:noWrap/>
                  <w:vAlign w:val="center"/>
                  <w:hideMark/>
                </w:tcPr>
                <w:p w14:paraId="4681C0AA" w14:textId="77777777" w:rsidR="00A8056A" w:rsidRPr="00A8056A" w:rsidRDefault="00A8056A" w:rsidP="00A8056A">
                  <w:pPr>
                    <w:spacing w:after="0" w:line="240" w:lineRule="auto"/>
                    <w:jc w:val="center"/>
                    <w:rPr>
                      <w:rFonts w:ascii="Segoe UI" w:eastAsia="Times New Roman" w:hAnsi="Segoe UI" w:cs="Segoe UI"/>
                      <w:color w:val="9C6500"/>
                      <w:sz w:val="18"/>
                      <w:szCs w:val="18"/>
                      <w:lang w:eastAsia="en-AU"/>
                    </w:rPr>
                  </w:pPr>
                  <w:r w:rsidRPr="00A8056A">
                    <w:rPr>
                      <w:rFonts w:ascii="Segoe UI" w:eastAsia="Times New Roman" w:hAnsi="Segoe UI" w:cs="Segoe UI"/>
                      <w:color w:val="9C6500"/>
                      <w:sz w:val="18"/>
                      <w:szCs w:val="18"/>
                      <w:lang w:eastAsia="en-AU"/>
                    </w:rPr>
                    <w:t>yes</w:t>
                  </w:r>
                </w:p>
              </w:tc>
              <w:tc>
                <w:tcPr>
                  <w:tcW w:w="1155" w:type="dxa"/>
                  <w:tcBorders>
                    <w:top w:val="nil"/>
                    <w:left w:val="nil"/>
                    <w:bottom w:val="nil"/>
                    <w:right w:val="nil"/>
                  </w:tcBorders>
                  <w:shd w:val="clear" w:color="000000" w:fill="C5D9F1"/>
                  <w:noWrap/>
                  <w:vAlign w:val="center"/>
                  <w:hideMark/>
                </w:tcPr>
                <w:p w14:paraId="7AC924AD" w14:textId="77777777" w:rsidR="00A8056A" w:rsidRPr="00A8056A" w:rsidRDefault="00A8056A" w:rsidP="00A8056A">
                  <w:pPr>
                    <w:spacing w:after="0" w:line="240" w:lineRule="auto"/>
                    <w:jc w:val="right"/>
                    <w:rPr>
                      <w:rFonts w:ascii="Segoe UI" w:eastAsia="Times New Roman" w:hAnsi="Segoe UI" w:cs="Segoe UI"/>
                      <w:color w:val="C5D9F1"/>
                      <w:sz w:val="18"/>
                      <w:szCs w:val="18"/>
                      <w:lang w:eastAsia="en-AU"/>
                    </w:rPr>
                  </w:pPr>
                  <w:r w:rsidRPr="00A8056A">
                    <w:rPr>
                      <w:rFonts w:ascii="Segoe UI" w:eastAsia="Times New Roman" w:hAnsi="Segoe UI" w:cs="Segoe UI"/>
                      <w:color w:val="C5D9F1"/>
                      <w:sz w:val="18"/>
                      <w:szCs w:val="18"/>
                      <w:lang w:eastAsia="en-AU"/>
                    </w:rPr>
                    <w:t>4.00</w:t>
                  </w:r>
                </w:p>
              </w:tc>
              <w:tc>
                <w:tcPr>
                  <w:tcW w:w="2792" w:type="dxa"/>
                  <w:tcBorders>
                    <w:top w:val="nil"/>
                    <w:left w:val="nil"/>
                    <w:bottom w:val="nil"/>
                    <w:right w:val="nil"/>
                  </w:tcBorders>
                  <w:shd w:val="clear" w:color="000000" w:fill="C5D9F1"/>
                  <w:noWrap/>
                  <w:vAlign w:val="center"/>
                  <w:hideMark/>
                </w:tcPr>
                <w:p w14:paraId="119108C5" w14:textId="77777777" w:rsidR="00A8056A" w:rsidRPr="00A8056A" w:rsidRDefault="00A8056A" w:rsidP="00A8056A">
                  <w:pPr>
                    <w:spacing w:after="0" w:line="240" w:lineRule="auto"/>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r>
            <w:tr w:rsidR="00A8056A" w:rsidRPr="00A8056A" w14:paraId="31BD883D" w14:textId="77777777" w:rsidTr="00A8056A">
              <w:trPr>
                <w:trHeight w:val="231"/>
              </w:trPr>
              <w:tc>
                <w:tcPr>
                  <w:tcW w:w="3921" w:type="dxa"/>
                  <w:tcBorders>
                    <w:top w:val="nil"/>
                    <w:left w:val="nil"/>
                    <w:bottom w:val="nil"/>
                    <w:right w:val="nil"/>
                  </w:tcBorders>
                  <w:shd w:val="clear" w:color="000000" w:fill="C5D9F1"/>
                  <w:noWrap/>
                  <w:vAlign w:val="center"/>
                  <w:hideMark/>
                </w:tcPr>
                <w:p w14:paraId="16825390" w14:textId="77777777" w:rsidR="00A8056A" w:rsidRPr="00A8056A" w:rsidRDefault="00A8056A" w:rsidP="00A8056A">
                  <w:pPr>
                    <w:spacing w:after="0" w:line="240" w:lineRule="auto"/>
                    <w:jc w:val="right"/>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Dermal LD</w:t>
                  </w:r>
                  <w:r w:rsidRPr="00A8056A">
                    <w:rPr>
                      <w:rFonts w:ascii="Segoe UI" w:eastAsia="Times New Roman" w:hAnsi="Segoe UI" w:cs="Segoe UI"/>
                      <w:color w:val="000000"/>
                      <w:sz w:val="18"/>
                      <w:szCs w:val="18"/>
                      <w:vertAlign w:val="subscript"/>
                      <w:lang w:eastAsia="en-AU"/>
                    </w:rPr>
                    <w:t>50</w:t>
                  </w:r>
                  <w:r w:rsidRPr="00A8056A">
                    <w:rPr>
                      <w:rFonts w:ascii="Segoe UI" w:eastAsia="Times New Roman" w:hAnsi="Segoe UI" w:cs="Segoe UI"/>
                      <w:color w:val="000000"/>
                      <w:sz w:val="18"/>
                      <w:szCs w:val="18"/>
                      <w:lang w:eastAsia="en-AU"/>
                    </w:rPr>
                    <w:t xml:space="preserve"> ≤1000 mg/kg:</w:t>
                  </w:r>
                </w:p>
              </w:tc>
              <w:tc>
                <w:tcPr>
                  <w:tcW w:w="1155" w:type="dxa"/>
                  <w:tcBorders>
                    <w:top w:val="nil"/>
                    <w:left w:val="nil"/>
                    <w:bottom w:val="nil"/>
                    <w:right w:val="nil"/>
                  </w:tcBorders>
                  <w:shd w:val="clear" w:color="000000" w:fill="C5D9F1"/>
                  <w:noWrap/>
                  <w:vAlign w:val="center"/>
                  <w:hideMark/>
                </w:tcPr>
                <w:p w14:paraId="20CC8186" w14:textId="77777777" w:rsidR="00A8056A" w:rsidRPr="00A8056A" w:rsidRDefault="00A8056A" w:rsidP="00A8056A">
                  <w:pPr>
                    <w:spacing w:after="0" w:line="240" w:lineRule="auto"/>
                    <w:jc w:val="center"/>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no</w:t>
                  </w:r>
                </w:p>
              </w:tc>
              <w:tc>
                <w:tcPr>
                  <w:tcW w:w="1155" w:type="dxa"/>
                  <w:tcBorders>
                    <w:top w:val="nil"/>
                    <w:left w:val="nil"/>
                    <w:bottom w:val="nil"/>
                    <w:right w:val="nil"/>
                  </w:tcBorders>
                  <w:shd w:val="clear" w:color="000000" w:fill="C5D9F1"/>
                  <w:noWrap/>
                  <w:vAlign w:val="center"/>
                  <w:hideMark/>
                </w:tcPr>
                <w:p w14:paraId="6091ACB9" w14:textId="77777777" w:rsidR="00A8056A" w:rsidRPr="00A8056A" w:rsidRDefault="00A8056A" w:rsidP="00A8056A">
                  <w:pPr>
                    <w:spacing w:after="0" w:line="240" w:lineRule="auto"/>
                    <w:rPr>
                      <w:rFonts w:ascii="Segoe UI" w:eastAsia="Times New Roman" w:hAnsi="Segoe UI" w:cs="Segoe UI"/>
                      <w:color w:val="C5D9F1"/>
                      <w:sz w:val="18"/>
                      <w:szCs w:val="18"/>
                      <w:lang w:eastAsia="en-AU"/>
                    </w:rPr>
                  </w:pPr>
                  <w:r w:rsidRPr="00A8056A">
                    <w:rPr>
                      <w:rFonts w:ascii="Segoe UI" w:eastAsia="Times New Roman" w:hAnsi="Segoe UI" w:cs="Segoe UI"/>
                      <w:color w:val="C5D9F1"/>
                      <w:sz w:val="18"/>
                      <w:szCs w:val="18"/>
                      <w:lang w:eastAsia="en-AU"/>
                    </w:rPr>
                    <w:t> </w:t>
                  </w:r>
                </w:p>
              </w:tc>
              <w:tc>
                <w:tcPr>
                  <w:tcW w:w="2792" w:type="dxa"/>
                  <w:tcBorders>
                    <w:top w:val="nil"/>
                    <w:left w:val="nil"/>
                    <w:bottom w:val="nil"/>
                    <w:right w:val="nil"/>
                  </w:tcBorders>
                  <w:shd w:val="clear" w:color="000000" w:fill="C5D9F1"/>
                  <w:noWrap/>
                  <w:vAlign w:val="center"/>
                  <w:hideMark/>
                </w:tcPr>
                <w:p w14:paraId="4F9C1424" w14:textId="77777777" w:rsidR="00A8056A" w:rsidRPr="00A8056A" w:rsidRDefault="00A8056A" w:rsidP="00A8056A">
                  <w:pPr>
                    <w:spacing w:after="0" w:line="240" w:lineRule="auto"/>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r>
            <w:tr w:rsidR="00A8056A" w:rsidRPr="00A8056A" w14:paraId="51094AEB" w14:textId="77777777" w:rsidTr="00A8056A">
              <w:trPr>
                <w:trHeight w:val="231"/>
              </w:trPr>
              <w:tc>
                <w:tcPr>
                  <w:tcW w:w="3921" w:type="dxa"/>
                  <w:tcBorders>
                    <w:top w:val="nil"/>
                    <w:left w:val="nil"/>
                    <w:bottom w:val="nil"/>
                    <w:right w:val="nil"/>
                  </w:tcBorders>
                  <w:shd w:val="clear" w:color="000000" w:fill="C5D9F1"/>
                  <w:noWrap/>
                  <w:vAlign w:val="center"/>
                  <w:hideMark/>
                </w:tcPr>
                <w:p w14:paraId="4F2059DC" w14:textId="77777777" w:rsidR="00A8056A" w:rsidRPr="00A8056A" w:rsidRDefault="00A8056A" w:rsidP="00A8056A">
                  <w:pPr>
                    <w:spacing w:after="0" w:line="240" w:lineRule="auto"/>
                    <w:jc w:val="right"/>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Dermal repeat-dose NOAEL ≤200 mg/kg:</w:t>
                  </w:r>
                </w:p>
              </w:tc>
              <w:tc>
                <w:tcPr>
                  <w:tcW w:w="1155" w:type="dxa"/>
                  <w:tcBorders>
                    <w:top w:val="nil"/>
                    <w:left w:val="nil"/>
                    <w:bottom w:val="nil"/>
                    <w:right w:val="nil"/>
                  </w:tcBorders>
                  <w:shd w:val="clear" w:color="000000" w:fill="C5D9F1"/>
                  <w:noWrap/>
                  <w:vAlign w:val="center"/>
                  <w:hideMark/>
                </w:tcPr>
                <w:p w14:paraId="272434A0" w14:textId="77777777" w:rsidR="00A8056A" w:rsidRPr="00A8056A" w:rsidRDefault="00A8056A" w:rsidP="00A8056A">
                  <w:pPr>
                    <w:spacing w:after="0" w:line="240" w:lineRule="auto"/>
                    <w:jc w:val="center"/>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c>
                <w:tcPr>
                  <w:tcW w:w="1155" w:type="dxa"/>
                  <w:tcBorders>
                    <w:top w:val="nil"/>
                    <w:left w:val="nil"/>
                    <w:bottom w:val="nil"/>
                    <w:right w:val="nil"/>
                  </w:tcBorders>
                  <w:shd w:val="clear" w:color="000000" w:fill="C5D9F1"/>
                  <w:noWrap/>
                  <w:vAlign w:val="center"/>
                  <w:hideMark/>
                </w:tcPr>
                <w:p w14:paraId="3303A096" w14:textId="77777777" w:rsidR="00A8056A" w:rsidRPr="00A8056A" w:rsidRDefault="00A8056A" w:rsidP="00A8056A">
                  <w:pPr>
                    <w:spacing w:after="0" w:line="240" w:lineRule="auto"/>
                    <w:rPr>
                      <w:rFonts w:ascii="Segoe UI" w:eastAsia="Times New Roman" w:hAnsi="Segoe UI" w:cs="Segoe UI"/>
                      <w:color w:val="C5D9F1"/>
                      <w:sz w:val="18"/>
                      <w:szCs w:val="18"/>
                      <w:lang w:eastAsia="en-AU"/>
                    </w:rPr>
                  </w:pPr>
                  <w:r w:rsidRPr="00A8056A">
                    <w:rPr>
                      <w:rFonts w:ascii="Segoe UI" w:eastAsia="Times New Roman" w:hAnsi="Segoe UI" w:cs="Segoe UI"/>
                      <w:color w:val="C5D9F1"/>
                      <w:sz w:val="18"/>
                      <w:szCs w:val="18"/>
                      <w:lang w:eastAsia="en-AU"/>
                    </w:rPr>
                    <w:t> </w:t>
                  </w:r>
                </w:p>
              </w:tc>
              <w:tc>
                <w:tcPr>
                  <w:tcW w:w="2792" w:type="dxa"/>
                  <w:tcBorders>
                    <w:top w:val="nil"/>
                    <w:left w:val="nil"/>
                    <w:bottom w:val="nil"/>
                    <w:right w:val="nil"/>
                  </w:tcBorders>
                  <w:shd w:val="clear" w:color="000000" w:fill="C5D9F1"/>
                  <w:noWrap/>
                  <w:vAlign w:val="center"/>
                  <w:hideMark/>
                </w:tcPr>
                <w:p w14:paraId="2D3478C1" w14:textId="77777777" w:rsidR="00A8056A" w:rsidRPr="00A8056A" w:rsidRDefault="00A8056A" w:rsidP="00A8056A">
                  <w:pPr>
                    <w:spacing w:after="0" w:line="240" w:lineRule="auto"/>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r>
            <w:tr w:rsidR="00A8056A" w:rsidRPr="00A8056A" w14:paraId="2CAF278D" w14:textId="77777777" w:rsidTr="00A8056A">
              <w:trPr>
                <w:trHeight w:val="231"/>
              </w:trPr>
              <w:tc>
                <w:tcPr>
                  <w:tcW w:w="3921" w:type="dxa"/>
                  <w:tcBorders>
                    <w:top w:val="nil"/>
                    <w:left w:val="nil"/>
                    <w:bottom w:val="nil"/>
                    <w:right w:val="nil"/>
                  </w:tcBorders>
                  <w:shd w:val="clear" w:color="000000" w:fill="C5D9F1"/>
                  <w:noWrap/>
                  <w:vAlign w:val="center"/>
                  <w:hideMark/>
                </w:tcPr>
                <w:p w14:paraId="6C8C0C29" w14:textId="77777777" w:rsidR="00A8056A" w:rsidRPr="00A8056A" w:rsidRDefault="00A8056A" w:rsidP="00A8056A">
                  <w:pPr>
                    <w:spacing w:after="0" w:line="240" w:lineRule="auto"/>
                    <w:jc w:val="right"/>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Dermal LD</w:t>
                  </w:r>
                  <w:r w:rsidRPr="00A8056A">
                    <w:rPr>
                      <w:rFonts w:ascii="Segoe UI" w:eastAsia="Times New Roman" w:hAnsi="Segoe UI" w:cs="Segoe UI"/>
                      <w:color w:val="000000"/>
                      <w:sz w:val="18"/>
                      <w:szCs w:val="18"/>
                      <w:vertAlign w:val="subscript"/>
                      <w:lang w:eastAsia="en-AU"/>
                    </w:rPr>
                    <w:t>50</w:t>
                  </w:r>
                  <w:r w:rsidRPr="00A8056A">
                    <w:rPr>
                      <w:rFonts w:ascii="Segoe UI" w:eastAsia="Times New Roman" w:hAnsi="Segoe UI" w:cs="Segoe UI"/>
                      <w:color w:val="000000"/>
                      <w:sz w:val="18"/>
                      <w:szCs w:val="18"/>
                      <w:lang w:eastAsia="en-AU"/>
                    </w:rPr>
                    <w:t>/Inhalation LD</w:t>
                  </w:r>
                  <w:r w:rsidRPr="00A8056A">
                    <w:rPr>
                      <w:rFonts w:ascii="Segoe UI" w:eastAsia="Times New Roman" w:hAnsi="Segoe UI" w:cs="Segoe UI"/>
                      <w:color w:val="000000"/>
                      <w:sz w:val="18"/>
                      <w:szCs w:val="18"/>
                      <w:vertAlign w:val="subscript"/>
                      <w:lang w:eastAsia="en-AU"/>
                    </w:rPr>
                    <w:t>50</w:t>
                  </w:r>
                  <w:r w:rsidRPr="00A8056A">
                    <w:rPr>
                      <w:rFonts w:ascii="Segoe UI" w:eastAsia="Times New Roman" w:hAnsi="Segoe UI" w:cs="Segoe UI"/>
                      <w:color w:val="000000"/>
                      <w:sz w:val="18"/>
                      <w:szCs w:val="18"/>
                      <w:lang w:eastAsia="en-AU"/>
                    </w:rPr>
                    <w:t xml:space="preserve"> &lt;10:</w:t>
                  </w:r>
                </w:p>
              </w:tc>
              <w:tc>
                <w:tcPr>
                  <w:tcW w:w="1155" w:type="dxa"/>
                  <w:tcBorders>
                    <w:top w:val="nil"/>
                    <w:left w:val="nil"/>
                    <w:bottom w:val="nil"/>
                    <w:right w:val="nil"/>
                  </w:tcBorders>
                  <w:shd w:val="clear" w:color="000000" w:fill="C5D9F1"/>
                  <w:noWrap/>
                  <w:vAlign w:val="center"/>
                  <w:hideMark/>
                </w:tcPr>
                <w:p w14:paraId="53BB6539" w14:textId="77777777" w:rsidR="00A8056A" w:rsidRPr="00A8056A" w:rsidRDefault="00A8056A" w:rsidP="00A8056A">
                  <w:pPr>
                    <w:spacing w:after="0" w:line="240" w:lineRule="auto"/>
                    <w:jc w:val="center"/>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c>
                <w:tcPr>
                  <w:tcW w:w="1155" w:type="dxa"/>
                  <w:tcBorders>
                    <w:top w:val="nil"/>
                    <w:left w:val="nil"/>
                    <w:bottom w:val="nil"/>
                    <w:right w:val="nil"/>
                  </w:tcBorders>
                  <w:shd w:val="clear" w:color="000000" w:fill="C5D9F1"/>
                  <w:noWrap/>
                  <w:vAlign w:val="center"/>
                  <w:hideMark/>
                </w:tcPr>
                <w:p w14:paraId="57271DF0" w14:textId="77777777" w:rsidR="00A8056A" w:rsidRPr="00A8056A" w:rsidRDefault="00A8056A" w:rsidP="00A8056A">
                  <w:pPr>
                    <w:spacing w:after="0" w:line="240" w:lineRule="auto"/>
                    <w:rPr>
                      <w:rFonts w:ascii="Segoe UI" w:eastAsia="Times New Roman" w:hAnsi="Segoe UI" w:cs="Segoe UI"/>
                      <w:color w:val="C5D9F1"/>
                      <w:sz w:val="18"/>
                      <w:szCs w:val="18"/>
                      <w:lang w:eastAsia="en-AU"/>
                    </w:rPr>
                  </w:pPr>
                  <w:r w:rsidRPr="00A8056A">
                    <w:rPr>
                      <w:rFonts w:ascii="Segoe UI" w:eastAsia="Times New Roman" w:hAnsi="Segoe UI" w:cs="Segoe UI"/>
                      <w:color w:val="C5D9F1"/>
                      <w:sz w:val="18"/>
                      <w:szCs w:val="18"/>
                      <w:lang w:eastAsia="en-AU"/>
                    </w:rPr>
                    <w:t> </w:t>
                  </w:r>
                </w:p>
              </w:tc>
              <w:tc>
                <w:tcPr>
                  <w:tcW w:w="2792" w:type="dxa"/>
                  <w:tcBorders>
                    <w:top w:val="nil"/>
                    <w:left w:val="nil"/>
                    <w:bottom w:val="nil"/>
                    <w:right w:val="nil"/>
                  </w:tcBorders>
                  <w:shd w:val="clear" w:color="000000" w:fill="C5D9F1"/>
                  <w:noWrap/>
                  <w:vAlign w:val="center"/>
                  <w:hideMark/>
                </w:tcPr>
                <w:p w14:paraId="12B45F0D" w14:textId="77777777" w:rsidR="00A8056A" w:rsidRPr="00A8056A" w:rsidRDefault="00A8056A" w:rsidP="00A8056A">
                  <w:pPr>
                    <w:spacing w:after="0" w:line="240" w:lineRule="auto"/>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r>
            <w:tr w:rsidR="00A8056A" w:rsidRPr="00A8056A" w14:paraId="18AC8D06" w14:textId="77777777" w:rsidTr="00A8056A">
              <w:trPr>
                <w:trHeight w:val="231"/>
              </w:trPr>
              <w:tc>
                <w:tcPr>
                  <w:tcW w:w="3921" w:type="dxa"/>
                  <w:tcBorders>
                    <w:top w:val="nil"/>
                    <w:left w:val="nil"/>
                    <w:bottom w:val="nil"/>
                    <w:right w:val="nil"/>
                  </w:tcBorders>
                  <w:shd w:val="clear" w:color="000000" w:fill="C5D9F1"/>
                  <w:noWrap/>
                  <w:vAlign w:val="center"/>
                  <w:hideMark/>
                </w:tcPr>
                <w:p w14:paraId="568D1E0B" w14:textId="77777777" w:rsidR="00A8056A" w:rsidRPr="00A8056A" w:rsidRDefault="00A8056A" w:rsidP="00A8056A">
                  <w:pPr>
                    <w:spacing w:after="0" w:line="240" w:lineRule="auto"/>
                    <w:jc w:val="right"/>
                    <w:rPr>
                      <w:rFonts w:ascii="Segoe UI" w:eastAsia="Times New Roman" w:hAnsi="Segoe UI" w:cs="Segoe UI"/>
                      <w:i/>
                      <w:iCs/>
                      <w:color w:val="000000"/>
                      <w:sz w:val="18"/>
                      <w:szCs w:val="18"/>
                      <w:lang w:eastAsia="en-AU"/>
                    </w:rPr>
                  </w:pPr>
                  <w:r w:rsidRPr="00A8056A">
                    <w:rPr>
                      <w:rFonts w:ascii="Segoe UI" w:eastAsia="Times New Roman" w:hAnsi="Segoe UI" w:cs="Segoe UI"/>
                      <w:i/>
                      <w:iCs/>
                      <w:color w:val="000000"/>
                      <w:sz w:val="18"/>
                      <w:szCs w:val="18"/>
                      <w:lang w:eastAsia="en-AU"/>
                    </w:rPr>
                    <w:t>In vivo</w:t>
                  </w:r>
                  <w:r w:rsidRPr="00A8056A">
                    <w:rPr>
                      <w:rFonts w:ascii="Segoe UI" w:eastAsia="Times New Roman" w:hAnsi="Segoe UI" w:cs="Segoe UI"/>
                      <w:color w:val="000000"/>
                      <w:sz w:val="18"/>
                      <w:szCs w:val="18"/>
                      <w:lang w:eastAsia="en-AU"/>
                    </w:rPr>
                    <w:t xml:space="preserve"> dermal absorption rate &gt;10%:</w:t>
                  </w:r>
                </w:p>
              </w:tc>
              <w:tc>
                <w:tcPr>
                  <w:tcW w:w="1155" w:type="dxa"/>
                  <w:tcBorders>
                    <w:top w:val="nil"/>
                    <w:left w:val="nil"/>
                    <w:bottom w:val="nil"/>
                    <w:right w:val="nil"/>
                  </w:tcBorders>
                  <w:shd w:val="clear" w:color="000000" w:fill="FFEB9C"/>
                  <w:noWrap/>
                  <w:vAlign w:val="center"/>
                  <w:hideMark/>
                </w:tcPr>
                <w:p w14:paraId="7EC67352" w14:textId="77777777" w:rsidR="00A8056A" w:rsidRPr="00A8056A" w:rsidRDefault="00A8056A" w:rsidP="00A8056A">
                  <w:pPr>
                    <w:spacing w:after="0" w:line="240" w:lineRule="auto"/>
                    <w:jc w:val="center"/>
                    <w:rPr>
                      <w:rFonts w:ascii="Segoe UI" w:eastAsia="Times New Roman" w:hAnsi="Segoe UI" w:cs="Segoe UI"/>
                      <w:color w:val="9C6500"/>
                      <w:sz w:val="18"/>
                      <w:szCs w:val="18"/>
                      <w:lang w:eastAsia="en-AU"/>
                    </w:rPr>
                  </w:pPr>
                  <w:r w:rsidRPr="00A8056A">
                    <w:rPr>
                      <w:rFonts w:ascii="Segoe UI" w:eastAsia="Times New Roman" w:hAnsi="Segoe UI" w:cs="Segoe UI"/>
                      <w:color w:val="9C6500"/>
                      <w:sz w:val="18"/>
                      <w:szCs w:val="18"/>
                      <w:lang w:eastAsia="en-AU"/>
                    </w:rPr>
                    <w:t>yes</w:t>
                  </w:r>
                </w:p>
              </w:tc>
              <w:tc>
                <w:tcPr>
                  <w:tcW w:w="1155" w:type="dxa"/>
                  <w:tcBorders>
                    <w:top w:val="nil"/>
                    <w:left w:val="nil"/>
                    <w:bottom w:val="nil"/>
                    <w:right w:val="nil"/>
                  </w:tcBorders>
                  <w:shd w:val="clear" w:color="000000" w:fill="C5D9F1"/>
                  <w:noWrap/>
                  <w:vAlign w:val="center"/>
                  <w:hideMark/>
                </w:tcPr>
                <w:p w14:paraId="1E42FD23" w14:textId="77777777" w:rsidR="00A8056A" w:rsidRPr="00A8056A" w:rsidRDefault="00A8056A" w:rsidP="00A8056A">
                  <w:pPr>
                    <w:spacing w:after="0" w:line="240" w:lineRule="auto"/>
                    <w:jc w:val="right"/>
                    <w:rPr>
                      <w:rFonts w:ascii="Segoe UI" w:eastAsia="Times New Roman" w:hAnsi="Segoe UI" w:cs="Segoe UI"/>
                      <w:color w:val="C5D9F1"/>
                      <w:sz w:val="18"/>
                      <w:szCs w:val="18"/>
                      <w:lang w:eastAsia="en-AU"/>
                    </w:rPr>
                  </w:pPr>
                  <w:r w:rsidRPr="00A8056A">
                    <w:rPr>
                      <w:rFonts w:ascii="Segoe UI" w:eastAsia="Times New Roman" w:hAnsi="Segoe UI" w:cs="Segoe UI"/>
                      <w:color w:val="C5D9F1"/>
                      <w:sz w:val="18"/>
                      <w:szCs w:val="18"/>
                      <w:lang w:eastAsia="en-AU"/>
                    </w:rPr>
                    <w:t>3.00</w:t>
                  </w:r>
                </w:p>
              </w:tc>
              <w:tc>
                <w:tcPr>
                  <w:tcW w:w="2792" w:type="dxa"/>
                  <w:tcBorders>
                    <w:top w:val="nil"/>
                    <w:left w:val="nil"/>
                    <w:bottom w:val="nil"/>
                    <w:right w:val="nil"/>
                  </w:tcBorders>
                  <w:shd w:val="clear" w:color="000000" w:fill="C5D9F1"/>
                  <w:noWrap/>
                  <w:vAlign w:val="center"/>
                  <w:hideMark/>
                </w:tcPr>
                <w:p w14:paraId="0AF5F45F" w14:textId="77777777" w:rsidR="00A8056A" w:rsidRPr="00A8056A" w:rsidRDefault="00A8056A" w:rsidP="00A8056A">
                  <w:pPr>
                    <w:spacing w:after="0" w:line="240" w:lineRule="auto"/>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r>
            <w:tr w:rsidR="00A8056A" w:rsidRPr="00A8056A" w14:paraId="779E73ED" w14:textId="77777777" w:rsidTr="00A8056A">
              <w:trPr>
                <w:trHeight w:val="231"/>
              </w:trPr>
              <w:tc>
                <w:tcPr>
                  <w:tcW w:w="3921" w:type="dxa"/>
                  <w:tcBorders>
                    <w:top w:val="nil"/>
                    <w:left w:val="nil"/>
                    <w:bottom w:val="nil"/>
                    <w:right w:val="nil"/>
                  </w:tcBorders>
                  <w:shd w:val="clear" w:color="000000" w:fill="C5D9F1"/>
                  <w:noWrap/>
                  <w:vAlign w:val="center"/>
                  <w:hideMark/>
                </w:tcPr>
                <w:p w14:paraId="2EAACE9C" w14:textId="77777777" w:rsidR="00A8056A" w:rsidRPr="00A8056A" w:rsidRDefault="00A8056A" w:rsidP="00A8056A">
                  <w:pPr>
                    <w:spacing w:after="0" w:line="240" w:lineRule="auto"/>
                    <w:jc w:val="right"/>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Estimated dermal exposure at WES &gt;10%:</w:t>
                  </w:r>
                </w:p>
              </w:tc>
              <w:tc>
                <w:tcPr>
                  <w:tcW w:w="1155" w:type="dxa"/>
                  <w:tcBorders>
                    <w:top w:val="nil"/>
                    <w:left w:val="nil"/>
                    <w:bottom w:val="nil"/>
                    <w:right w:val="nil"/>
                  </w:tcBorders>
                  <w:shd w:val="clear" w:color="000000" w:fill="FFEB9C"/>
                  <w:noWrap/>
                  <w:vAlign w:val="center"/>
                  <w:hideMark/>
                </w:tcPr>
                <w:p w14:paraId="69C50FAF" w14:textId="77777777" w:rsidR="00A8056A" w:rsidRPr="00A8056A" w:rsidRDefault="00A8056A" w:rsidP="00A8056A">
                  <w:pPr>
                    <w:spacing w:after="0" w:line="240" w:lineRule="auto"/>
                    <w:jc w:val="center"/>
                    <w:rPr>
                      <w:rFonts w:ascii="Segoe UI" w:eastAsia="Times New Roman" w:hAnsi="Segoe UI" w:cs="Segoe UI"/>
                      <w:color w:val="9C6500"/>
                      <w:sz w:val="18"/>
                      <w:szCs w:val="18"/>
                      <w:lang w:eastAsia="en-AU"/>
                    </w:rPr>
                  </w:pPr>
                  <w:r w:rsidRPr="00A8056A">
                    <w:rPr>
                      <w:rFonts w:ascii="Segoe UI" w:eastAsia="Times New Roman" w:hAnsi="Segoe UI" w:cs="Segoe UI"/>
                      <w:color w:val="9C6500"/>
                      <w:sz w:val="18"/>
                      <w:szCs w:val="18"/>
                      <w:lang w:eastAsia="en-AU"/>
                    </w:rPr>
                    <w:t>yes</w:t>
                  </w:r>
                </w:p>
              </w:tc>
              <w:tc>
                <w:tcPr>
                  <w:tcW w:w="1155" w:type="dxa"/>
                  <w:tcBorders>
                    <w:top w:val="nil"/>
                    <w:left w:val="nil"/>
                    <w:bottom w:val="nil"/>
                    <w:right w:val="nil"/>
                  </w:tcBorders>
                  <w:shd w:val="clear" w:color="000000" w:fill="C5D9F1"/>
                  <w:noWrap/>
                  <w:vAlign w:val="center"/>
                  <w:hideMark/>
                </w:tcPr>
                <w:p w14:paraId="47F7A4AF" w14:textId="77777777" w:rsidR="00A8056A" w:rsidRPr="00A8056A" w:rsidRDefault="00A8056A" w:rsidP="00A8056A">
                  <w:pPr>
                    <w:spacing w:after="0" w:line="240" w:lineRule="auto"/>
                    <w:jc w:val="right"/>
                    <w:rPr>
                      <w:rFonts w:ascii="Segoe UI" w:eastAsia="Times New Roman" w:hAnsi="Segoe UI" w:cs="Segoe UI"/>
                      <w:color w:val="C5D9F1"/>
                      <w:sz w:val="18"/>
                      <w:szCs w:val="18"/>
                      <w:lang w:eastAsia="en-AU"/>
                    </w:rPr>
                  </w:pPr>
                  <w:r w:rsidRPr="00A8056A">
                    <w:rPr>
                      <w:rFonts w:ascii="Segoe UI" w:eastAsia="Times New Roman" w:hAnsi="Segoe UI" w:cs="Segoe UI"/>
                      <w:color w:val="C5D9F1"/>
                      <w:sz w:val="18"/>
                      <w:szCs w:val="18"/>
                      <w:lang w:eastAsia="en-AU"/>
                    </w:rPr>
                    <w:t>2.00</w:t>
                  </w:r>
                </w:p>
              </w:tc>
              <w:tc>
                <w:tcPr>
                  <w:tcW w:w="2792" w:type="dxa"/>
                  <w:tcBorders>
                    <w:top w:val="nil"/>
                    <w:left w:val="nil"/>
                    <w:bottom w:val="nil"/>
                    <w:right w:val="nil"/>
                  </w:tcBorders>
                  <w:shd w:val="clear" w:color="000000" w:fill="C5D9F1"/>
                  <w:noWrap/>
                  <w:vAlign w:val="center"/>
                  <w:hideMark/>
                </w:tcPr>
                <w:p w14:paraId="0275ADF0" w14:textId="77777777" w:rsidR="00A8056A" w:rsidRPr="00A8056A" w:rsidRDefault="00A8056A" w:rsidP="00A8056A">
                  <w:pPr>
                    <w:spacing w:after="0" w:line="240" w:lineRule="auto"/>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r>
            <w:tr w:rsidR="00A8056A" w:rsidRPr="00A8056A" w14:paraId="3F464D7D" w14:textId="77777777" w:rsidTr="00A8056A">
              <w:trPr>
                <w:trHeight w:val="231"/>
              </w:trPr>
              <w:tc>
                <w:tcPr>
                  <w:tcW w:w="3921" w:type="dxa"/>
                  <w:tcBorders>
                    <w:top w:val="nil"/>
                    <w:left w:val="nil"/>
                    <w:bottom w:val="nil"/>
                    <w:right w:val="nil"/>
                  </w:tcBorders>
                  <w:shd w:val="clear" w:color="000000" w:fill="C5D9F1"/>
                  <w:noWrap/>
                  <w:vAlign w:val="center"/>
                  <w:hideMark/>
                </w:tcPr>
                <w:p w14:paraId="14D23D98" w14:textId="77777777" w:rsidR="00A8056A" w:rsidRPr="00A8056A" w:rsidRDefault="00A8056A" w:rsidP="00A8056A">
                  <w:pPr>
                    <w:spacing w:after="0" w:line="240" w:lineRule="auto"/>
                    <w:jc w:val="right"/>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c>
                <w:tcPr>
                  <w:tcW w:w="1155" w:type="dxa"/>
                  <w:tcBorders>
                    <w:top w:val="nil"/>
                    <w:left w:val="nil"/>
                    <w:bottom w:val="nil"/>
                    <w:right w:val="nil"/>
                  </w:tcBorders>
                  <w:shd w:val="clear" w:color="000000" w:fill="C5D9F1"/>
                  <w:noWrap/>
                  <w:vAlign w:val="center"/>
                  <w:hideMark/>
                </w:tcPr>
                <w:p w14:paraId="6091A963" w14:textId="77777777" w:rsidR="00A8056A" w:rsidRPr="00A8056A" w:rsidRDefault="00A8056A" w:rsidP="00A8056A">
                  <w:pPr>
                    <w:spacing w:after="0" w:line="240" w:lineRule="auto"/>
                    <w:jc w:val="center"/>
                    <w:rPr>
                      <w:rFonts w:ascii="Segoe UI" w:eastAsia="Times New Roman" w:hAnsi="Segoe UI" w:cs="Segoe UI"/>
                      <w:color w:val="000000"/>
                      <w:sz w:val="18"/>
                      <w:szCs w:val="18"/>
                      <w:lang w:eastAsia="en-AU"/>
                    </w:rPr>
                  </w:pPr>
                  <w:r w:rsidRPr="00A8056A">
                    <w:rPr>
                      <w:rFonts w:ascii="Segoe UI" w:eastAsia="Times New Roman" w:hAnsi="Segoe UI" w:cs="Segoe UI"/>
                      <w:color w:val="000000"/>
                      <w:sz w:val="18"/>
                      <w:szCs w:val="18"/>
                      <w:lang w:eastAsia="en-AU"/>
                    </w:rPr>
                    <w:t> </w:t>
                  </w:r>
                </w:p>
              </w:tc>
              <w:tc>
                <w:tcPr>
                  <w:tcW w:w="1155" w:type="dxa"/>
                  <w:tcBorders>
                    <w:top w:val="nil"/>
                    <w:left w:val="nil"/>
                    <w:bottom w:val="nil"/>
                    <w:right w:val="nil"/>
                  </w:tcBorders>
                  <w:shd w:val="clear" w:color="000000" w:fill="C5D9F1"/>
                  <w:noWrap/>
                  <w:vAlign w:val="center"/>
                  <w:hideMark/>
                </w:tcPr>
                <w:p w14:paraId="4F1C2B82" w14:textId="77777777" w:rsidR="00A8056A" w:rsidRPr="00A8056A" w:rsidRDefault="00A8056A" w:rsidP="00A8056A">
                  <w:pPr>
                    <w:spacing w:after="0" w:line="240" w:lineRule="auto"/>
                    <w:jc w:val="right"/>
                    <w:rPr>
                      <w:rFonts w:ascii="Segoe UI" w:eastAsia="Times New Roman" w:hAnsi="Segoe UI" w:cs="Segoe UI"/>
                      <w:color w:val="C5D9F1"/>
                      <w:sz w:val="18"/>
                      <w:szCs w:val="18"/>
                      <w:lang w:eastAsia="en-AU"/>
                    </w:rPr>
                  </w:pPr>
                  <w:r w:rsidRPr="00A8056A">
                    <w:rPr>
                      <w:rFonts w:ascii="Segoe UI" w:eastAsia="Times New Roman" w:hAnsi="Segoe UI" w:cs="Segoe UI"/>
                      <w:color w:val="C5D9F1"/>
                      <w:sz w:val="18"/>
                      <w:szCs w:val="18"/>
                      <w:lang w:eastAsia="en-AU"/>
                    </w:rPr>
                    <w:t>2.5</w:t>
                  </w:r>
                </w:p>
              </w:tc>
              <w:tc>
                <w:tcPr>
                  <w:tcW w:w="2792" w:type="dxa"/>
                  <w:tcBorders>
                    <w:top w:val="nil"/>
                    <w:left w:val="nil"/>
                    <w:bottom w:val="nil"/>
                    <w:right w:val="nil"/>
                  </w:tcBorders>
                  <w:shd w:val="clear" w:color="000000" w:fill="C5D9F1"/>
                  <w:noWrap/>
                  <w:vAlign w:val="center"/>
                  <w:hideMark/>
                </w:tcPr>
                <w:p w14:paraId="06BDED53" w14:textId="77777777" w:rsidR="00A8056A" w:rsidRPr="00A8056A" w:rsidRDefault="00A8056A" w:rsidP="00A8056A">
                  <w:pPr>
                    <w:spacing w:after="0" w:line="240" w:lineRule="auto"/>
                    <w:rPr>
                      <w:rFonts w:ascii="Segoe UI" w:eastAsia="Times New Roman" w:hAnsi="Segoe UI" w:cs="Segoe UI"/>
                      <w:b/>
                      <w:bCs/>
                      <w:color w:val="000000"/>
                      <w:sz w:val="18"/>
                      <w:szCs w:val="18"/>
                      <w:lang w:eastAsia="en-AU"/>
                    </w:rPr>
                  </w:pPr>
                  <w:r w:rsidRPr="00A8056A">
                    <w:rPr>
                      <w:rFonts w:ascii="Segoe UI" w:eastAsia="Times New Roman" w:hAnsi="Segoe UI" w:cs="Segoe UI"/>
                      <w:b/>
                      <w:bCs/>
                      <w:color w:val="000000"/>
                      <w:sz w:val="18"/>
                      <w:szCs w:val="18"/>
                      <w:lang w:eastAsia="en-AU"/>
                    </w:rPr>
                    <w:t>a skin notation is warranted</w:t>
                  </w:r>
                </w:p>
              </w:tc>
            </w:tr>
          </w:tbl>
          <w:p w14:paraId="07178111" w14:textId="77777777" w:rsidR="00932DCE" w:rsidRPr="004C23F4" w:rsidRDefault="00932DCE" w:rsidP="00F9496B">
            <w:pPr>
              <w:pStyle w:val="Tablefont"/>
            </w:pPr>
          </w:p>
        </w:tc>
      </w:tr>
    </w:tbl>
    <w:bookmarkEnd w:id="3"/>
    <w:p w14:paraId="5CAFB05E"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63D3A6B8" w14:textId="77777777" w:rsidTr="00610F2E">
        <w:trPr>
          <w:trHeight w:val="454"/>
          <w:tblHeader/>
        </w:trPr>
        <w:tc>
          <w:tcPr>
            <w:tcW w:w="4361" w:type="dxa"/>
            <w:vAlign w:val="center"/>
          </w:tcPr>
          <w:p w14:paraId="5B0DDF29"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E372001" w14:textId="77777777" w:rsidR="00EB3D1B" w:rsidRDefault="00341DC4" w:rsidP="00EB3D1B">
                <w:pPr>
                  <w:pStyle w:val="Tablefont"/>
                </w:pPr>
                <w:r>
                  <w:t>Yes</w:t>
                </w:r>
              </w:p>
            </w:tc>
          </w:sdtContent>
        </w:sdt>
      </w:tr>
    </w:tbl>
    <w:p w14:paraId="49AFD150" w14:textId="77777777" w:rsidR="00687890" w:rsidRPr="004C23F4" w:rsidRDefault="00B479A9" w:rsidP="00474E33">
      <w:pPr>
        <w:pStyle w:val="Heading2"/>
      </w:pPr>
      <w:r w:rsidRPr="004C23F4">
        <w:lastRenderedPageBreak/>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06B83655" w14:textId="77777777" w:rsidTr="00EA6243">
        <w:trPr>
          <w:cantSplit/>
          <w:tblHeader/>
        </w:trPr>
        <w:tc>
          <w:tcPr>
            <w:tcW w:w="4077" w:type="dxa"/>
            <w:vAlign w:val="center"/>
          </w:tcPr>
          <w:p w14:paraId="78FDB63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38433E42" w14:textId="77777777" w:rsidR="001B79E5" w:rsidRDefault="00421F28" w:rsidP="001B79E5">
                <w:pPr>
                  <w:pStyle w:val="Tablefont"/>
                </w:pPr>
                <w:r>
                  <w:t>107.15</w:t>
                </w:r>
              </w:p>
            </w:tc>
          </w:sdtContent>
        </w:sdt>
      </w:tr>
      <w:tr w:rsidR="00A31D99" w:rsidRPr="004C23F4" w14:paraId="4C5C722F" w14:textId="77777777" w:rsidTr="00EA6243">
        <w:trPr>
          <w:cantSplit/>
          <w:tblHeader/>
        </w:trPr>
        <w:tc>
          <w:tcPr>
            <w:tcW w:w="4077" w:type="dxa"/>
            <w:vAlign w:val="center"/>
          </w:tcPr>
          <w:p w14:paraId="640911E0"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4AFFA4A7" w14:textId="2543B226" w:rsidR="00A31D99" w:rsidRDefault="00A0643F" w:rsidP="00A174CC">
            <w:pPr>
              <w:pStyle w:val="Tablefont"/>
            </w:pPr>
            <w:r>
              <w:t xml:space="preserve">1 ppm = </w:t>
            </w:r>
            <w:sdt>
              <w:sdtPr>
                <w:id w:val="-371151491"/>
                <w:placeholder>
                  <w:docPart w:val="A7231FB73EFF4B2B92EB3BD21C0CEA01"/>
                </w:placeholder>
              </w:sdtPr>
              <w:sdtEndPr/>
              <w:sdtContent>
                <w:r w:rsidR="000226F7">
                  <w:t>4.38</w:t>
                </w:r>
              </w:sdtContent>
            </w:sdt>
            <w:r>
              <w:t xml:space="preserve"> mg/m</w:t>
            </w:r>
            <w:r w:rsidRPr="00D83761">
              <w:rPr>
                <w:vertAlign w:val="superscript"/>
              </w:rPr>
              <w:t>3</w:t>
            </w:r>
            <w:r>
              <w:t>; 1 mg/m</w:t>
            </w:r>
            <w:r w:rsidRPr="00D83761">
              <w:rPr>
                <w:vertAlign w:val="superscript"/>
              </w:rPr>
              <w:t>3</w:t>
            </w:r>
            <w:r>
              <w:t xml:space="preserve"> </w:t>
            </w:r>
            <w:r w:rsidRPr="008A681C">
              <w:t xml:space="preserve">= </w:t>
            </w:r>
            <w:sdt>
              <w:sdtPr>
                <w:id w:val="-1913150218"/>
                <w:placeholder>
                  <w:docPart w:val="5D98FA8C84704C71B6F1557317AE5303"/>
                </w:placeholder>
              </w:sdtPr>
              <w:sdtEndPr/>
              <w:sdtContent>
                <w:r w:rsidR="000226F7" w:rsidRPr="008A681C">
                  <w:t>0.229</w:t>
                </w:r>
              </w:sdtContent>
            </w:sdt>
            <w:r>
              <w:t xml:space="preserve"> ppm</w:t>
            </w:r>
          </w:p>
        </w:tc>
      </w:tr>
      <w:tr w:rsidR="00687890" w:rsidRPr="004C23F4" w14:paraId="47E95BDA" w14:textId="77777777" w:rsidTr="00EA6243">
        <w:trPr>
          <w:cantSplit/>
          <w:tblHeader/>
        </w:trPr>
        <w:tc>
          <w:tcPr>
            <w:tcW w:w="4077" w:type="dxa"/>
            <w:vAlign w:val="center"/>
          </w:tcPr>
          <w:p w14:paraId="119554E9"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28E72E56"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778AC426" w14:textId="77777777" w:rsidTr="00EA6243">
        <w:trPr>
          <w:cantSplit/>
        </w:trPr>
        <w:tc>
          <w:tcPr>
            <w:tcW w:w="4077" w:type="dxa"/>
            <w:vAlign w:val="center"/>
          </w:tcPr>
          <w:p w14:paraId="5E75A664" w14:textId="77777777" w:rsidR="00687890" w:rsidRPr="00263255" w:rsidRDefault="00687890" w:rsidP="00263255">
            <w:pPr>
              <w:pStyle w:val="Tablefont"/>
            </w:pPr>
            <w:bookmarkStart w:id="4" w:name="_GoBack" w:colFirst="0" w:colLast="0"/>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627D2F41" w14:textId="77777777" w:rsidR="00687890" w:rsidRPr="004C23F4" w:rsidRDefault="00A20751" w:rsidP="00717D45">
                <w:pPr>
                  <w:pStyle w:val="Tablefont"/>
                </w:pPr>
                <w:r w:rsidRPr="004C23F4">
                  <w:rPr>
                    <w:rFonts w:ascii="MS Gothic" w:eastAsia="MS Gothic" w:hAnsi="MS Gothic" w:cs="MS Gothic" w:hint="eastAsia"/>
                  </w:rPr>
                  <w:t>☐</w:t>
                </w:r>
              </w:p>
            </w:tc>
          </w:sdtContent>
        </w:sdt>
      </w:tr>
      <w:bookmarkEnd w:id="4"/>
      <w:tr w:rsidR="00687890" w:rsidRPr="004C23F4" w14:paraId="59EB8549" w14:textId="77777777" w:rsidTr="00EA6243">
        <w:trPr>
          <w:cantSplit/>
        </w:trPr>
        <w:tc>
          <w:tcPr>
            <w:tcW w:w="4077" w:type="dxa"/>
            <w:vAlign w:val="center"/>
          </w:tcPr>
          <w:p w14:paraId="2193E975"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426FE686"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708E39EB" w14:textId="77777777" w:rsidTr="00EA6243">
        <w:trPr>
          <w:cantSplit/>
        </w:trPr>
        <w:tc>
          <w:tcPr>
            <w:tcW w:w="4077" w:type="dxa"/>
            <w:vAlign w:val="center"/>
          </w:tcPr>
          <w:p w14:paraId="3B651CDC"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3110E782" w14:textId="77777777" w:rsidR="00E06F40" w:rsidRPr="00A006A0" w:rsidRDefault="00CB2A8F" w:rsidP="00B40C60">
            <w:pPr>
              <w:pStyle w:val="Tablefont"/>
              <w:tabs>
                <w:tab w:val="left" w:pos="1310"/>
                <w:tab w:val="left" w:pos="2444"/>
                <w:tab w:val="left" w:pos="3861"/>
              </w:tabs>
            </w:pPr>
            <w:sdt>
              <w:sdtPr>
                <w:id w:val="92759666"/>
                <w14:checkbox>
                  <w14:checked w14:val="1"/>
                  <w14:checkedState w14:val="00FC" w14:font="Wingdings"/>
                  <w14:uncheckedState w14:val="2610" w14:font="MS Gothic"/>
                </w14:checkbox>
              </w:sdtPr>
              <w:sdtEndPr/>
              <w:sdtContent>
                <w:r w:rsidR="00461482">
                  <w:sym w:font="Wingdings" w:char="F0FC"/>
                </w:r>
              </w:sdtContent>
            </w:sdt>
            <w:r w:rsidR="00E06F40" w:rsidRPr="00A006A0">
              <w:t xml:space="preserve"> ACGIH</w:t>
            </w:r>
            <w:r w:rsidR="00E06F40">
              <w:tab/>
            </w:r>
            <w:sdt>
              <w:sdtPr>
                <w:id w:val="129367724"/>
                <w14:checkbox>
                  <w14:checked w14:val="1"/>
                  <w14:checkedState w14:val="00FC" w14:font="Wingdings"/>
                  <w14:uncheckedState w14:val="2610" w14:font="MS Gothic"/>
                </w14:checkbox>
              </w:sdtPr>
              <w:sdtEndPr/>
              <w:sdtContent>
                <w:r w:rsidR="00970B13">
                  <w:rPr>
                    <w:rFonts w:ascii="MS Gothic" w:eastAsia="MS Gothic" w:hAnsi="MS Gothic" w:cs="MS Gothic" w:hint="eastAsia"/>
                  </w:rPr>
                  <w:sym w:font="Wingdings" w:char="F0FC"/>
                </w:r>
              </w:sdtContent>
            </w:sdt>
            <w:r w:rsidR="00E06F40" w:rsidRPr="00A006A0">
              <w:t xml:space="preserve"> DFG</w:t>
            </w:r>
            <w:r w:rsidR="00E06F40">
              <w:tab/>
            </w:r>
            <w:sdt>
              <w:sdtPr>
                <w:id w:val="-1535876012"/>
                <w14:checkbox>
                  <w14:checked w14:val="1"/>
                  <w14:checkedState w14:val="00FC" w14:font="Wingdings"/>
                  <w14:uncheckedState w14:val="2610" w14:font="MS Gothic"/>
                </w14:checkbox>
              </w:sdtPr>
              <w:sdtEndPr/>
              <w:sdtContent>
                <w:r w:rsidR="00A156FA">
                  <w:sym w:font="Wingdings" w:char="F0FC"/>
                </w:r>
              </w:sdtContent>
            </w:sdt>
            <w:r w:rsidR="00E06F40" w:rsidRPr="00A006A0">
              <w:t xml:space="preserve"> SCOEL</w:t>
            </w:r>
            <w:r w:rsidR="00E06F40">
              <w:tab/>
            </w:r>
          </w:p>
        </w:tc>
      </w:tr>
    </w:tbl>
    <w:p w14:paraId="1B50E874"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43587752" w14:textId="77777777" w:rsidTr="00F053FA">
        <w:trPr>
          <w:tblHeader/>
        </w:trPr>
        <w:tc>
          <w:tcPr>
            <w:tcW w:w="4077" w:type="dxa"/>
            <w:shd w:val="clear" w:color="auto" w:fill="BFBFBF" w:themeFill="background1" w:themeFillShade="BF"/>
            <w:vAlign w:val="center"/>
          </w:tcPr>
          <w:p w14:paraId="09F27C31"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3693134E" w14:textId="77777777" w:rsidR="00224EE2" w:rsidRPr="004C23F4" w:rsidRDefault="00224EE2" w:rsidP="00EB3D1B">
            <w:pPr>
              <w:pStyle w:val="Tableheader"/>
              <w:keepNext/>
              <w:keepLines/>
            </w:pPr>
            <w:r>
              <w:t>Standard</w:t>
            </w:r>
          </w:p>
        </w:tc>
      </w:tr>
      <w:tr w:rsidR="007F1005" w:rsidRPr="004C23F4" w14:paraId="31DB4A1B" w14:textId="77777777" w:rsidTr="00F053FA">
        <w:trPr>
          <w:tblHeader/>
        </w:trPr>
        <w:sdt>
          <w:sdtPr>
            <w:id w:val="-25557549"/>
            <w:showingPlcHdr/>
            <w:text/>
          </w:sdtPr>
          <w:sdtEndPr/>
          <w:sdtContent>
            <w:tc>
              <w:tcPr>
                <w:tcW w:w="4077" w:type="dxa"/>
                <w:vAlign w:val="center"/>
              </w:tcPr>
              <w:p w14:paraId="33E6526A"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5F48D3E" w14:textId="77777777" w:rsidR="007F1005" w:rsidRPr="004C23F4" w:rsidRDefault="007F1005" w:rsidP="00EB3D1B">
            <w:pPr>
              <w:pStyle w:val="Tablefont"/>
              <w:keepLines/>
            </w:pPr>
          </w:p>
        </w:tc>
      </w:tr>
    </w:tbl>
    <w:bookmarkEnd w:id="5"/>
    <w:p w14:paraId="44B6CBB2" w14:textId="77777777" w:rsidR="00F87D92" w:rsidRDefault="00F87D92" w:rsidP="00EF7F78">
      <w:pPr>
        <w:pStyle w:val="Heading2"/>
        <w:tabs>
          <w:tab w:val="right" w:pos="8505"/>
        </w:tabs>
      </w:pPr>
      <w:r>
        <w:t>References</w:t>
      </w:r>
      <w:r w:rsidR="00EF7F78">
        <w:tab/>
      </w:r>
    </w:p>
    <w:p w14:paraId="33B135FE"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3071324F" w14:textId="77777777" w:rsidR="008E4F1F" w:rsidRDefault="008E4F1F" w:rsidP="008E4F1F">
      <w:pPr>
        <w:rPr>
          <w:b/>
        </w:rPr>
      </w:pPr>
      <w:r w:rsidRPr="002022B6">
        <w:t>Deutsche Forschungsgemeinschaft (DFG)</w:t>
      </w:r>
      <w:r>
        <w:t xml:space="preserve"> (</w:t>
      </w:r>
      <w:r w:rsidR="00F61BD8">
        <w:t>2007</w:t>
      </w:r>
      <w:r>
        <w:t xml:space="preserve">) </w:t>
      </w:r>
      <w:r w:rsidR="00F61BD8" w:rsidRPr="00F61BD8">
        <w:t>o-Toluidine</w:t>
      </w:r>
      <w:r>
        <w:t xml:space="preserve"> – MAK value documentation.</w:t>
      </w:r>
    </w:p>
    <w:p w14:paraId="01A3BCCC" w14:textId="0122153B" w:rsidR="008E4F1F" w:rsidRDefault="008E4F1F" w:rsidP="008E4F1F">
      <w:r w:rsidRPr="002022B6">
        <w:t>EU Scientific Committee on Occupational Exposure Limits (SCOEL)</w:t>
      </w:r>
      <w:r>
        <w:t xml:space="preserve"> (</w:t>
      </w:r>
      <w:r w:rsidR="008067BD">
        <w:t>2017</w:t>
      </w:r>
      <w:r>
        <w:t xml:space="preserve">) Recommendation from the Scientific Committee on Occupational Exposure Limits for </w:t>
      </w:r>
      <w:r w:rsidR="008067BD" w:rsidRPr="008067BD">
        <w:t>o-Toluidine, 2-methylaniline</w:t>
      </w:r>
      <w:r>
        <w:t xml:space="preserve">. </w:t>
      </w:r>
      <w:r w:rsidR="008067BD" w:rsidRPr="008067BD">
        <w:t>SCOEL/REC/301</w:t>
      </w:r>
      <w:r>
        <w:t>.</w:t>
      </w:r>
    </w:p>
    <w:p w14:paraId="139519A1" w14:textId="789F2F65" w:rsidR="004B72FC" w:rsidRDefault="004B72FC" w:rsidP="008E4F1F">
      <w:bookmarkStart w:id="6" w:name="_Hlk36715587"/>
      <w:r w:rsidRPr="004B72FC">
        <w:t>EU Scientific Committee on Occupational Exposure Limits (SCOEL) (2010) Recommendation from the Scientific Committee on Occupational Exposure Limits for aniline. SCOEL/SUM/153.</w:t>
      </w:r>
    </w:p>
    <w:bookmarkEnd w:id="6"/>
    <w:p w14:paraId="018E8527" w14:textId="77777777" w:rsidR="00650206" w:rsidRDefault="00650206" w:rsidP="008E4F1F">
      <w:r w:rsidRPr="00650206">
        <w:t>European Chemicals Agency Regulation (ECHA) No 1907/2006 of the European Parliament and of the Council of 18 December 2006 concerning the Registration, Evaluation, Authorisation and Restriction of Chemicals (REACH).</w:t>
      </w:r>
    </w:p>
    <w:p w14:paraId="5396CEA2" w14:textId="77777777" w:rsidR="009C37E8" w:rsidRDefault="009C37E8" w:rsidP="008E4F1F">
      <w:r>
        <w:t xml:space="preserve">European Chemicals Agency (ECHA) (2020) </w:t>
      </w:r>
      <w:r w:rsidRPr="009C37E8">
        <w:t>o-toluidine</w:t>
      </w:r>
      <w:r>
        <w:t xml:space="preserve"> – REACH assessment.</w:t>
      </w:r>
    </w:p>
    <w:p w14:paraId="5B81FB4C" w14:textId="77777777" w:rsidR="008E4F1F" w:rsidRDefault="008E4F1F" w:rsidP="00CA2B4F">
      <w:pPr>
        <w:rPr>
          <w:b/>
        </w:rPr>
      </w:pPr>
      <w:r w:rsidRPr="002022B6">
        <w:t>International Agency for Research on Cancer</w:t>
      </w:r>
      <w:r>
        <w:t xml:space="preserve"> (IARC) (</w:t>
      </w:r>
      <w:sdt>
        <w:sdtPr>
          <w:id w:val="159357081"/>
          <w:temporary/>
          <w:showingPlcHdr/>
        </w:sdtPr>
        <w:sdtEndPr/>
        <w:sdtContent>
          <w:r w:rsidRPr="00CA2B4F">
            <w:rPr>
              <w:rStyle w:val="PlaceholderText"/>
              <w:color w:val="auto"/>
            </w:rPr>
            <w:t>2012</w:t>
          </w:r>
        </w:sdtContent>
      </w:sdt>
      <w:r>
        <w:t xml:space="preserve">) </w:t>
      </w:r>
      <w:r w:rsidR="00CA2B4F">
        <w:t>Volume 100</w:t>
      </w:r>
      <w:r w:rsidR="00633384">
        <w:t xml:space="preserve"> </w:t>
      </w:r>
      <w:r w:rsidR="00CA2B4F">
        <w:t>F, Chemical agents and related occupations</w:t>
      </w:r>
      <w:r>
        <w:t>. IARC Monographs on the evaluation of the carcinogenic risk to humans.</w:t>
      </w:r>
    </w:p>
    <w:p w14:paraId="2492670E" w14:textId="77777777" w:rsidR="008E4F1F" w:rsidRDefault="008E4F1F" w:rsidP="008E4F1F">
      <w:pPr>
        <w:rPr>
          <w:b/>
        </w:rPr>
      </w:pPr>
      <w:r w:rsidRPr="002022B6">
        <w:t>National Industrial Chemicals Notification and Assessment Scheme (NICNAS)</w:t>
      </w:r>
      <w:r>
        <w:t xml:space="preserve"> (</w:t>
      </w:r>
      <w:r w:rsidR="00633384">
        <w:t>2014</w:t>
      </w:r>
      <w:r>
        <w:t xml:space="preserve">) </w:t>
      </w:r>
      <w:proofErr w:type="spellStart"/>
      <w:r w:rsidR="00633384" w:rsidRPr="00633384">
        <w:t>Benzenamine</w:t>
      </w:r>
      <w:proofErr w:type="spellEnd"/>
      <w:r w:rsidR="00633384" w:rsidRPr="00633384">
        <w:t>, 2-methyl</w:t>
      </w:r>
      <w:r w:rsidRPr="0071660C">
        <w:t xml:space="preserve">: Human health </w:t>
      </w:r>
      <w:sdt>
        <w:sdtPr>
          <w:id w:val="-1295753243"/>
          <w:temporary/>
          <w:showingPlcHdr/>
        </w:sdtPr>
        <w:sdtEndPr/>
        <w:sdtContent>
          <w:r w:rsidRPr="00633384">
            <w:t>tier II</w:t>
          </w:r>
        </w:sdtContent>
      </w:sdt>
      <w:r>
        <w:t xml:space="preserve"> </w:t>
      </w:r>
      <w:r w:rsidRPr="0071660C">
        <w:t>assessment</w:t>
      </w:r>
      <w:r>
        <w:t xml:space="preserve"> – IMAP report.</w:t>
      </w:r>
    </w:p>
    <w:p w14:paraId="1F8852C3" w14:textId="77777777" w:rsidR="00810A8A" w:rsidRPr="00650206" w:rsidRDefault="00810A8A" w:rsidP="00810A8A">
      <w:r w:rsidRPr="00650206">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4BDBD20A" w14:textId="77777777" w:rsidR="008E4F1F" w:rsidRDefault="008E4F1F" w:rsidP="008E4F1F">
      <w:pPr>
        <w:rPr>
          <w:b/>
        </w:rPr>
      </w:pPr>
      <w:r w:rsidRPr="00D86E03">
        <w:t>US National Institute for Occupational Safety and Health (NIOSH)</w:t>
      </w:r>
      <w:r>
        <w:t xml:space="preserve"> (</w:t>
      </w:r>
      <w:sdt>
        <w:sdtPr>
          <w:id w:val="-1194999823"/>
          <w:temporary/>
          <w:showingPlcHdr/>
        </w:sdtPr>
        <w:sdtEndPr/>
        <w:sdtContent>
          <w:r w:rsidRPr="00633384">
            <w:t>1994</w:t>
          </w:r>
        </w:sdtContent>
      </w:sdt>
      <w:r>
        <w:t xml:space="preserve">) Immediately dangerous to life or health concentrations – </w:t>
      </w:r>
      <w:r w:rsidR="00633384" w:rsidRPr="00633384">
        <w:t>o-Toluidine</w:t>
      </w:r>
      <w:r>
        <w:t>.</w:t>
      </w:r>
    </w:p>
    <w:p w14:paraId="4B15A33F"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D708B" w14:textId="77777777" w:rsidR="00C72577" w:rsidRDefault="00C72577" w:rsidP="00F43AD5">
      <w:pPr>
        <w:spacing w:after="0" w:line="240" w:lineRule="auto"/>
      </w:pPr>
      <w:r>
        <w:separator/>
      </w:r>
    </w:p>
  </w:endnote>
  <w:endnote w:type="continuationSeparator" w:id="0">
    <w:p w14:paraId="53413A61" w14:textId="77777777" w:rsidR="00C72577" w:rsidRDefault="00C72577"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46B7" w14:textId="77777777" w:rsidR="00CB2A8F" w:rsidRDefault="00CB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414FD80B" w14:textId="77777777" w:rsidR="00C72577" w:rsidRDefault="00C72577" w:rsidP="0034744C">
        <w:pPr>
          <w:pStyle w:val="Footer"/>
          <w:rPr>
            <w:sz w:val="18"/>
            <w:szCs w:val="18"/>
          </w:rPr>
        </w:pPr>
        <w:r w:rsidRPr="008A35DB">
          <w:rPr>
            <w:b/>
            <w:sz w:val="18"/>
            <w:szCs w:val="18"/>
          </w:rPr>
          <w:t>o-Toluidine</w:t>
        </w:r>
        <w:r>
          <w:rPr>
            <w:b/>
            <w:sz w:val="18"/>
            <w:szCs w:val="18"/>
          </w:rPr>
          <w:t xml:space="preserve"> (</w:t>
        </w:r>
        <w:r w:rsidRPr="0096528B">
          <w:rPr>
            <w:b/>
            <w:sz w:val="18"/>
            <w:szCs w:val="18"/>
          </w:rPr>
          <w:t>95-53-4</w:t>
        </w:r>
        <w:r>
          <w:rPr>
            <w:b/>
            <w:sz w:val="18"/>
            <w:szCs w:val="18"/>
          </w:rPr>
          <w:t>)</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w:t>
        </w:r>
        <w:r>
          <w:rPr>
            <w:sz w:val="18"/>
            <w:szCs w:val="18"/>
          </w:rPr>
          <w:t>20</w:t>
        </w:r>
      </w:p>
      <w:p w14:paraId="2F1FE541" w14:textId="24C6B704" w:rsidR="00C72577" w:rsidRPr="00F43AD5" w:rsidRDefault="00C72577"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556559">
          <w:rPr>
            <w:noProof/>
            <w:sz w:val="18"/>
            <w:szCs w:val="18"/>
          </w:rPr>
          <w:t>8</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A9BD" w14:textId="77777777" w:rsidR="00CB2A8F" w:rsidRDefault="00CB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91FEE" w14:textId="77777777" w:rsidR="00C72577" w:rsidRDefault="00C72577" w:rsidP="00F43AD5">
      <w:pPr>
        <w:spacing w:after="0" w:line="240" w:lineRule="auto"/>
      </w:pPr>
      <w:r>
        <w:separator/>
      </w:r>
    </w:p>
  </w:footnote>
  <w:footnote w:type="continuationSeparator" w:id="0">
    <w:p w14:paraId="6B8CB2F2" w14:textId="77777777" w:rsidR="00C72577" w:rsidRDefault="00C72577"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F718" w14:textId="77777777" w:rsidR="00CB2A8F" w:rsidRDefault="00CB2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5C75F" w14:textId="0B988C16" w:rsidR="00C72577" w:rsidRPr="00CB2A8F" w:rsidRDefault="00CB2A8F" w:rsidP="00CB2A8F">
    <w:pPr>
      <w:pStyle w:val="Header"/>
      <w:jc w:val="right"/>
    </w:pPr>
    <w:r>
      <w:pict w14:anchorId="6FBE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16385"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0063C074" wp14:editId="08AD3C38">
          <wp:extent cx="2947670" cy="586740"/>
          <wp:effectExtent l="0" t="0" r="0" b="381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B14A" w14:textId="77777777" w:rsidR="00CB2A8F" w:rsidRDefault="00CB2A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9DFA" w14:textId="29148258" w:rsidR="00CB2A8F" w:rsidRDefault="00CB2A8F" w:rsidP="00CB2A8F">
    <w:pPr>
      <w:pStyle w:val="Header"/>
      <w:jc w:val="right"/>
    </w:pPr>
    <w:r>
      <w:pict w14:anchorId="70253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386"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5EA2CF25" wp14:editId="0E673979">
          <wp:extent cx="2947670" cy="586740"/>
          <wp:effectExtent l="0" t="0" r="0" b="381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325A8D04" w14:textId="77777777" w:rsidR="00C72577" w:rsidRDefault="00C72577" w:rsidP="00CB2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90BA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DA1F50"/>
    <w:multiLevelType w:val="singleLevel"/>
    <w:tmpl w:val="0C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3A6F6C42"/>
    <w:multiLevelType w:val="hybridMultilevel"/>
    <w:tmpl w:val="ECBC7E3A"/>
    <w:lvl w:ilvl="0" w:tplc="BC800458">
      <w:start w:val="12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8773C"/>
    <w:multiLevelType w:val="hybridMultilevel"/>
    <w:tmpl w:val="9BB62FB6"/>
    <w:lvl w:ilvl="0" w:tplc="C5CA8B4E">
      <w:start w:val="1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3D70"/>
    <w:rsid w:val="00014C3F"/>
    <w:rsid w:val="00017C82"/>
    <w:rsid w:val="000226F7"/>
    <w:rsid w:val="00032839"/>
    <w:rsid w:val="00032B88"/>
    <w:rsid w:val="00037E52"/>
    <w:rsid w:val="00046216"/>
    <w:rsid w:val="00046DF5"/>
    <w:rsid w:val="00052060"/>
    <w:rsid w:val="0005574A"/>
    <w:rsid w:val="00055FE1"/>
    <w:rsid w:val="00056EC2"/>
    <w:rsid w:val="00060B48"/>
    <w:rsid w:val="00067F32"/>
    <w:rsid w:val="00071807"/>
    <w:rsid w:val="00071914"/>
    <w:rsid w:val="000803E1"/>
    <w:rsid w:val="00084513"/>
    <w:rsid w:val="00084859"/>
    <w:rsid w:val="00092D94"/>
    <w:rsid w:val="000A6705"/>
    <w:rsid w:val="000B0868"/>
    <w:rsid w:val="000B1BAD"/>
    <w:rsid w:val="000B3E12"/>
    <w:rsid w:val="000B3E78"/>
    <w:rsid w:val="000B4D2A"/>
    <w:rsid w:val="000B7B48"/>
    <w:rsid w:val="000C096D"/>
    <w:rsid w:val="000C139A"/>
    <w:rsid w:val="000C2053"/>
    <w:rsid w:val="000C248C"/>
    <w:rsid w:val="000D291C"/>
    <w:rsid w:val="000E5A54"/>
    <w:rsid w:val="000E63D3"/>
    <w:rsid w:val="000E67CF"/>
    <w:rsid w:val="0010461E"/>
    <w:rsid w:val="00106FAA"/>
    <w:rsid w:val="00113443"/>
    <w:rsid w:val="00117B51"/>
    <w:rsid w:val="00120080"/>
    <w:rsid w:val="00120599"/>
    <w:rsid w:val="001269A7"/>
    <w:rsid w:val="00131092"/>
    <w:rsid w:val="001340A7"/>
    <w:rsid w:val="00140E6A"/>
    <w:rsid w:val="00146545"/>
    <w:rsid w:val="00146B75"/>
    <w:rsid w:val="0015266D"/>
    <w:rsid w:val="0015288A"/>
    <w:rsid w:val="00155999"/>
    <w:rsid w:val="00160F47"/>
    <w:rsid w:val="00177CA1"/>
    <w:rsid w:val="00183823"/>
    <w:rsid w:val="00183942"/>
    <w:rsid w:val="001915F6"/>
    <w:rsid w:val="001974BF"/>
    <w:rsid w:val="0019761A"/>
    <w:rsid w:val="001A009E"/>
    <w:rsid w:val="001A1287"/>
    <w:rsid w:val="001A3859"/>
    <w:rsid w:val="001A3C9D"/>
    <w:rsid w:val="001A43F8"/>
    <w:rsid w:val="001B04C5"/>
    <w:rsid w:val="001B79E5"/>
    <w:rsid w:val="001D4C17"/>
    <w:rsid w:val="001D56F0"/>
    <w:rsid w:val="001D663B"/>
    <w:rsid w:val="001D7B41"/>
    <w:rsid w:val="001E390B"/>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EE2"/>
    <w:rsid w:val="00227EC7"/>
    <w:rsid w:val="00231CA2"/>
    <w:rsid w:val="00244AD1"/>
    <w:rsid w:val="002463BC"/>
    <w:rsid w:val="002465CE"/>
    <w:rsid w:val="0025734A"/>
    <w:rsid w:val="00263255"/>
    <w:rsid w:val="0026709B"/>
    <w:rsid w:val="00276494"/>
    <w:rsid w:val="00277B0C"/>
    <w:rsid w:val="00291FB6"/>
    <w:rsid w:val="0029341F"/>
    <w:rsid w:val="002B1A2C"/>
    <w:rsid w:val="002C34F2"/>
    <w:rsid w:val="002C58FF"/>
    <w:rsid w:val="002C7AFE"/>
    <w:rsid w:val="002D05D2"/>
    <w:rsid w:val="002E0D61"/>
    <w:rsid w:val="002E0FD5"/>
    <w:rsid w:val="002E4C7B"/>
    <w:rsid w:val="002F3C82"/>
    <w:rsid w:val="00300A61"/>
    <w:rsid w:val="0030740C"/>
    <w:rsid w:val="00315833"/>
    <w:rsid w:val="003215EE"/>
    <w:rsid w:val="003224BF"/>
    <w:rsid w:val="003225DE"/>
    <w:rsid w:val="003241A8"/>
    <w:rsid w:val="003253F0"/>
    <w:rsid w:val="00332F7E"/>
    <w:rsid w:val="003337DA"/>
    <w:rsid w:val="00334EFB"/>
    <w:rsid w:val="00335CDE"/>
    <w:rsid w:val="003365A5"/>
    <w:rsid w:val="00341DC4"/>
    <w:rsid w:val="003435F0"/>
    <w:rsid w:val="00343664"/>
    <w:rsid w:val="00347192"/>
    <w:rsid w:val="0034744C"/>
    <w:rsid w:val="00351E5B"/>
    <w:rsid w:val="00351FE0"/>
    <w:rsid w:val="00352615"/>
    <w:rsid w:val="0035412B"/>
    <w:rsid w:val="003567A8"/>
    <w:rsid w:val="00360955"/>
    <w:rsid w:val="00362895"/>
    <w:rsid w:val="00370DBF"/>
    <w:rsid w:val="0037397C"/>
    <w:rsid w:val="00386093"/>
    <w:rsid w:val="00390493"/>
    <w:rsid w:val="003904A4"/>
    <w:rsid w:val="00391841"/>
    <w:rsid w:val="00391B6D"/>
    <w:rsid w:val="00394922"/>
    <w:rsid w:val="003A0E32"/>
    <w:rsid w:val="003A2B94"/>
    <w:rsid w:val="003A4D7A"/>
    <w:rsid w:val="003B16C1"/>
    <w:rsid w:val="003B387D"/>
    <w:rsid w:val="003B672F"/>
    <w:rsid w:val="003C0D58"/>
    <w:rsid w:val="003D2549"/>
    <w:rsid w:val="003D4FA3"/>
    <w:rsid w:val="003D6331"/>
    <w:rsid w:val="003E0807"/>
    <w:rsid w:val="003E51FB"/>
    <w:rsid w:val="003E6B39"/>
    <w:rsid w:val="003F07E1"/>
    <w:rsid w:val="004030BC"/>
    <w:rsid w:val="00403F7D"/>
    <w:rsid w:val="00406785"/>
    <w:rsid w:val="004079B4"/>
    <w:rsid w:val="00417A56"/>
    <w:rsid w:val="00420957"/>
    <w:rsid w:val="00421F28"/>
    <w:rsid w:val="00422765"/>
    <w:rsid w:val="00422A10"/>
    <w:rsid w:val="00430179"/>
    <w:rsid w:val="004414B5"/>
    <w:rsid w:val="00444482"/>
    <w:rsid w:val="00444B42"/>
    <w:rsid w:val="00445E44"/>
    <w:rsid w:val="004509E2"/>
    <w:rsid w:val="004515EE"/>
    <w:rsid w:val="004529F0"/>
    <w:rsid w:val="0045786A"/>
    <w:rsid w:val="00460A03"/>
    <w:rsid w:val="00461482"/>
    <w:rsid w:val="00472A11"/>
    <w:rsid w:val="00472AAD"/>
    <w:rsid w:val="00474E33"/>
    <w:rsid w:val="00476803"/>
    <w:rsid w:val="00485BFD"/>
    <w:rsid w:val="004867A2"/>
    <w:rsid w:val="004873F2"/>
    <w:rsid w:val="00490D4C"/>
    <w:rsid w:val="00493A35"/>
    <w:rsid w:val="004948EA"/>
    <w:rsid w:val="0049527A"/>
    <w:rsid w:val="004966BF"/>
    <w:rsid w:val="00497984"/>
    <w:rsid w:val="004A5088"/>
    <w:rsid w:val="004B72FC"/>
    <w:rsid w:val="004C1E3F"/>
    <w:rsid w:val="004C23F4"/>
    <w:rsid w:val="004C3475"/>
    <w:rsid w:val="004C58B6"/>
    <w:rsid w:val="004C5AE7"/>
    <w:rsid w:val="004D16A3"/>
    <w:rsid w:val="004D1FF7"/>
    <w:rsid w:val="004D4AA1"/>
    <w:rsid w:val="004D6D68"/>
    <w:rsid w:val="004E5EDD"/>
    <w:rsid w:val="004F448A"/>
    <w:rsid w:val="004F493D"/>
    <w:rsid w:val="004F65E8"/>
    <w:rsid w:val="0050005E"/>
    <w:rsid w:val="0050288E"/>
    <w:rsid w:val="00502B88"/>
    <w:rsid w:val="00506BDA"/>
    <w:rsid w:val="00513835"/>
    <w:rsid w:val="005142C4"/>
    <w:rsid w:val="0051509C"/>
    <w:rsid w:val="005272E2"/>
    <w:rsid w:val="0053108F"/>
    <w:rsid w:val="00532B56"/>
    <w:rsid w:val="00534B10"/>
    <w:rsid w:val="005446A2"/>
    <w:rsid w:val="00544D2F"/>
    <w:rsid w:val="0054730D"/>
    <w:rsid w:val="00551BD8"/>
    <w:rsid w:val="00556559"/>
    <w:rsid w:val="00581055"/>
    <w:rsid w:val="00591E38"/>
    <w:rsid w:val="005A19C5"/>
    <w:rsid w:val="005A3034"/>
    <w:rsid w:val="005A4591"/>
    <w:rsid w:val="005A462D"/>
    <w:rsid w:val="005B253B"/>
    <w:rsid w:val="005B771D"/>
    <w:rsid w:val="005C5D16"/>
    <w:rsid w:val="005C680E"/>
    <w:rsid w:val="005D3193"/>
    <w:rsid w:val="005D4A6E"/>
    <w:rsid w:val="005E1BD5"/>
    <w:rsid w:val="005E6979"/>
    <w:rsid w:val="005E6F4B"/>
    <w:rsid w:val="005E75CB"/>
    <w:rsid w:val="006013C1"/>
    <w:rsid w:val="0060669E"/>
    <w:rsid w:val="00607A95"/>
    <w:rsid w:val="00610F2E"/>
    <w:rsid w:val="00611399"/>
    <w:rsid w:val="00624C4E"/>
    <w:rsid w:val="00625200"/>
    <w:rsid w:val="00633384"/>
    <w:rsid w:val="006363A8"/>
    <w:rsid w:val="00636DB7"/>
    <w:rsid w:val="00650206"/>
    <w:rsid w:val="00650905"/>
    <w:rsid w:val="006532ED"/>
    <w:rsid w:val="006549F2"/>
    <w:rsid w:val="006567B7"/>
    <w:rsid w:val="00657BFB"/>
    <w:rsid w:val="0066333C"/>
    <w:rsid w:val="006637E3"/>
    <w:rsid w:val="006639B4"/>
    <w:rsid w:val="006650FE"/>
    <w:rsid w:val="0067305D"/>
    <w:rsid w:val="00677D9B"/>
    <w:rsid w:val="006867F3"/>
    <w:rsid w:val="00687890"/>
    <w:rsid w:val="006901A2"/>
    <w:rsid w:val="00690368"/>
    <w:rsid w:val="0069079C"/>
    <w:rsid w:val="00690B53"/>
    <w:rsid w:val="00695B72"/>
    <w:rsid w:val="00696E93"/>
    <w:rsid w:val="006B160A"/>
    <w:rsid w:val="006B4E6C"/>
    <w:rsid w:val="006B50B6"/>
    <w:rsid w:val="006D0A7B"/>
    <w:rsid w:val="006D79EA"/>
    <w:rsid w:val="006E5D05"/>
    <w:rsid w:val="00701053"/>
    <w:rsid w:val="00701507"/>
    <w:rsid w:val="00714021"/>
    <w:rsid w:val="00716A0F"/>
    <w:rsid w:val="00717D45"/>
    <w:rsid w:val="007208F7"/>
    <w:rsid w:val="007218AF"/>
    <w:rsid w:val="007365D1"/>
    <w:rsid w:val="00740E0E"/>
    <w:rsid w:val="00750212"/>
    <w:rsid w:val="00752127"/>
    <w:rsid w:val="0075348E"/>
    <w:rsid w:val="00754779"/>
    <w:rsid w:val="00755078"/>
    <w:rsid w:val="0075716D"/>
    <w:rsid w:val="00765F14"/>
    <w:rsid w:val="007674DE"/>
    <w:rsid w:val="00770705"/>
    <w:rsid w:val="00770E31"/>
    <w:rsid w:val="007713B1"/>
    <w:rsid w:val="007742A2"/>
    <w:rsid w:val="007770F1"/>
    <w:rsid w:val="007818B4"/>
    <w:rsid w:val="00783FB1"/>
    <w:rsid w:val="00785CDD"/>
    <w:rsid w:val="00791847"/>
    <w:rsid w:val="007925F0"/>
    <w:rsid w:val="007939B3"/>
    <w:rsid w:val="0079509C"/>
    <w:rsid w:val="00796708"/>
    <w:rsid w:val="007B1B42"/>
    <w:rsid w:val="007B398F"/>
    <w:rsid w:val="007C30EB"/>
    <w:rsid w:val="007E063C"/>
    <w:rsid w:val="007E2A4B"/>
    <w:rsid w:val="007E307D"/>
    <w:rsid w:val="007E6A4E"/>
    <w:rsid w:val="007E6C94"/>
    <w:rsid w:val="007F1005"/>
    <w:rsid w:val="007F25E0"/>
    <w:rsid w:val="007F5328"/>
    <w:rsid w:val="00804F5A"/>
    <w:rsid w:val="008067BD"/>
    <w:rsid w:val="00810A8A"/>
    <w:rsid w:val="00810C6D"/>
    <w:rsid w:val="00812887"/>
    <w:rsid w:val="00826CD1"/>
    <w:rsid w:val="00826F21"/>
    <w:rsid w:val="00834CC8"/>
    <w:rsid w:val="00835E00"/>
    <w:rsid w:val="00837113"/>
    <w:rsid w:val="008414E4"/>
    <w:rsid w:val="00843E21"/>
    <w:rsid w:val="0084508E"/>
    <w:rsid w:val="00852170"/>
    <w:rsid w:val="00853550"/>
    <w:rsid w:val="00857A8A"/>
    <w:rsid w:val="008630EE"/>
    <w:rsid w:val="00864D13"/>
    <w:rsid w:val="00871CD5"/>
    <w:rsid w:val="008745A2"/>
    <w:rsid w:val="008768A8"/>
    <w:rsid w:val="00883A56"/>
    <w:rsid w:val="00886CE0"/>
    <w:rsid w:val="0088798F"/>
    <w:rsid w:val="00887E4B"/>
    <w:rsid w:val="008915C8"/>
    <w:rsid w:val="008A35DB"/>
    <w:rsid w:val="008A36CF"/>
    <w:rsid w:val="008A3BC4"/>
    <w:rsid w:val="008A681C"/>
    <w:rsid w:val="008B403C"/>
    <w:rsid w:val="008B7983"/>
    <w:rsid w:val="008C2511"/>
    <w:rsid w:val="008C71FF"/>
    <w:rsid w:val="008D026D"/>
    <w:rsid w:val="008D23AB"/>
    <w:rsid w:val="008D4B8B"/>
    <w:rsid w:val="008D5A78"/>
    <w:rsid w:val="008D699E"/>
    <w:rsid w:val="008E4F1F"/>
    <w:rsid w:val="008E7B64"/>
    <w:rsid w:val="008F5DCD"/>
    <w:rsid w:val="00900951"/>
    <w:rsid w:val="009118A6"/>
    <w:rsid w:val="00916909"/>
    <w:rsid w:val="00916EC0"/>
    <w:rsid w:val="00920467"/>
    <w:rsid w:val="00920818"/>
    <w:rsid w:val="00921DE7"/>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6402B"/>
    <w:rsid w:val="0096528B"/>
    <w:rsid w:val="00970B13"/>
    <w:rsid w:val="00974F2D"/>
    <w:rsid w:val="00977524"/>
    <w:rsid w:val="00977E88"/>
    <w:rsid w:val="0098307E"/>
    <w:rsid w:val="00984920"/>
    <w:rsid w:val="0099303A"/>
    <w:rsid w:val="009971C2"/>
    <w:rsid w:val="009A04D7"/>
    <w:rsid w:val="009A1254"/>
    <w:rsid w:val="009A5458"/>
    <w:rsid w:val="009B2FF2"/>
    <w:rsid w:val="009B380C"/>
    <w:rsid w:val="009B4843"/>
    <w:rsid w:val="009B6543"/>
    <w:rsid w:val="009C175C"/>
    <w:rsid w:val="009C199D"/>
    <w:rsid w:val="009C278F"/>
    <w:rsid w:val="009C2B94"/>
    <w:rsid w:val="009C33C7"/>
    <w:rsid w:val="009C37E8"/>
    <w:rsid w:val="009C5874"/>
    <w:rsid w:val="009D3B5A"/>
    <w:rsid w:val="009E0C05"/>
    <w:rsid w:val="009E0D1C"/>
    <w:rsid w:val="009E2214"/>
    <w:rsid w:val="009E355A"/>
    <w:rsid w:val="009E63E2"/>
    <w:rsid w:val="009E73CE"/>
    <w:rsid w:val="009F04D2"/>
    <w:rsid w:val="009F05CF"/>
    <w:rsid w:val="009F0F3A"/>
    <w:rsid w:val="00A01D0C"/>
    <w:rsid w:val="00A0643F"/>
    <w:rsid w:val="00A067EE"/>
    <w:rsid w:val="00A10FCE"/>
    <w:rsid w:val="00A156FA"/>
    <w:rsid w:val="00A15B37"/>
    <w:rsid w:val="00A1603B"/>
    <w:rsid w:val="00A16D91"/>
    <w:rsid w:val="00A174CC"/>
    <w:rsid w:val="00A2073D"/>
    <w:rsid w:val="00A20751"/>
    <w:rsid w:val="00A26A84"/>
    <w:rsid w:val="00A27E2D"/>
    <w:rsid w:val="00A3108F"/>
    <w:rsid w:val="00A31D99"/>
    <w:rsid w:val="00A357BA"/>
    <w:rsid w:val="00A35A72"/>
    <w:rsid w:val="00A35ADC"/>
    <w:rsid w:val="00A402A3"/>
    <w:rsid w:val="00A52059"/>
    <w:rsid w:val="00A53681"/>
    <w:rsid w:val="00A633D4"/>
    <w:rsid w:val="00A6461A"/>
    <w:rsid w:val="00A7474C"/>
    <w:rsid w:val="00A8056A"/>
    <w:rsid w:val="00A84504"/>
    <w:rsid w:val="00A8672F"/>
    <w:rsid w:val="00A929F1"/>
    <w:rsid w:val="00A93057"/>
    <w:rsid w:val="00A968B0"/>
    <w:rsid w:val="00AB2672"/>
    <w:rsid w:val="00AB2817"/>
    <w:rsid w:val="00AB43C4"/>
    <w:rsid w:val="00AB783F"/>
    <w:rsid w:val="00AC32E7"/>
    <w:rsid w:val="00AC3A9F"/>
    <w:rsid w:val="00AC6D2F"/>
    <w:rsid w:val="00AE2745"/>
    <w:rsid w:val="00AE2F64"/>
    <w:rsid w:val="00AE4640"/>
    <w:rsid w:val="00AF42CB"/>
    <w:rsid w:val="00AF483F"/>
    <w:rsid w:val="00AF5E07"/>
    <w:rsid w:val="00AF5F06"/>
    <w:rsid w:val="00B00A25"/>
    <w:rsid w:val="00B07299"/>
    <w:rsid w:val="00B11410"/>
    <w:rsid w:val="00B1422A"/>
    <w:rsid w:val="00B1765C"/>
    <w:rsid w:val="00B213C4"/>
    <w:rsid w:val="00B214ED"/>
    <w:rsid w:val="00B26E11"/>
    <w:rsid w:val="00B35557"/>
    <w:rsid w:val="00B40C60"/>
    <w:rsid w:val="00B43AD5"/>
    <w:rsid w:val="00B479A9"/>
    <w:rsid w:val="00B5025F"/>
    <w:rsid w:val="00B52EDF"/>
    <w:rsid w:val="00B568DB"/>
    <w:rsid w:val="00B71188"/>
    <w:rsid w:val="00B74D34"/>
    <w:rsid w:val="00B76A41"/>
    <w:rsid w:val="00B80786"/>
    <w:rsid w:val="00B8332A"/>
    <w:rsid w:val="00B87D4C"/>
    <w:rsid w:val="00B931EF"/>
    <w:rsid w:val="00B93646"/>
    <w:rsid w:val="00BA0B38"/>
    <w:rsid w:val="00BA1DBB"/>
    <w:rsid w:val="00BA4510"/>
    <w:rsid w:val="00BA529A"/>
    <w:rsid w:val="00BB32EE"/>
    <w:rsid w:val="00BB612A"/>
    <w:rsid w:val="00BD499F"/>
    <w:rsid w:val="00BD56DE"/>
    <w:rsid w:val="00BD708E"/>
    <w:rsid w:val="00BF2406"/>
    <w:rsid w:val="00BF2CF7"/>
    <w:rsid w:val="00BF4DB8"/>
    <w:rsid w:val="00C02131"/>
    <w:rsid w:val="00C057B9"/>
    <w:rsid w:val="00C06E43"/>
    <w:rsid w:val="00C16315"/>
    <w:rsid w:val="00C20FBC"/>
    <w:rsid w:val="00C3091E"/>
    <w:rsid w:val="00C40FF1"/>
    <w:rsid w:val="00C419E2"/>
    <w:rsid w:val="00C5020E"/>
    <w:rsid w:val="00C57452"/>
    <w:rsid w:val="00C61EDF"/>
    <w:rsid w:val="00C6239D"/>
    <w:rsid w:val="00C6594B"/>
    <w:rsid w:val="00C67FFB"/>
    <w:rsid w:val="00C7155E"/>
    <w:rsid w:val="00C71D1E"/>
    <w:rsid w:val="00C71D7D"/>
    <w:rsid w:val="00C72577"/>
    <w:rsid w:val="00C74833"/>
    <w:rsid w:val="00C850A0"/>
    <w:rsid w:val="00C85A86"/>
    <w:rsid w:val="00C90996"/>
    <w:rsid w:val="00C978F0"/>
    <w:rsid w:val="00CA2B4F"/>
    <w:rsid w:val="00CA58FE"/>
    <w:rsid w:val="00CB1CB1"/>
    <w:rsid w:val="00CB2A8F"/>
    <w:rsid w:val="00CB6BC1"/>
    <w:rsid w:val="00CB6CB8"/>
    <w:rsid w:val="00CC1A68"/>
    <w:rsid w:val="00CC2123"/>
    <w:rsid w:val="00CD19B3"/>
    <w:rsid w:val="00CD2BFD"/>
    <w:rsid w:val="00CE5AD6"/>
    <w:rsid w:val="00CE617F"/>
    <w:rsid w:val="00CE78EF"/>
    <w:rsid w:val="00CF13A7"/>
    <w:rsid w:val="00CF26BE"/>
    <w:rsid w:val="00D048F7"/>
    <w:rsid w:val="00D0517E"/>
    <w:rsid w:val="00D140FC"/>
    <w:rsid w:val="00D21D8C"/>
    <w:rsid w:val="00D31357"/>
    <w:rsid w:val="00D33220"/>
    <w:rsid w:val="00D334D1"/>
    <w:rsid w:val="00D42812"/>
    <w:rsid w:val="00D44C89"/>
    <w:rsid w:val="00D516CD"/>
    <w:rsid w:val="00D63D1C"/>
    <w:rsid w:val="00D668E6"/>
    <w:rsid w:val="00D70670"/>
    <w:rsid w:val="00D74D80"/>
    <w:rsid w:val="00D76624"/>
    <w:rsid w:val="00D76E6C"/>
    <w:rsid w:val="00D87570"/>
    <w:rsid w:val="00D91CB9"/>
    <w:rsid w:val="00D97989"/>
    <w:rsid w:val="00D97D8D"/>
    <w:rsid w:val="00DA352E"/>
    <w:rsid w:val="00DC7694"/>
    <w:rsid w:val="00DD1BF6"/>
    <w:rsid w:val="00DD2F9B"/>
    <w:rsid w:val="00DE2513"/>
    <w:rsid w:val="00DE26E8"/>
    <w:rsid w:val="00DF6F36"/>
    <w:rsid w:val="00E0084C"/>
    <w:rsid w:val="00E025AB"/>
    <w:rsid w:val="00E02B23"/>
    <w:rsid w:val="00E06F40"/>
    <w:rsid w:val="00E07CE8"/>
    <w:rsid w:val="00E1315C"/>
    <w:rsid w:val="00E131ED"/>
    <w:rsid w:val="00E26A07"/>
    <w:rsid w:val="00E32595"/>
    <w:rsid w:val="00E37CFD"/>
    <w:rsid w:val="00E41A26"/>
    <w:rsid w:val="00E45586"/>
    <w:rsid w:val="00E46BCB"/>
    <w:rsid w:val="00E50F47"/>
    <w:rsid w:val="00E51CAF"/>
    <w:rsid w:val="00E60F04"/>
    <w:rsid w:val="00E62AAC"/>
    <w:rsid w:val="00E63104"/>
    <w:rsid w:val="00E67C2F"/>
    <w:rsid w:val="00E67EF5"/>
    <w:rsid w:val="00E72E7D"/>
    <w:rsid w:val="00E7601D"/>
    <w:rsid w:val="00E804EA"/>
    <w:rsid w:val="00E80A71"/>
    <w:rsid w:val="00E82337"/>
    <w:rsid w:val="00E92499"/>
    <w:rsid w:val="00E949AF"/>
    <w:rsid w:val="00E96077"/>
    <w:rsid w:val="00EA0A06"/>
    <w:rsid w:val="00EA6243"/>
    <w:rsid w:val="00EA74AB"/>
    <w:rsid w:val="00EB3D1B"/>
    <w:rsid w:val="00ED1D89"/>
    <w:rsid w:val="00ED57DA"/>
    <w:rsid w:val="00ED66BC"/>
    <w:rsid w:val="00EF233A"/>
    <w:rsid w:val="00EF303E"/>
    <w:rsid w:val="00EF3A40"/>
    <w:rsid w:val="00EF7F78"/>
    <w:rsid w:val="00F01B08"/>
    <w:rsid w:val="00F01C4D"/>
    <w:rsid w:val="00F053FA"/>
    <w:rsid w:val="00F10C97"/>
    <w:rsid w:val="00F11C71"/>
    <w:rsid w:val="00F16019"/>
    <w:rsid w:val="00F20E68"/>
    <w:rsid w:val="00F22093"/>
    <w:rsid w:val="00F236DF"/>
    <w:rsid w:val="00F43AD5"/>
    <w:rsid w:val="00F4402E"/>
    <w:rsid w:val="00F56DD0"/>
    <w:rsid w:val="00F61B45"/>
    <w:rsid w:val="00F61BD8"/>
    <w:rsid w:val="00F62189"/>
    <w:rsid w:val="00F63543"/>
    <w:rsid w:val="00F6491C"/>
    <w:rsid w:val="00F66D24"/>
    <w:rsid w:val="00F67BBB"/>
    <w:rsid w:val="00F8236A"/>
    <w:rsid w:val="00F87D92"/>
    <w:rsid w:val="00F90AA7"/>
    <w:rsid w:val="00F92498"/>
    <w:rsid w:val="00F9496B"/>
    <w:rsid w:val="00F970C9"/>
    <w:rsid w:val="00FA06A8"/>
    <w:rsid w:val="00FA3DF5"/>
    <w:rsid w:val="00FA741F"/>
    <w:rsid w:val="00FB4E07"/>
    <w:rsid w:val="00FB6D59"/>
    <w:rsid w:val="00FB755A"/>
    <w:rsid w:val="00FC60A2"/>
    <w:rsid w:val="00FD1871"/>
    <w:rsid w:val="00FD3110"/>
    <w:rsid w:val="00FE211C"/>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58E4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046216"/>
    <w:rPr>
      <w:sz w:val="16"/>
      <w:szCs w:val="16"/>
    </w:rPr>
  </w:style>
  <w:style w:type="paragraph" w:styleId="CommentText">
    <w:name w:val="annotation text"/>
    <w:basedOn w:val="Normal"/>
    <w:link w:val="CommentTextChar"/>
    <w:uiPriority w:val="99"/>
    <w:semiHidden/>
    <w:unhideWhenUsed/>
    <w:rsid w:val="00046216"/>
    <w:pPr>
      <w:spacing w:line="240" w:lineRule="auto"/>
    </w:pPr>
    <w:rPr>
      <w:szCs w:val="20"/>
    </w:rPr>
  </w:style>
  <w:style w:type="character" w:customStyle="1" w:styleId="CommentTextChar">
    <w:name w:val="Comment Text Char"/>
    <w:basedOn w:val="DefaultParagraphFont"/>
    <w:link w:val="CommentText"/>
    <w:uiPriority w:val="99"/>
    <w:semiHidden/>
    <w:rsid w:val="00046216"/>
    <w:rPr>
      <w:szCs w:val="20"/>
    </w:rPr>
  </w:style>
  <w:style w:type="paragraph" w:styleId="CommentSubject">
    <w:name w:val="annotation subject"/>
    <w:basedOn w:val="CommentText"/>
    <w:next w:val="CommentText"/>
    <w:link w:val="CommentSubjectChar"/>
    <w:uiPriority w:val="99"/>
    <w:semiHidden/>
    <w:unhideWhenUsed/>
    <w:rsid w:val="005C680E"/>
    <w:rPr>
      <w:b/>
      <w:bCs/>
    </w:rPr>
  </w:style>
  <w:style w:type="character" w:customStyle="1" w:styleId="CommentSubjectChar">
    <w:name w:val="Comment Subject Char"/>
    <w:basedOn w:val="CommentTextChar"/>
    <w:link w:val="CommentSubject"/>
    <w:uiPriority w:val="99"/>
    <w:semiHidden/>
    <w:rsid w:val="005C680E"/>
    <w:rPr>
      <w:b/>
      <w:bCs/>
      <w:szCs w:val="20"/>
    </w:rPr>
  </w:style>
  <w:style w:type="paragraph" w:styleId="ListBullet">
    <w:name w:val="List Bullet"/>
    <w:basedOn w:val="Normal"/>
    <w:uiPriority w:val="99"/>
    <w:unhideWhenUsed/>
    <w:rsid w:val="001B0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1960">
      <w:bodyDiv w:val="1"/>
      <w:marLeft w:val="0"/>
      <w:marRight w:val="0"/>
      <w:marTop w:val="0"/>
      <w:marBottom w:val="0"/>
      <w:divBdr>
        <w:top w:val="none" w:sz="0" w:space="0" w:color="auto"/>
        <w:left w:val="none" w:sz="0" w:space="0" w:color="auto"/>
        <w:bottom w:val="none" w:sz="0" w:space="0" w:color="auto"/>
        <w:right w:val="none" w:sz="0" w:space="0" w:color="auto"/>
      </w:divBdr>
    </w:div>
    <w:div w:id="241528626">
      <w:bodyDiv w:val="1"/>
      <w:marLeft w:val="0"/>
      <w:marRight w:val="0"/>
      <w:marTop w:val="0"/>
      <w:marBottom w:val="0"/>
      <w:divBdr>
        <w:top w:val="none" w:sz="0" w:space="0" w:color="auto"/>
        <w:left w:val="none" w:sz="0" w:space="0" w:color="auto"/>
        <w:bottom w:val="none" w:sz="0" w:space="0" w:color="auto"/>
        <w:right w:val="none" w:sz="0" w:space="0" w:color="auto"/>
      </w:divBdr>
    </w:div>
    <w:div w:id="1034769572">
      <w:bodyDiv w:val="1"/>
      <w:marLeft w:val="0"/>
      <w:marRight w:val="0"/>
      <w:marTop w:val="0"/>
      <w:marBottom w:val="0"/>
      <w:divBdr>
        <w:top w:val="none" w:sz="0" w:space="0" w:color="auto"/>
        <w:left w:val="none" w:sz="0" w:space="0" w:color="auto"/>
        <w:bottom w:val="none" w:sz="0" w:space="0" w:color="auto"/>
        <w:right w:val="none" w:sz="0" w:space="0" w:color="auto"/>
      </w:divBdr>
    </w:div>
    <w:div w:id="1283268101">
      <w:bodyDiv w:val="1"/>
      <w:marLeft w:val="0"/>
      <w:marRight w:val="0"/>
      <w:marTop w:val="0"/>
      <w:marBottom w:val="0"/>
      <w:divBdr>
        <w:top w:val="none" w:sz="0" w:space="0" w:color="auto"/>
        <w:left w:val="none" w:sz="0" w:space="0" w:color="auto"/>
        <w:bottom w:val="none" w:sz="0" w:space="0" w:color="auto"/>
        <w:right w:val="none" w:sz="0" w:space="0" w:color="auto"/>
      </w:divBdr>
    </w:div>
    <w:div w:id="1495144394">
      <w:bodyDiv w:val="1"/>
      <w:marLeft w:val="0"/>
      <w:marRight w:val="0"/>
      <w:marTop w:val="0"/>
      <w:marBottom w:val="0"/>
      <w:divBdr>
        <w:top w:val="none" w:sz="0" w:space="0" w:color="auto"/>
        <w:left w:val="none" w:sz="0" w:space="0" w:color="auto"/>
        <w:bottom w:val="none" w:sz="0" w:space="0" w:color="auto"/>
        <w:right w:val="none" w:sz="0" w:space="0" w:color="auto"/>
      </w:divBdr>
    </w:div>
    <w:div w:id="1902791370">
      <w:bodyDiv w:val="1"/>
      <w:marLeft w:val="0"/>
      <w:marRight w:val="0"/>
      <w:marTop w:val="0"/>
      <w:marBottom w:val="0"/>
      <w:divBdr>
        <w:top w:val="none" w:sz="0" w:space="0" w:color="auto"/>
        <w:left w:val="none" w:sz="0" w:space="0" w:color="auto"/>
        <w:bottom w:val="none" w:sz="0" w:space="0" w:color="auto"/>
        <w:right w:val="none" w:sz="0" w:space="0" w:color="auto"/>
      </w:divBdr>
    </w:div>
    <w:div w:id="1923374319">
      <w:bodyDiv w:val="1"/>
      <w:marLeft w:val="0"/>
      <w:marRight w:val="0"/>
      <w:marTop w:val="0"/>
      <w:marBottom w:val="0"/>
      <w:divBdr>
        <w:top w:val="none" w:sz="0" w:space="0" w:color="auto"/>
        <w:left w:val="none" w:sz="0" w:space="0" w:color="auto"/>
        <w:bottom w:val="none" w:sz="0" w:space="0" w:color="auto"/>
        <w:right w:val="none" w:sz="0" w:space="0" w:color="auto"/>
      </w:divBdr>
    </w:div>
    <w:div w:id="1952932352">
      <w:bodyDiv w:val="1"/>
      <w:marLeft w:val="0"/>
      <w:marRight w:val="0"/>
      <w:marTop w:val="0"/>
      <w:marBottom w:val="0"/>
      <w:divBdr>
        <w:top w:val="none" w:sz="0" w:space="0" w:color="auto"/>
        <w:left w:val="none" w:sz="0" w:space="0" w:color="auto"/>
        <w:bottom w:val="none" w:sz="0" w:space="0" w:color="auto"/>
        <w:right w:val="none" w:sz="0" w:space="0" w:color="auto"/>
      </w:divBdr>
    </w:div>
    <w:div w:id="21228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CD6E93" w:rsidRDefault="00CA72D3" w:rsidP="00CA72D3">
          <w:pPr>
            <w:pStyle w:val="DA2FFE9CEF2D415F9F59B567F352ED2C"/>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347D16"/>
    <w:rsid w:val="003E0149"/>
    <w:rsid w:val="006B0FEB"/>
    <w:rsid w:val="00710CA9"/>
    <w:rsid w:val="00755FBF"/>
    <w:rsid w:val="0076158C"/>
    <w:rsid w:val="00CA72D3"/>
    <w:rsid w:val="00CD6E93"/>
    <w:rsid w:val="00CF0EE4"/>
    <w:rsid w:val="00D21A9F"/>
    <w:rsid w:val="00F26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EE4"/>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 w:type="paragraph" w:customStyle="1" w:styleId="6B5633321F504DB4A44C5F7FCC3BA170">
    <w:name w:val="6B5633321F504DB4A44C5F7FCC3BA170"/>
    <w:rsid w:val="00CF0EE4"/>
  </w:style>
  <w:style w:type="paragraph" w:customStyle="1" w:styleId="CC8EC8FCCBFF4435AB88716212DC227E">
    <w:name w:val="CC8EC8FCCBFF4435AB88716212DC227E"/>
    <w:rsid w:val="00CF0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440B83D59604CAF872C6C0778D4EE" ma:contentTypeVersion="4" ma:contentTypeDescription="Create a new document." ma:contentTypeScope="" ma:versionID="13b51b7518afb46499292cdac2b630da">
  <xsd:schema xmlns:xsd="http://www.w3.org/2001/XMLSchema" xmlns:xs="http://www.w3.org/2001/XMLSchema" xmlns:p="http://schemas.microsoft.com/office/2006/metadata/properties" xmlns:ns2="4d89c9d3-cf9d-4152-ac9f-ad3059f15688" targetNamespace="http://schemas.microsoft.com/office/2006/metadata/properties" ma:root="true" ma:fieldsID="328df578f351ff0db5c2ec2ce4235965" ns2:_="">
    <xsd:import namespace="4d89c9d3-cf9d-4152-ac9f-ad3059f15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9c9d3-cf9d-4152-ac9f-ad3059f15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7AD2-B0F3-4F3B-BDB9-083BF4B30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9c9d3-cf9d-4152-ac9f-ad3059f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B7890-654A-494A-844B-2E902A03E47C}">
  <ds:schemaRefs>
    <ds:schemaRef ds:uri="http://schemas.microsoft.com/sharepoint/v3/contenttype/forms"/>
  </ds:schemaRefs>
</ds:datastoreItem>
</file>

<file path=customXml/itemProps3.xml><?xml version="1.0" encoding="utf-8"?>
<ds:datastoreItem xmlns:ds="http://schemas.openxmlformats.org/officeDocument/2006/customXml" ds:itemID="{4C79A248-5190-4933-9663-F652F0EB42F5}">
  <ds:schemaRefs>
    <ds:schemaRef ds:uri="http://purl.org/dc/terms/"/>
    <ds:schemaRef ds:uri="http://schemas.microsoft.com/office/2006/documentManagement/types"/>
    <ds:schemaRef ds:uri="http://purl.org/dc/dcmitype/"/>
    <ds:schemaRef ds:uri="4d89c9d3-cf9d-4152-ac9f-ad3059f15688"/>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D403468F-5B3B-4AE4-862A-A7B6ACFF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2020-06-11T02:46:00Z</dcterms:created>
  <dcterms:modified xsi:type="dcterms:W3CDTF">2020-07-21T00:18:00Z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0x010100ED8440B83D59604CAF872C6C0778D4EE</vt:lpwstr>
  </property>
</Properties>
</file>