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22A7309" w14:textId="77777777" w:rsidR="00BD499F" w:rsidRPr="004C23F4" w:rsidRDefault="00187820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p-nitroaniline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0"/>
        <w:gridCol w:w="5046"/>
      </w:tblGrid>
      <w:tr w:rsidR="00F43AD5" w:rsidRPr="004C23F4" w14:paraId="20FB450D" w14:textId="77777777" w:rsidTr="00B76A41">
        <w:trPr>
          <w:cantSplit/>
          <w:tblHeader/>
        </w:trPr>
        <w:tc>
          <w:tcPr>
            <w:tcW w:w="4077" w:type="dxa"/>
          </w:tcPr>
          <w:p w14:paraId="118C0234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33D47E0" w14:textId="77777777" w:rsidR="00F43AD5" w:rsidRPr="00717D45" w:rsidRDefault="00187820" w:rsidP="00B76A41">
            <w:pPr>
              <w:pStyle w:val="Tablefont"/>
            </w:pPr>
            <w:r w:rsidRPr="00187820">
              <w:t>100-01-6</w:t>
            </w:r>
          </w:p>
        </w:tc>
      </w:tr>
      <w:tr w:rsidR="00F43AD5" w:rsidRPr="001461E2" w14:paraId="0DCB4AD3" w14:textId="77777777" w:rsidTr="00B76A41">
        <w:trPr>
          <w:cantSplit/>
        </w:trPr>
        <w:tc>
          <w:tcPr>
            <w:tcW w:w="4077" w:type="dxa"/>
          </w:tcPr>
          <w:p w14:paraId="6294D40B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2979F6A" w14:textId="77777777" w:rsidR="00F43AD5" w:rsidRPr="002013EC" w:rsidRDefault="00187820" w:rsidP="00B76A41">
            <w:pPr>
              <w:pStyle w:val="Tablefont"/>
              <w:rPr>
                <w:lang w:val="it-IT"/>
              </w:rPr>
            </w:pPr>
            <w:r w:rsidRPr="002013EC">
              <w:rPr>
                <w:lang w:val="it-IT"/>
              </w:rPr>
              <w:t>1-Amino-4-nitrobenzene</w:t>
            </w:r>
            <w:r w:rsidR="007613C7" w:rsidRPr="002013EC">
              <w:rPr>
                <w:lang w:val="it-IT"/>
              </w:rPr>
              <w:t>, 4-n</w:t>
            </w:r>
            <w:r w:rsidRPr="002013EC">
              <w:rPr>
                <w:lang w:val="it-IT"/>
              </w:rPr>
              <w:t>itroaniline</w:t>
            </w:r>
            <w:r w:rsidR="007613C7" w:rsidRPr="002013EC">
              <w:rPr>
                <w:lang w:val="it-IT"/>
              </w:rPr>
              <w:t>, azoic diazo component 37 (C.I. 37035), developer 17, benzeneamine,4-nitro</w:t>
            </w:r>
          </w:p>
        </w:tc>
      </w:tr>
      <w:tr w:rsidR="00F43AD5" w:rsidRPr="004C23F4" w14:paraId="347A1A7F" w14:textId="77777777" w:rsidTr="00B76A41">
        <w:trPr>
          <w:cantSplit/>
        </w:trPr>
        <w:tc>
          <w:tcPr>
            <w:tcW w:w="4077" w:type="dxa"/>
          </w:tcPr>
          <w:p w14:paraId="4B0245AA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1376067" w14:textId="77777777" w:rsidR="00F43AD5" w:rsidRPr="00717D45" w:rsidRDefault="00A47979" w:rsidP="00B76A41">
            <w:pPr>
              <w:pStyle w:val="Tablefont"/>
            </w:pPr>
            <w:r w:rsidRPr="00A47979">
              <w:t>C</w:t>
            </w:r>
            <w:r w:rsidRPr="00A47979">
              <w:rPr>
                <w:vertAlign w:val="subscript"/>
              </w:rPr>
              <w:t>6</w:t>
            </w:r>
            <w:r w:rsidRPr="00A47979">
              <w:t>H</w:t>
            </w:r>
            <w:r w:rsidRPr="00A47979">
              <w:rPr>
                <w:vertAlign w:val="subscript"/>
              </w:rPr>
              <w:t>6</w:t>
            </w:r>
            <w:r w:rsidRPr="00A47979">
              <w:t>N</w:t>
            </w:r>
            <w:r w:rsidRPr="00A47979">
              <w:rPr>
                <w:vertAlign w:val="subscript"/>
              </w:rPr>
              <w:t>2</w:t>
            </w:r>
            <w:r w:rsidRPr="00A47979">
              <w:t>O</w:t>
            </w:r>
            <w:r w:rsidRPr="00A47979">
              <w:rPr>
                <w:vertAlign w:val="subscript"/>
              </w:rPr>
              <w:t>2</w:t>
            </w:r>
          </w:p>
        </w:tc>
      </w:tr>
      <w:tr w:rsidR="00F43AD5" w:rsidRPr="004C23F4" w14:paraId="5C77E1F1" w14:textId="77777777" w:rsidTr="00B76A41">
        <w:trPr>
          <w:cantSplit/>
        </w:trPr>
        <w:tc>
          <w:tcPr>
            <w:tcW w:w="4077" w:type="dxa"/>
          </w:tcPr>
          <w:p w14:paraId="4B575420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0432F3B" w14:textId="77777777" w:rsidR="00F43AD5" w:rsidRPr="00B40C60" w:rsidRDefault="0036165D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E23CFF6" w14:textId="7921D09F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33511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4DF2EBEA" w14:textId="77777777" w:rsidTr="0036165D">
        <w:trPr>
          <w:cantSplit/>
          <w:tblHeader/>
        </w:trPr>
        <w:tc>
          <w:tcPr>
            <w:tcW w:w="4010" w:type="dxa"/>
            <w:vAlign w:val="center"/>
          </w:tcPr>
          <w:p w14:paraId="3EEE0269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BDF3B4E" w14:textId="66436E82" w:rsidR="002C7AFE" w:rsidRPr="00EB3D1B" w:rsidRDefault="00133511" w:rsidP="00017C82">
            <w:pPr>
              <w:pStyle w:val="Tablefont"/>
              <w:rPr>
                <w:b/>
              </w:rPr>
            </w:pPr>
            <w:r w:rsidRPr="00133511">
              <w:rPr>
                <w:b/>
              </w:rPr>
              <w:t>3 mg/m</w:t>
            </w:r>
            <w:r w:rsidRPr="00133511">
              <w:rPr>
                <w:b/>
                <w:vertAlign w:val="superscript"/>
              </w:rPr>
              <w:t>3</w:t>
            </w:r>
          </w:p>
        </w:tc>
      </w:tr>
      <w:tr w:rsidR="0036165D" w:rsidRPr="004C23F4" w14:paraId="62EACD96" w14:textId="77777777" w:rsidTr="0036165D">
        <w:trPr>
          <w:cantSplit/>
        </w:trPr>
        <w:tc>
          <w:tcPr>
            <w:tcW w:w="4010" w:type="dxa"/>
            <w:vAlign w:val="center"/>
          </w:tcPr>
          <w:p w14:paraId="7B513BE8" w14:textId="77777777" w:rsidR="0036165D" w:rsidRPr="002C58FF" w:rsidRDefault="0036165D" w:rsidP="0036165D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674338E" w14:textId="77777777" w:rsidR="0036165D" w:rsidRPr="008B6595" w:rsidRDefault="0036165D" w:rsidP="0036165D">
            <w:pPr>
              <w:pStyle w:val="Tablefont"/>
              <w:rPr>
                <w:b/>
              </w:rPr>
            </w:pPr>
            <w:r w:rsidRPr="008B6595">
              <w:rPr>
                <w:b/>
              </w:rPr>
              <w:t>—</w:t>
            </w:r>
          </w:p>
        </w:tc>
      </w:tr>
      <w:tr w:rsidR="0036165D" w:rsidRPr="004C23F4" w14:paraId="58507C31" w14:textId="77777777" w:rsidTr="0036165D">
        <w:trPr>
          <w:cantSplit/>
        </w:trPr>
        <w:tc>
          <w:tcPr>
            <w:tcW w:w="4010" w:type="dxa"/>
            <w:vAlign w:val="center"/>
          </w:tcPr>
          <w:p w14:paraId="64DDEF32" w14:textId="77777777" w:rsidR="0036165D" w:rsidRPr="002C58FF" w:rsidRDefault="0036165D" w:rsidP="0036165D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312E4D19" w14:textId="77777777" w:rsidR="0036165D" w:rsidRPr="008B6595" w:rsidRDefault="0036165D" w:rsidP="0036165D">
            <w:pPr>
              <w:pStyle w:val="Tablefont"/>
              <w:rPr>
                <w:b/>
              </w:rPr>
            </w:pPr>
            <w:r w:rsidRPr="008B6595">
              <w:rPr>
                <w:b/>
              </w:rPr>
              <w:t>—</w:t>
            </w:r>
          </w:p>
        </w:tc>
      </w:tr>
      <w:tr w:rsidR="0036165D" w:rsidRPr="004C23F4" w14:paraId="1AD19A69" w14:textId="77777777" w:rsidTr="0036165D">
        <w:trPr>
          <w:cantSplit/>
        </w:trPr>
        <w:tc>
          <w:tcPr>
            <w:tcW w:w="4010" w:type="dxa"/>
          </w:tcPr>
          <w:p w14:paraId="22B941EA" w14:textId="77777777" w:rsidR="0036165D" w:rsidRPr="002C58FF" w:rsidRDefault="0036165D" w:rsidP="0036165D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382266E1" w14:textId="4E878417" w:rsidR="0036165D" w:rsidRPr="008B6595" w:rsidRDefault="00A04C78" w:rsidP="0036165D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36165D" w:rsidRPr="004C23F4" w14:paraId="345B5B80" w14:textId="77777777" w:rsidTr="0036165D">
        <w:trPr>
          <w:cantSplit/>
        </w:trPr>
        <w:tc>
          <w:tcPr>
            <w:tcW w:w="4010" w:type="dxa"/>
            <w:vAlign w:val="center"/>
          </w:tcPr>
          <w:p w14:paraId="761D6B5C" w14:textId="77777777" w:rsidR="0036165D" w:rsidRPr="002C58FF" w:rsidRDefault="0036165D" w:rsidP="0036165D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61AC919F" w14:textId="77777777" w:rsidR="0036165D" w:rsidRPr="00EB3D1B" w:rsidRDefault="002F3A51" w:rsidP="0036165D">
            <w:pPr>
              <w:pStyle w:val="Tablefont"/>
              <w:rPr>
                <w:b/>
              </w:rPr>
            </w:pPr>
            <w:r>
              <w:rPr>
                <w:b/>
              </w:rPr>
              <w:t>300 mg/m</w:t>
            </w:r>
            <w:r w:rsidRPr="002F3A51">
              <w:rPr>
                <w:b/>
                <w:vertAlign w:val="superscript"/>
              </w:rPr>
              <w:t>3</w:t>
            </w:r>
          </w:p>
        </w:tc>
      </w:tr>
      <w:tr w:rsidR="005C64B6" w:rsidRPr="004C23F4" w14:paraId="4740130B" w14:textId="77777777" w:rsidTr="001D2D3E">
        <w:trPr>
          <w:cantSplit/>
        </w:trPr>
        <w:tc>
          <w:tcPr>
            <w:tcW w:w="9026" w:type="dxa"/>
            <w:gridSpan w:val="2"/>
            <w:vAlign w:val="center"/>
          </w:tcPr>
          <w:p w14:paraId="29A5587A" w14:textId="1127971E" w:rsidR="005C64B6" w:rsidRPr="00EB3D1B" w:rsidRDefault="005C64B6" w:rsidP="0036165D">
            <w:pPr>
              <w:pStyle w:val="Tablefont"/>
              <w:rPr>
                <w:b/>
              </w:rPr>
            </w:pPr>
            <w:r w:rsidRPr="009F0074">
              <w:rPr>
                <w:b/>
              </w:rPr>
              <w:t>Sampling and analysis:</w:t>
            </w:r>
            <w: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F46345786B0F4EE1B7BD6F83F16C232E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9F3FC1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002754DB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FEF1073" w14:textId="2C4A2538" w:rsidR="006639B4" w:rsidRPr="004C23F4" w:rsidRDefault="00133511" w:rsidP="000C139A">
      <w:pPr>
        <w:rPr>
          <w:rFonts w:cs="Arial"/>
        </w:rPr>
      </w:pPr>
      <w:r w:rsidRPr="00133511">
        <w:rPr>
          <w:rFonts w:cs="Arial"/>
        </w:rPr>
        <w:t xml:space="preserve">A TWA of </w:t>
      </w:r>
      <w:r>
        <w:rPr>
          <w:rFonts w:cs="Arial"/>
        </w:rPr>
        <w:t xml:space="preserve">3 </w:t>
      </w:r>
      <w:r w:rsidRPr="00133511">
        <w:rPr>
          <w:rFonts w:cs="Arial"/>
        </w:rPr>
        <w:t>mg/m</w:t>
      </w:r>
      <w:r w:rsidRPr="00133511">
        <w:rPr>
          <w:rFonts w:cs="Arial"/>
          <w:vertAlign w:val="superscript"/>
        </w:rPr>
        <w:t>3</w:t>
      </w:r>
      <w:r w:rsidRPr="00133511">
        <w:rPr>
          <w:rFonts w:cs="Arial"/>
        </w:rPr>
        <w:t xml:space="preserve"> is recommended to protect for </w:t>
      </w:r>
      <w:r w:rsidR="009E425D">
        <w:t>elevated blood methaemoglobin</w:t>
      </w:r>
      <w:r w:rsidRPr="00133511">
        <w:rPr>
          <w:rFonts w:cs="Arial"/>
        </w:rPr>
        <w:t xml:space="preserve"> and </w:t>
      </w:r>
      <w:r w:rsidR="005C64B6">
        <w:rPr>
          <w:rFonts w:cs="Arial"/>
        </w:rPr>
        <w:t>liver effects</w:t>
      </w:r>
      <w:r w:rsidRPr="00133511">
        <w:rPr>
          <w:rFonts w:cs="Arial"/>
        </w:rPr>
        <w:t xml:space="preserve"> in exposed workers</w:t>
      </w:r>
      <w:r w:rsidR="009E425D">
        <w:rPr>
          <w:rFonts w:cs="Arial"/>
        </w:rPr>
        <w:t>.</w:t>
      </w:r>
    </w:p>
    <w:p w14:paraId="11570325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DFF4717" w14:textId="494E94F2" w:rsidR="002013EC" w:rsidRDefault="00EB6116" w:rsidP="006639B4">
      <w:r w:rsidRPr="00A04C78">
        <w:rPr>
          <w:rFonts w:cs="Arial"/>
          <w:i/>
        </w:rPr>
        <w:t>p</w:t>
      </w:r>
      <w:r>
        <w:rPr>
          <w:rFonts w:cs="Arial"/>
        </w:rPr>
        <w:t xml:space="preserve">-Nitroaniline is </w:t>
      </w:r>
      <w:r>
        <w:t>used in the preparation of dyes, the manufacture of antioxidants</w:t>
      </w:r>
      <w:r w:rsidR="00B902DD">
        <w:t>,</w:t>
      </w:r>
      <w:r>
        <w:t xml:space="preserve"> gasoline gum inhibitors and poultry medicines. </w:t>
      </w:r>
    </w:p>
    <w:p w14:paraId="6B003CD7" w14:textId="112B0BC5" w:rsidR="00A04C78" w:rsidRDefault="00A04C78" w:rsidP="006639B4">
      <w:r>
        <w:t xml:space="preserve">Critical effects of exposure include </w:t>
      </w:r>
      <w:r w:rsidR="002013EC">
        <w:t>methaemoglobinaemia</w:t>
      </w:r>
      <w:r w:rsidRPr="00133511">
        <w:rPr>
          <w:rFonts w:cs="Arial"/>
        </w:rPr>
        <w:t xml:space="preserve"> and </w:t>
      </w:r>
      <w:r>
        <w:rPr>
          <w:rFonts w:cs="Arial"/>
        </w:rPr>
        <w:t>liver effects.</w:t>
      </w:r>
    </w:p>
    <w:p w14:paraId="1017435D" w14:textId="77777777" w:rsidR="00B33EA5" w:rsidRDefault="000127B1" w:rsidP="006639B4">
      <w:r>
        <w:t xml:space="preserve">No quantitative human exposure data are available. </w:t>
      </w:r>
      <w:r w:rsidR="00EB6116">
        <w:t xml:space="preserve">Human data available is only from accidental poisonings, with a report of death </w:t>
      </w:r>
      <w:r w:rsidR="002013EC">
        <w:t>of</w:t>
      </w:r>
      <w:r w:rsidR="00EB6116">
        <w:t xml:space="preserve"> </w:t>
      </w:r>
      <w:r w:rsidR="002013EC">
        <w:t xml:space="preserve">an </w:t>
      </w:r>
      <w:r w:rsidR="00EB6116">
        <w:t xml:space="preserve">individual who was already afflicted with liver disease. Other individuals from same incident became cyanotic with reports of headache, sleepiness, weakness and respiratory distress. Exposure concentrations </w:t>
      </w:r>
      <w:r w:rsidR="00775B31">
        <w:t xml:space="preserve">are </w:t>
      </w:r>
      <w:r w:rsidR="00EB6116">
        <w:t>not known (ACGIH, 20</w:t>
      </w:r>
      <w:r w:rsidR="00A04C78">
        <w:t>18</w:t>
      </w:r>
      <w:r w:rsidR="00EB6116">
        <w:t>).</w:t>
      </w:r>
      <w:r w:rsidR="00420219">
        <w:t xml:space="preserve"> </w:t>
      </w:r>
      <w:r w:rsidR="00D307A3">
        <w:t xml:space="preserve">A NOAEL of </w:t>
      </w:r>
      <w:r w:rsidR="00D307A3" w:rsidRPr="007B7009">
        <w:t>0.25</w:t>
      </w:r>
      <w:r w:rsidR="00660281">
        <w:t> </w:t>
      </w:r>
      <w:r w:rsidR="00D307A3" w:rsidRPr="007B7009">
        <w:t>mg/kg/d</w:t>
      </w:r>
      <w:r w:rsidR="00D307A3">
        <w:t xml:space="preserve">ay in rats is reported for </w:t>
      </w:r>
      <w:r w:rsidR="00D307A3" w:rsidRPr="007B7009">
        <w:t xml:space="preserve">effects </w:t>
      </w:r>
      <w:r w:rsidR="00D307A3">
        <w:t>on</w:t>
      </w:r>
      <w:r w:rsidR="00D307A3" w:rsidRPr="007B7009">
        <w:t xml:space="preserve"> the spleen in a </w:t>
      </w:r>
      <w:r w:rsidR="00D307A3">
        <w:t xml:space="preserve">chronic </w:t>
      </w:r>
      <w:r w:rsidR="006C006F">
        <w:t xml:space="preserve">gavage </w:t>
      </w:r>
      <w:r w:rsidR="00D307A3" w:rsidRPr="007B7009">
        <w:t xml:space="preserve">study </w:t>
      </w:r>
      <w:r w:rsidR="00D307A3">
        <w:t xml:space="preserve">(ACGIH, 2018). </w:t>
      </w:r>
      <w:r w:rsidR="007B7009">
        <w:t>ACGIH (2018) and DFG (1999) reported a LOAEC of 10 mg/m</w:t>
      </w:r>
      <w:r w:rsidR="007B7009">
        <w:rPr>
          <w:vertAlign w:val="superscript"/>
        </w:rPr>
        <w:t>3</w:t>
      </w:r>
      <w:r w:rsidR="007B7009">
        <w:t xml:space="preserve"> for effects on spleen </w:t>
      </w:r>
      <w:r w:rsidR="00D307A3">
        <w:t>in</w:t>
      </w:r>
      <w:r w:rsidR="007B7009">
        <w:t xml:space="preserve"> a four-week </w:t>
      </w:r>
      <w:r w:rsidR="00D307A3">
        <w:t xml:space="preserve">rat </w:t>
      </w:r>
      <w:r w:rsidR="007B7009">
        <w:t>inhalation study.</w:t>
      </w:r>
      <w:r w:rsidR="007B7009" w:rsidRPr="007B7009">
        <w:t xml:space="preserve"> </w:t>
      </w:r>
      <w:r w:rsidR="00804D21">
        <w:t>From this same study,</w:t>
      </w:r>
      <w:r w:rsidR="00D307A3">
        <w:t xml:space="preserve"> NICNAS (2017) and NTP (1993) reported a LOAEC of 5 mg/m</w:t>
      </w:r>
      <w:r w:rsidR="00D307A3">
        <w:rPr>
          <w:vertAlign w:val="superscript"/>
        </w:rPr>
        <w:t>3</w:t>
      </w:r>
      <w:r w:rsidR="00804D21">
        <w:t xml:space="preserve">. This discrepancy in LOAEC by primary and secondary sources </w:t>
      </w:r>
      <w:r w:rsidR="006C006F">
        <w:t>indicates</w:t>
      </w:r>
      <w:r w:rsidR="00804D21">
        <w:t xml:space="preserve"> an error in reporting</w:t>
      </w:r>
      <w:r w:rsidR="006C006F">
        <w:t xml:space="preserve"> doses</w:t>
      </w:r>
      <w:r w:rsidR="00804D21">
        <w:t>.</w:t>
      </w:r>
      <w:r w:rsidR="00D307A3">
        <w:t xml:space="preserve"> </w:t>
      </w:r>
      <w:r w:rsidR="006C006F">
        <w:t>These reported LOAEC from the four-week inhalation study do not fit with NOAEL reported from chronic gavage study.</w:t>
      </w:r>
      <w:r w:rsidR="006F33C4">
        <w:t xml:space="preserve"> </w:t>
      </w:r>
      <w:r w:rsidR="002F79F2">
        <w:t>It is difficult to compare between species because b</w:t>
      </w:r>
      <w:r w:rsidR="006F33C4" w:rsidRPr="006F33C4">
        <w:t xml:space="preserve">iological activity </w:t>
      </w:r>
      <w:r w:rsidR="006F33C4">
        <w:t xml:space="preserve">of </w:t>
      </w:r>
      <w:r w:rsidR="006F33C4" w:rsidRPr="006F33C4">
        <w:rPr>
          <w:i/>
        </w:rPr>
        <w:t>p</w:t>
      </w:r>
      <w:r w:rsidR="006F33C4" w:rsidRPr="006F33C4">
        <w:t>-</w:t>
      </w:r>
      <w:r w:rsidR="00C241E2">
        <w:t>n</w:t>
      </w:r>
      <w:r w:rsidR="006F33C4" w:rsidRPr="006F33C4">
        <w:t xml:space="preserve">itroaniline </w:t>
      </w:r>
      <w:r w:rsidR="006F33C4">
        <w:t xml:space="preserve">is </w:t>
      </w:r>
      <w:r w:rsidR="002F79F2">
        <w:t>expected</w:t>
      </w:r>
      <w:r w:rsidR="006F33C4">
        <w:t xml:space="preserve"> to be </w:t>
      </w:r>
      <w:r w:rsidR="002F79F2">
        <w:t xml:space="preserve">dependent on </w:t>
      </w:r>
      <w:r w:rsidR="006F33C4" w:rsidRPr="006F33C4">
        <w:t>exposure route and dose</w:t>
      </w:r>
      <w:r w:rsidR="000F73E0">
        <w:t xml:space="preserve"> (DFG, 1999)</w:t>
      </w:r>
      <w:r w:rsidR="002F79F2">
        <w:t xml:space="preserve">. Because of this, a </w:t>
      </w:r>
      <w:r w:rsidR="002013EC">
        <w:t xml:space="preserve">NOAEC </w:t>
      </w:r>
      <w:r w:rsidR="00934C17">
        <w:t xml:space="preserve">in humans could </w:t>
      </w:r>
      <w:r w:rsidR="00420219">
        <w:t xml:space="preserve">not </w:t>
      </w:r>
      <w:r w:rsidR="00934C17">
        <w:t xml:space="preserve">be </w:t>
      </w:r>
      <w:r w:rsidR="00420219">
        <w:t>determined from available animal data</w:t>
      </w:r>
      <w:r w:rsidR="008E1B48">
        <w:t xml:space="preserve"> to derive</w:t>
      </w:r>
      <w:r w:rsidR="00642AD3">
        <w:t xml:space="preserve"> an occupational </w:t>
      </w:r>
      <w:r w:rsidR="00D10858">
        <w:t xml:space="preserve">exposure </w:t>
      </w:r>
      <w:r w:rsidR="00642AD3">
        <w:t>limit</w:t>
      </w:r>
      <w:r w:rsidR="0076657A">
        <w:t>.</w:t>
      </w:r>
      <w:r w:rsidR="00420219">
        <w:t xml:space="preserve"> </w:t>
      </w:r>
    </w:p>
    <w:p w14:paraId="6D33D2E2" w14:textId="34FE1F03" w:rsidR="00C241E2" w:rsidRPr="00AF5A37" w:rsidRDefault="009745CC" w:rsidP="006639B4">
      <w:r w:rsidRPr="006F33C4">
        <w:rPr>
          <w:i/>
        </w:rPr>
        <w:t>p</w:t>
      </w:r>
      <w:r>
        <w:t xml:space="preserve">-Nitroaniline is considered a more potent cyanogenic and </w:t>
      </w:r>
      <w:proofErr w:type="spellStart"/>
      <w:r w:rsidRPr="00526BCE">
        <w:t>anaemiagenic</w:t>
      </w:r>
      <w:proofErr w:type="spellEnd"/>
      <w:r>
        <w:t xml:space="preserve"> than aniline</w:t>
      </w:r>
      <w:r w:rsidR="00666F36">
        <w:t>.</w:t>
      </w:r>
      <w:r w:rsidR="00666F36" w:rsidRPr="00666F36">
        <w:t xml:space="preserve"> </w:t>
      </w:r>
      <w:r w:rsidR="00B3570F">
        <w:t xml:space="preserve">Both ACGIH (2018) and DFG (1999) considered that the occupational exposure limit </w:t>
      </w:r>
      <w:r w:rsidR="00C241E2">
        <w:t xml:space="preserve">of </w:t>
      </w:r>
      <w:r w:rsidR="00C241E2" w:rsidRPr="006F33C4">
        <w:rPr>
          <w:i/>
        </w:rPr>
        <w:t>p</w:t>
      </w:r>
      <w:r w:rsidR="00C241E2" w:rsidRPr="006F33C4">
        <w:t>-</w:t>
      </w:r>
      <w:r w:rsidR="00C241E2">
        <w:t>n</w:t>
      </w:r>
      <w:r w:rsidR="00C241E2" w:rsidRPr="006F33C4">
        <w:t xml:space="preserve">itroaniline </w:t>
      </w:r>
      <w:r w:rsidR="00B3570F">
        <w:t xml:space="preserve">should be </w:t>
      </w:r>
      <w:r w:rsidR="00B3570F">
        <w:lastRenderedPageBreak/>
        <w:t xml:space="preserve">below </w:t>
      </w:r>
      <w:r w:rsidR="00B3570F" w:rsidRPr="00B3570F">
        <w:t>aniline (</w:t>
      </w:r>
      <w:r w:rsidR="00463DB8">
        <w:t xml:space="preserve">ACGIH </w:t>
      </w:r>
      <w:r w:rsidR="00B3570F" w:rsidRPr="00B3570F">
        <w:t>TLV-TWA of 7.6</w:t>
      </w:r>
      <w:r w:rsidR="000127B1">
        <w:t> </w:t>
      </w:r>
      <w:r w:rsidR="00B3570F">
        <w:t>mg/m</w:t>
      </w:r>
      <w:r w:rsidR="00B3570F">
        <w:rPr>
          <w:vertAlign w:val="superscript"/>
        </w:rPr>
        <w:t>3</w:t>
      </w:r>
      <w:r w:rsidR="00B3570F" w:rsidRPr="00B3570F">
        <w:t>)</w:t>
      </w:r>
      <w:r w:rsidR="00B3570F">
        <w:t>.</w:t>
      </w:r>
      <w:r w:rsidR="00C241E2">
        <w:t xml:space="preserve"> </w:t>
      </w:r>
      <w:r w:rsidR="00D10858">
        <w:t xml:space="preserve">ACGIH and SWA are the only primary agencies that recommend occupational exposure limit </w:t>
      </w:r>
      <w:r w:rsidR="00AF5A37">
        <w:t xml:space="preserve">for </w:t>
      </w:r>
      <w:r w:rsidR="00AF5A37" w:rsidRPr="006F33C4">
        <w:rPr>
          <w:i/>
        </w:rPr>
        <w:t>p</w:t>
      </w:r>
      <w:r w:rsidR="00AF5A37" w:rsidRPr="006F33C4">
        <w:t>-</w:t>
      </w:r>
      <w:r w:rsidR="00AF5A37">
        <w:t>n</w:t>
      </w:r>
      <w:r w:rsidR="00AF5A37" w:rsidRPr="006F33C4">
        <w:t>itroaniline</w:t>
      </w:r>
      <w:r w:rsidR="000F73E0">
        <w:t>.</w:t>
      </w:r>
      <w:r w:rsidR="00AF5A37">
        <w:t xml:space="preserve"> </w:t>
      </w:r>
      <w:r w:rsidR="00465AA4">
        <w:t>Note</w:t>
      </w:r>
      <w:r w:rsidR="00AF5A37">
        <w:t xml:space="preserve"> SWA TWA for a</w:t>
      </w:r>
      <w:r w:rsidR="00AF5A37" w:rsidRPr="00AF5A37">
        <w:t xml:space="preserve">niline and homologous </w:t>
      </w:r>
      <w:r w:rsidR="00AF5A37">
        <w:t xml:space="preserve">is recommended to change from </w:t>
      </w:r>
      <w:r w:rsidR="00AF5A37" w:rsidRPr="00B3570F">
        <w:t>7.6</w:t>
      </w:r>
      <w:r w:rsidR="00AF5A37">
        <w:t> mg/m</w:t>
      </w:r>
      <w:r w:rsidR="00AF5A37">
        <w:rPr>
          <w:vertAlign w:val="superscript"/>
        </w:rPr>
        <w:t>3</w:t>
      </w:r>
      <w:r w:rsidR="00AF5A37">
        <w:t xml:space="preserve"> to 0.5</w:t>
      </w:r>
      <w:r w:rsidR="00A04D61">
        <w:t> </w:t>
      </w:r>
      <w:r w:rsidR="00AF5A37">
        <w:t>mg/m</w:t>
      </w:r>
      <w:r w:rsidR="00AF5A37">
        <w:rPr>
          <w:vertAlign w:val="superscript"/>
        </w:rPr>
        <w:t>3</w:t>
      </w:r>
      <w:r w:rsidR="00C35C35">
        <w:t xml:space="preserve"> based on a health-based risk assessment.</w:t>
      </w:r>
      <w:r w:rsidR="009709FE">
        <w:t xml:space="preserve"> </w:t>
      </w:r>
      <w:r w:rsidR="00C35C35">
        <w:t>However, n</w:t>
      </w:r>
      <w:r w:rsidR="009709FE">
        <w:t>o</w:t>
      </w:r>
      <w:r w:rsidR="00C35C35">
        <w:t xml:space="preserve"> data are available to support a change in TWA for</w:t>
      </w:r>
      <w:r w:rsidR="00C35C35" w:rsidRPr="00C35C35">
        <w:rPr>
          <w:i/>
        </w:rPr>
        <w:t xml:space="preserve"> </w:t>
      </w:r>
      <w:r w:rsidR="00C35C35" w:rsidRPr="006F33C4">
        <w:rPr>
          <w:i/>
        </w:rPr>
        <w:t>p</w:t>
      </w:r>
      <w:r w:rsidR="00C35C35" w:rsidRPr="006F33C4">
        <w:t>-</w:t>
      </w:r>
      <w:r w:rsidR="00C35C35">
        <w:t>n</w:t>
      </w:r>
      <w:r w:rsidR="00C35C35" w:rsidRPr="006F33C4">
        <w:t>itroaniline</w:t>
      </w:r>
      <w:r w:rsidR="00AF5A37">
        <w:t xml:space="preserve">. </w:t>
      </w:r>
    </w:p>
    <w:p w14:paraId="52204B94" w14:textId="0D15E80A" w:rsidR="006639B4" w:rsidRPr="009745CC" w:rsidRDefault="000F73E0" w:rsidP="006639B4">
      <w:pPr>
        <w:rPr>
          <w:rFonts w:cs="Arial"/>
        </w:rPr>
      </w:pPr>
      <w:r>
        <w:t>In absence of any other</w:t>
      </w:r>
      <w:r w:rsidR="00AF5A37">
        <w:t xml:space="preserve"> available </w:t>
      </w:r>
      <w:r>
        <w:t xml:space="preserve">data, </w:t>
      </w:r>
      <w:r w:rsidR="005F0B70">
        <w:t>the TWA of 3 mg/m</w:t>
      </w:r>
      <w:r w:rsidR="005F0B70">
        <w:rPr>
          <w:vertAlign w:val="superscript"/>
        </w:rPr>
        <w:t>3</w:t>
      </w:r>
      <w:r w:rsidR="005F0B70">
        <w:t xml:space="preserve"> by SWA and ACGIH (2018) is recommended and supported by US NIOSH (1994)</w:t>
      </w:r>
      <w:r w:rsidR="00874187">
        <w:t xml:space="preserve"> evaluation</w:t>
      </w:r>
      <w:r w:rsidR="005F0B70">
        <w:t>.</w:t>
      </w:r>
      <w:r w:rsidR="00666F36">
        <w:t xml:space="preserve"> </w:t>
      </w:r>
      <w:r w:rsidR="00A33C58">
        <w:t xml:space="preserve">The recommended TWA is </w:t>
      </w:r>
      <w:r w:rsidR="00B73172">
        <w:t xml:space="preserve">considered </w:t>
      </w:r>
      <w:r w:rsidR="00A33C58">
        <w:t xml:space="preserve">to protect for </w:t>
      </w:r>
      <w:r w:rsidR="00A33C58" w:rsidRPr="00A33C58">
        <w:t>potential anaemia, cyanosis</w:t>
      </w:r>
      <w:r w:rsidR="00A33C58">
        <w:t>,</w:t>
      </w:r>
      <w:r w:rsidR="00A33C58" w:rsidRPr="00A33C58">
        <w:t xml:space="preserve"> tissue anoxia</w:t>
      </w:r>
      <w:r w:rsidR="00A33C58">
        <w:t xml:space="preserve"> and liver effects</w:t>
      </w:r>
      <w:r w:rsidR="00A33C58" w:rsidRPr="00A33C58">
        <w:t xml:space="preserve"> in exposed workers</w:t>
      </w:r>
      <w:r w:rsidR="00A33C58">
        <w:t>.</w:t>
      </w:r>
    </w:p>
    <w:p w14:paraId="3C003BE4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70066C79" w14:textId="70EE7C6A" w:rsidR="00187820" w:rsidRPr="00133511" w:rsidRDefault="00187820" w:rsidP="00187820">
      <w:pPr>
        <w:rPr>
          <w:rFonts w:cs="Arial"/>
        </w:rPr>
      </w:pPr>
      <w:r w:rsidRPr="00133511">
        <w:rPr>
          <w:rFonts w:cs="Arial"/>
        </w:rPr>
        <w:t>Not classified as a carcinogen according to the Globally Harmonized System of Classification and Labelling o</w:t>
      </w:r>
      <w:r w:rsidR="00526BCE" w:rsidRPr="00133511">
        <w:rPr>
          <w:rFonts w:cs="Arial"/>
        </w:rPr>
        <w:t>f</w:t>
      </w:r>
      <w:r w:rsidRPr="00133511">
        <w:rPr>
          <w:rFonts w:cs="Arial"/>
        </w:rPr>
        <w:t xml:space="preserve"> Chemicals (GHS). </w:t>
      </w:r>
    </w:p>
    <w:p w14:paraId="417C4535" w14:textId="7C6B679C" w:rsidR="00187820" w:rsidRPr="00133511" w:rsidRDefault="00187820" w:rsidP="00187820">
      <w:pPr>
        <w:rPr>
          <w:rFonts w:cs="Arial"/>
        </w:rPr>
      </w:pPr>
      <w:r w:rsidRPr="00133511">
        <w:rPr>
          <w:rFonts w:cs="Arial"/>
        </w:rPr>
        <w:t xml:space="preserve">Not classified as a skin </w:t>
      </w:r>
      <w:r w:rsidR="00526BCE" w:rsidRPr="00133511">
        <w:rPr>
          <w:rFonts w:cs="Arial"/>
        </w:rPr>
        <w:t xml:space="preserve">sensitiser </w:t>
      </w:r>
      <w:r w:rsidR="00133511" w:rsidRPr="00133511">
        <w:rPr>
          <w:rFonts w:cs="Arial"/>
        </w:rPr>
        <w:t xml:space="preserve">or </w:t>
      </w:r>
      <w:r w:rsidRPr="00133511">
        <w:rPr>
          <w:rFonts w:cs="Arial"/>
        </w:rPr>
        <w:t>respiratory sensitiser according to the GHS.</w:t>
      </w:r>
      <w:r w:rsidR="00656AB9">
        <w:rPr>
          <w:rFonts w:cs="Arial"/>
        </w:rPr>
        <w:t xml:space="preserve"> A review of dermal sensitisation is recommended at the next review as there appears to be </w:t>
      </w:r>
      <w:r w:rsidR="002013EC">
        <w:rPr>
          <w:rFonts w:cs="Arial"/>
        </w:rPr>
        <w:t xml:space="preserve">enough </w:t>
      </w:r>
      <w:r w:rsidR="00656AB9">
        <w:rPr>
          <w:rFonts w:cs="Arial"/>
        </w:rPr>
        <w:t>evidence to warrant a notation (NICNAS,</w:t>
      </w:r>
      <w:r w:rsidR="00B902DD">
        <w:rPr>
          <w:rFonts w:cs="Arial"/>
        </w:rPr>
        <w:t xml:space="preserve"> </w:t>
      </w:r>
      <w:r w:rsidR="00656AB9">
        <w:rPr>
          <w:rFonts w:cs="Arial"/>
        </w:rPr>
        <w:t>2017).</w:t>
      </w:r>
    </w:p>
    <w:p w14:paraId="5777E7C8" w14:textId="2CF6B4C7" w:rsidR="004529F0" w:rsidRPr="004C23F4" w:rsidRDefault="00133511" w:rsidP="00187820">
      <w:pPr>
        <w:rPr>
          <w:rFonts w:cs="Arial"/>
        </w:rPr>
      </w:pPr>
      <w:r w:rsidRPr="00133511">
        <w:rPr>
          <w:rFonts w:cs="Arial"/>
        </w:rPr>
        <w:t>A</w:t>
      </w:r>
      <w:r w:rsidR="00187820" w:rsidRPr="00133511">
        <w:rPr>
          <w:rFonts w:cs="Arial"/>
        </w:rPr>
        <w:t xml:space="preserve"> </w:t>
      </w:r>
      <w:r w:rsidRPr="00133511">
        <w:rPr>
          <w:rFonts w:cs="Arial"/>
        </w:rPr>
        <w:t>skin notation is</w:t>
      </w:r>
      <w:r w:rsidR="00187820" w:rsidRPr="00133511">
        <w:rPr>
          <w:rFonts w:cs="Arial"/>
        </w:rPr>
        <w:t xml:space="preserve"> recommend</w:t>
      </w:r>
      <w:r w:rsidRPr="00133511">
        <w:rPr>
          <w:rFonts w:cs="Arial"/>
        </w:rPr>
        <w:t>ed</w:t>
      </w:r>
      <w:r w:rsidR="00187820" w:rsidRPr="00133511">
        <w:rPr>
          <w:rFonts w:cs="Arial"/>
        </w:rPr>
        <w:t xml:space="preserve"> </w:t>
      </w:r>
      <w:r w:rsidRPr="00133511">
        <w:rPr>
          <w:rFonts w:cs="Arial"/>
        </w:rPr>
        <w:t>b</w:t>
      </w:r>
      <w:r w:rsidR="00187820" w:rsidRPr="00133511">
        <w:rPr>
          <w:rFonts w:cs="Arial"/>
        </w:rPr>
        <w:t>a</w:t>
      </w:r>
      <w:r w:rsidRPr="00133511">
        <w:rPr>
          <w:rFonts w:cs="Arial"/>
        </w:rPr>
        <w:t>sed on evidence of dermal absorption and adverse systemic effects in animals</w:t>
      </w:r>
      <w:r w:rsidR="00187820" w:rsidRPr="00133511">
        <w:rPr>
          <w:rFonts w:cs="Arial"/>
        </w:rPr>
        <w:t>.</w:t>
      </w:r>
    </w:p>
    <w:p w14:paraId="613E9AA9" w14:textId="5EF70B6D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9C027B3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BBFE3D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2781EB0" w14:textId="77777777" w:rsidTr="0079595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B951CA1" w14:textId="77777777" w:rsidR="00C978F0" w:rsidRPr="00DA352E" w:rsidRDefault="00C978F0" w:rsidP="00231274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71477FA" w14:textId="77777777" w:rsidTr="0079595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53E0361" w14:textId="77777777" w:rsidR="00DE26E8" w:rsidRPr="003365A5" w:rsidRDefault="00DE26E8" w:rsidP="00A04C78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8C0622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8C0622">
                  <w:t>TWA: 3 mg/m</w:t>
                </w:r>
                <w:r w:rsidR="008C0622" w:rsidRPr="008C0622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3C4195A4" w14:textId="77777777" w:rsidTr="00795951">
        <w:trPr>
          <w:gridAfter w:val="1"/>
          <w:wAfter w:w="8" w:type="pct"/>
        </w:trPr>
        <w:tc>
          <w:tcPr>
            <w:tcW w:w="4992" w:type="pct"/>
          </w:tcPr>
          <w:p w14:paraId="3A58AEDC" w14:textId="77777777" w:rsidR="00C978F0" w:rsidRDefault="007A23AB" w:rsidP="00231274">
            <w:pPr>
              <w:pStyle w:val="Tabletextprimarysource"/>
            </w:pPr>
            <w:r>
              <w:t>Established based on ACGIH recommendation.</w:t>
            </w:r>
          </w:p>
          <w:p w14:paraId="474BA68F" w14:textId="0A74B537" w:rsidR="007A23AB" w:rsidRPr="00DA352E" w:rsidRDefault="007A23AB" w:rsidP="00231274">
            <w:pPr>
              <w:pStyle w:val="Tabletextprimarysource"/>
            </w:pPr>
          </w:p>
        </w:tc>
      </w:tr>
      <w:tr w:rsidR="00C978F0" w:rsidRPr="00DA352E" w14:paraId="681276B1" w14:textId="77777777" w:rsidTr="00795951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B167850" w14:textId="77777777" w:rsidR="00C978F0" w:rsidRPr="00DA352E" w:rsidRDefault="00DA352E" w:rsidP="00A04C78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E4EA9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-829746203"/>
                    <w:placeholder>
                      <w:docPart w:val="3035A5CD6F524E5D9C4D41D00AAFF0CC"/>
                    </w:placeholder>
                  </w:sdtPr>
                  <w:sdtEndPr/>
                  <w:sdtContent>
                    <w:r w:rsidR="003416ED">
                      <w:t>TLV-TWA: 3 mg/m</w:t>
                    </w:r>
                    <w:r w:rsidR="003416ED" w:rsidRPr="008C0622">
                      <w:rPr>
                        <w:vertAlign w:val="superscript"/>
                      </w:rPr>
                      <w:t>3</w:t>
                    </w:r>
                  </w:sdtContent>
                </w:sdt>
              </w:sdtContent>
            </w:sdt>
          </w:p>
        </w:tc>
      </w:tr>
      <w:tr w:rsidR="00C978F0" w:rsidRPr="00DA352E" w14:paraId="36222FE0" w14:textId="77777777" w:rsidTr="00795951">
        <w:trPr>
          <w:gridAfter w:val="1"/>
          <w:wAfter w:w="8" w:type="pct"/>
        </w:trPr>
        <w:tc>
          <w:tcPr>
            <w:tcW w:w="4992" w:type="pct"/>
          </w:tcPr>
          <w:p w14:paraId="2F3DF93B" w14:textId="6C2E4E1A" w:rsidR="00C978F0" w:rsidRDefault="006D1862" w:rsidP="00231274">
            <w:pPr>
              <w:pStyle w:val="Tabletextprimarysource"/>
            </w:pPr>
            <w:r>
              <w:t>TLV-TWA recommended to minimise potential for anaemia, cyanosis and tissue anoxia in exposed workers as well as effects on the liver.</w:t>
            </w:r>
          </w:p>
          <w:p w14:paraId="47773F8B" w14:textId="62ED13BC" w:rsidR="00775B31" w:rsidRDefault="00775B31" w:rsidP="00231274">
            <w:pPr>
              <w:pStyle w:val="Tabletextprimarysource"/>
            </w:pPr>
            <w:r>
              <w:t>No specific derivation of TLV-TWA explained but mentioned:</w:t>
            </w:r>
          </w:p>
          <w:p w14:paraId="3C1B051D" w14:textId="63C5B294" w:rsidR="00775B31" w:rsidRDefault="00BF58F6" w:rsidP="00775B31">
            <w:pPr>
              <w:pStyle w:val="Tabletextprimarysource"/>
              <w:numPr>
                <w:ilvl w:val="0"/>
                <w:numId w:val="8"/>
              </w:numPr>
            </w:pPr>
            <w:r>
              <w:t>p</w:t>
            </w:r>
            <w:r w:rsidR="00775B31">
              <w:t xml:space="preserve">-Nitroaniline more potent cyanogenic and </w:t>
            </w:r>
            <w:proofErr w:type="spellStart"/>
            <w:r w:rsidR="00775B31">
              <w:t>an</w:t>
            </w:r>
            <w:r w:rsidR="00C241E2">
              <w:t>a</w:t>
            </w:r>
            <w:r w:rsidR="00775B31">
              <w:t>emiagenic</w:t>
            </w:r>
            <w:proofErr w:type="spellEnd"/>
            <w:r w:rsidR="00775B31">
              <w:t xml:space="preserve"> than aniline</w:t>
            </w:r>
          </w:p>
          <w:p w14:paraId="1F4068B0" w14:textId="5A8FA3D4" w:rsidR="007A23AB" w:rsidRDefault="007A23AB" w:rsidP="00775B31">
            <w:pPr>
              <w:pStyle w:val="Tabletextprimarysource"/>
              <w:numPr>
                <w:ilvl w:val="0"/>
                <w:numId w:val="8"/>
              </w:numPr>
            </w:pPr>
            <w:r>
              <w:t xml:space="preserve">Particulate or mist exposure at elevated </w:t>
            </w:r>
            <w:r w:rsidR="0078630D">
              <w:t>temperatures</w:t>
            </w:r>
            <w:r>
              <w:t xml:space="preserve"> are hazardous</w:t>
            </w:r>
          </w:p>
          <w:p w14:paraId="56EF096E" w14:textId="07A33E31" w:rsidR="007A23AB" w:rsidRDefault="007A23AB" w:rsidP="00822F29">
            <w:pPr>
              <w:pStyle w:val="Tabletextprimarysource"/>
              <w:numPr>
                <w:ilvl w:val="0"/>
                <w:numId w:val="8"/>
              </w:numPr>
            </w:pPr>
            <w:r>
              <w:t xml:space="preserve">Accordingly, established TLV-TWA </w:t>
            </w:r>
            <w:bookmarkStart w:id="0" w:name="_Hlk34317086"/>
            <w:r>
              <w:t>below aniline (TLV-TWA of 7.6 mg/m</w:t>
            </w:r>
            <w:r w:rsidRPr="00822F29">
              <w:rPr>
                <w:vertAlign w:val="superscript"/>
              </w:rPr>
              <w:t>3</w:t>
            </w:r>
            <w:r>
              <w:t>)</w:t>
            </w:r>
            <w:bookmarkEnd w:id="0"/>
            <w:r>
              <w:t>.</w:t>
            </w:r>
          </w:p>
          <w:p w14:paraId="67791951" w14:textId="48E98FE6" w:rsidR="006D1862" w:rsidRDefault="006D1862" w:rsidP="00231274">
            <w:pPr>
              <w:pStyle w:val="Tabletextprimarysource"/>
            </w:pPr>
            <w:r>
              <w:t>Summary of data:</w:t>
            </w:r>
          </w:p>
          <w:p w14:paraId="2BCD38B4" w14:textId="77777777" w:rsidR="006D1862" w:rsidRDefault="006D1862">
            <w:pPr>
              <w:pStyle w:val="Tabletextprimarysource"/>
            </w:pPr>
            <w:r>
              <w:t>Human data:</w:t>
            </w:r>
          </w:p>
          <w:p w14:paraId="15A1F250" w14:textId="77777777" w:rsidR="006D1862" w:rsidRDefault="00F41A2A" w:rsidP="00A04C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Potent inducer of methaemoglobin and haemolysis can occur at high or prolonged exposures</w:t>
            </w:r>
          </w:p>
          <w:p w14:paraId="6CE3EFC1" w14:textId="77777777" w:rsidR="00F41A2A" w:rsidRDefault="00F41A2A" w:rsidP="00A04C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Readily absorbed through skin and may cause corneal damage</w:t>
            </w:r>
          </w:p>
          <w:p w14:paraId="76B7EF7E" w14:textId="02B5B980" w:rsidR="00F41A2A" w:rsidRDefault="00F41A2A" w:rsidP="00A04C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Reports of poisoning among workers who swept up the powder in the hold of a ship; </w:t>
            </w:r>
            <w:r w:rsidR="00FE3792">
              <w:t xml:space="preserve">one </w:t>
            </w:r>
            <w:r>
              <w:t xml:space="preserve">death following jaundice in man already afflicted with liver disease; others became cyanotic with reports of headache, sleepiness, weakness and respiratory distress </w:t>
            </w:r>
          </w:p>
          <w:p w14:paraId="613271BA" w14:textId="77777777" w:rsidR="00F41A2A" w:rsidRDefault="00C25DA6" w:rsidP="00A04C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Recommendation for the TLV to be expressed in mg/m</w:t>
            </w:r>
            <w:r>
              <w:rPr>
                <w:vertAlign w:val="superscript"/>
              </w:rPr>
              <w:t>3</w:t>
            </w:r>
            <w:r>
              <w:t xml:space="preserve"> rather than ppm given that the steam-borne mists, rather than ambient vapours, caused cyanogenic and </w:t>
            </w:r>
            <w:proofErr w:type="spellStart"/>
            <w:r w:rsidRPr="00526BCE">
              <w:t>anaemiagenic</w:t>
            </w:r>
            <w:proofErr w:type="spellEnd"/>
            <w:r>
              <w:t xml:space="preserve"> effects</w:t>
            </w:r>
          </w:p>
          <w:p w14:paraId="1DA22481" w14:textId="443DBF96" w:rsidR="00C25DA6" w:rsidRDefault="00C25DA6" w:rsidP="00A04C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Found in samples of red wax crayons and para-red dye and inferred to be responsible for poisoning of children who ate red wax crayons</w:t>
            </w:r>
            <w:r w:rsidR="00231274">
              <w:t>.</w:t>
            </w:r>
          </w:p>
          <w:p w14:paraId="7DCE042A" w14:textId="77777777" w:rsidR="00C25DA6" w:rsidRDefault="00C25DA6" w:rsidP="00231274">
            <w:pPr>
              <w:pStyle w:val="Tabletextprimarysource"/>
            </w:pPr>
            <w:r>
              <w:t>Animal data:</w:t>
            </w:r>
          </w:p>
          <w:p w14:paraId="296C9194" w14:textId="7A6BD588" w:rsidR="0076657A" w:rsidRDefault="00C25DA6" w:rsidP="00A04C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</w:t>
            </w:r>
            <w:r w:rsidR="004630E4">
              <w:t xml:space="preserve">mortality or </w:t>
            </w:r>
            <w:r>
              <w:t xml:space="preserve">reduction in </w:t>
            </w:r>
            <w:r w:rsidR="00FE3792">
              <w:t xml:space="preserve">body weight </w:t>
            </w:r>
            <w:r>
              <w:t>in rats inhaling 0, 10, 30 or 90 mg/m</w:t>
            </w:r>
            <w:r>
              <w:rPr>
                <w:vertAlign w:val="superscript"/>
              </w:rPr>
              <w:t>3</w:t>
            </w:r>
            <w:r>
              <w:t xml:space="preserve"> (6 h/d, 5</w:t>
            </w:r>
            <w:r w:rsidR="002D1072">
              <w:t> </w:t>
            </w:r>
            <w:r>
              <w:t>d/</w:t>
            </w:r>
            <w:proofErr w:type="spellStart"/>
            <w:r>
              <w:t>wk</w:t>
            </w:r>
            <w:proofErr w:type="spellEnd"/>
            <w:r>
              <w:t xml:space="preserve"> for 4</w:t>
            </w:r>
            <w:r w:rsidR="00130F72">
              <w:t> </w:t>
            </w:r>
            <w:proofErr w:type="spellStart"/>
            <w:r>
              <w:t>wk</w:t>
            </w:r>
            <w:proofErr w:type="spellEnd"/>
            <w:r>
              <w:t>)</w:t>
            </w:r>
            <w:r w:rsidR="0076657A">
              <w:t>:</w:t>
            </w:r>
            <w:r w:rsidR="008E745B">
              <w:t xml:space="preserve"> </w:t>
            </w:r>
          </w:p>
          <w:p w14:paraId="5D9F914F" w14:textId="5FCA6358" w:rsidR="0076657A" w:rsidRDefault="00A04C78" w:rsidP="0076657A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>
              <w:t xml:space="preserve">a </w:t>
            </w:r>
            <w:r w:rsidR="008E745B">
              <w:t xml:space="preserve">dose-related increase in circulating </w:t>
            </w:r>
            <w:proofErr w:type="spellStart"/>
            <w:r w:rsidR="00822F29">
              <w:t>MetHb</w:t>
            </w:r>
            <w:proofErr w:type="spellEnd"/>
          </w:p>
          <w:p w14:paraId="4704186C" w14:textId="15EBBFEA" w:rsidR="00A73A7C" w:rsidRDefault="008E745B" w:rsidP="0076657A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>
              <w:t xml:space="preserve"> decrease in erythrocyte counts, haematocrit values and haemoglobin concentrations</w:t>
            </w:r>
            <w:r w:rsidR="00FE3792">
              <w:t xml:space="preserve"> at all concentrations</w:t>
            </w:r>
          </w:p>
          <w:p w14:paraId="669BA89C" w14:textId="77777777" w:rsidR="0076657A" w:rsidRDefault="0076657A" w:rsidP="0076657A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>
              <w:t>key lesions in spleen were extramedullary haematopoiesis and hemosiderosis</w:t>
            </w:r>
          </w:p>
          <w:p w14:paraId="1E7DB290" w14:textId="2037B193" w:rsidR="0076657A" w:rsidRDefault="0076657A" w:rsidP="00822F29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>
              <w:t xml:space="preserve">higher degree of extramedullary </w:t>
            </w:r>
            <w:r w:rsidRPr="0076657A">
              <w:t>haematopoiesis</w:t>
            </w:r>
            <w:r>
              <w:t xml:space="preserve"> in females at 90 mg/m</w:t>
            </w:r>
            <w:r>
              <w:rPr>
                <w:vertAlign w:val="superscript"/>
              </w:rPr>
              <w:t>3</w:t>
            </w:r>
            <w:r>
              <w:t xml:space="preserve"> in comparison to controls    </w:t>
            </w:r>
            <w:r w:rsidRPr="0076657A">
              <w:t xml:space="preserve"> </w:t>
            </w:r>
          </w:p>
          <w:p w14:paraId="7673E34E" w14:textId="742EE397" w:rsidR="00A73A7C" w:rsidRDefault="00341DC3" w:rsidP="00A73A7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Doses of 10, 30, 100 and 300 mg/kg</w:t>
            </w:r>
            <w:r w:rsidR="00FE3792">
              <w:t>/d</w:t>
            </w:r>
            <w:r>
              <w:t xml:space="preserve"> </w:t>
            </w:r>
            <w:r w:rsidR="00A73A7C">
              <w:t xml:space="preserve">by oral gavage </w:t>
            </w:r>
            <w:r w:rsidR="00210C9F">
              <w:t>for 1</w:t>
            </w:r>
            <w:r w:rsidR="002633FA">
              <w:t>4</w:t>
            </w:r>
            <w:r w:rsidR="00210C9F">
              <w:t xml:space="preserve"> </w:t>
            </w:r>
            <w:r w:rsidR="002633FA">
              <w:t>d</w:t>
            </w:r>
            <w:r w:rsidR="00210C9F">
              <w:t xml:space="preserve"> in mice </w:t>
            </w:r>
            <w:r>
              <w:t>cause</w:t>
            </w:r>
            <w:r w:rsidR="00210C9F">
              <w:t>d</w:t>
            </w:r>
            <w:r>
              <w:t xml:space="preserve"> significant increase in methaemoglobin</w:t>
            </w:r>
            <w:r w:rsidR="00A73A7C">
              <w:t>:</w:t>
            </w:r>
            <w:r>
              <w:t xml:space="preserve"> </w:t>
            </w:r>
          </w:p>
          <w:p w14:paraId="12689786" w14:textId="4600491E" w:rsidR="00A73A7C" w:rsidRDefault="00A73A7C" w:rsidP="00A73A7C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>a</w:t>
            </w:r>
            <w:r w:rsidRPr="00A73A7C">
              <w:t>dministration of 1,000 mg/kg/d caused 100% mortality</w:t>
            </w:r>
            <w:r>
              <w:t xml:space="preserve"> by day 4</w:t>
            </w:r>
          </w:p>
          <w:p w14:paraId="0E090939" w14:textId="1F47A190" w:rsidR="008E745B" w:rsidRDefault="00341DC3" w:rsidP="00A73A7C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>doses of 30</w:t>
            </w:r>
            <w:r w:rsidR="00231274">
              <w:t>–</w:t>
            </w:r>
            <w:r>
              <w:t>300 mg/kg</w:t>
            </w:r>
            <w:r w:rsidR="00F755F3">
              <w:t>/d</w:t>
            </w:r>
            <w:r>
              <w:t xml:space="preserve"> caused significant reduction in erythrocyte counts</w:t>
            </w:r>
          </w:p>
          <w:p w14:paraId="18F62B30" w14:textId="674D67D2" w:rsidR="00A73A7C" w:rsidRDefault="00FE3792" w:rsidP="00A04C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deaths reported in a </w:t>
            </w:r>
            <w:r w:rsidR="00197343">
              <w:t>13</w:t>
            </w:r>
            <w:r w:rsidR="002D1072">
              <w:t>-</w:t>
            </w:r>
            <w:r w:rsidR="00197343">
              <w:t>wk study of mice administered 0, 1, 3, 10, 30 or 100 mg/kg</w:t>
            </w:r>
            <w:r>
              <w:t>/d</w:t>
            </w:r>
            <w:r w:rsidR="00197343">
              <w:t xml:space="preserve"> by gavage caused</w:t>
            </w:r>
            <w:r w:rsidR="002A1D23">
              <w:t>:</w:t>
            </w:r>
            <w:r w:rsidR="00A73A7C">
              <w:t xml:space="preserve"> </w:t>
            </w:r>
          </w:p>
          <w:p w14:paraId="150CB4E9" w14:textId="2A13F68C" w:rsidR="002A1D23" w:rsidRDefault="00A73A7C" w:rsidP="00A73A7C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t xml:space="preserve">similar haematologic findings to </w:t>
            </w:r>
            <w:r w:rsidR="00DD0BF9">
              <w:t xml:space="preserve">those </w:t>
            </w:r>
            <w:r>
              <w:t xml:space="preserve">of </w:t>
            </w:r>
            <w:r w:rsidR="00DD0BF9">
              <w:t xml:space="preserve">the </w:t>
            </w:r>
            <w:r>
              <w:t>14</w:t>
            </w:r>
            <w:r w:rsidR="00DD0BF9">
              <w:t>-</w:t>
            </w:r>
            <w:r>
              <w:t>d study</w:t>
            </w:r>
          </w:p>
          <w:p w14:paraId="4E5EE273" w14:textId="4A0347EB" w:rsidR="00197343" w:rsidRDefault="00FE3792" w:rsidP="00A04C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 statistically significant increases in methaemoglobin and decreased erythrocyte counts at 1.5 and 9 mg/kg/d in a chronic </w:t>
            </w:r>
            <w:r w:rsidR="00334FE3">
              <w:t xml:space="preserve">study in rats (2 </w:t>
            </w:r>
            <w:proofErr w:type="spellStart"/>
            <w:r w:rsidR="00334FE3">
              <w:t>yr</w:t>
            </w:r>
            <w:proofErr w:type="spellEnd"/>
            <w:r w:rsidR="00334FE3">
              <w:t>) administered 0, 0.25, 1.5 or 9 mg/kg/d by oral gavage</w:t>
            </w:r>
            <w:r w:rsidR="00DD0BF9">
              <w:t>.</w:t>
            </w:r>
            <w:r w:rsidR="00334FE3">
              <w:t xml:space="preserve"> </w:t>
            </w:r>
            <w:r w:rsidR="00DD0BF9">
              <w:t xml:space="preserve">No </w:t>
            </w:r>
            <w:r w:rsidR="00334FE3">
              <w:t xml:space="preserve">increase in tumours or splenic </w:t>
            </w:r>
            <w:proofErr w:type="spellStart"/>
            <w:r w:rsidR="00334FE3">
              <w:t>fibrosarcomas</w:t>
            </w:r>
            <w:proofErr w:type="spellEnd"/>
            <w:r w:rsidR="00DD0BF9">
              <w:t xml:space="preserve"> reported</w:t>
            </w:r>
          </w:p>
          <w:p w14:paraId="113A87C6" w14:textId="4F8D3BC6" w:rsidR="00526BCE" w:rsidRDefault="008024AE" w:rsidP="00A04C78">
            <w:pPr>
              <w:pStyle w:val="ListBullet"/>
              <w:spacing w:before="60" w:after="60"/>
              <w:ind w:left="714" w:hanging="357"/>
              <w:contextualSpacing w:val="0"/>
            </w:pPr>
            <w:r>
              <w:lastRenderedPageBreak/>
              <w:t>NTP concluded equivocal e</w:t>
            </w:r>
            <w:r w:rsidR="00526BCE">
              <w:t>vidence of carcinogenicity in male mice</w:t>
            </w:r>
            <w:r>
              <w:t>:</w:t>
            </w:r>
          </w:p>
          <w:p w14:paraId="411125A7" w14:textId="045C60FB" w:rsidR="008024AE" w:rsidRDefault="008024AE" w:rsidP="0078598D">
            <w:pPr>
              <w:pStyle w:val="ListBullet"/>
              <w:numPr>
                <w:ilvl w:val="0"/>
                <w:numId w:val="2"/>
              </w:numPr>
              <w:spacing w:before="60" w:after="60"/>
              <w:ind w:left="1156"/>
              <w:contextualSpacing w:val="0"/>
            </w:pPr>
            <w:r>
              <w:t xml:space="preserve">intubation of 30 or 100 mg/kg/d (duration not stated) in male mice caused increased incidence of hepatic </w:t>
            </w:r>
            <w:proofErr w:type="spellStart"/>
            <w:r>
              <w:t>h</w:t>
            </w:r>
            <w:r w:rsidR="0078598D">
              <w:t>a</w:t>
            </w:r>
            <w:r>
              <w:t>emangiosarcomas</w:t>
            </w:r>
            <w:proofErr w:type="spellEnd"/>
            <w:r>
              <w:t xml:space="preserve"> and increased incidence of h</w:t>
            </w:r>
            <w:r w:rsidR="00616088">
              <w:t>a</w:t>
            </w:r>
            <w:r>
              <w:t xml:space="preserve">emangioma or hemangiosarcoma (combined) at all sites </w:t>
            </w:r>
          </w:p>
          <w:p w14:paraId="7DB5C88C" w14:textId="6935E8A9" w:rsidR="008024AE" w:rsidRDefault="008024AE" w:rsidP="0078598D">
            <w:pPr>
              <w:pStyle w:val="ListBullet"/>
              <w:numPr>
                <w:ilvl w:val="0"/>
                <w:numId w:val="2"/>
              </w:numPr>
              <w:spacing w:before="60" w:after="60"/>
              <w:ind w:left="1156"/>
              <w:contextualSpacing w:val="0"/>
            </w:pPr>
            <w:r>
              <w:t>no evidence of carcinogenicity in female mice at any dose</w:t>
            </w:r>
          </w:p>
          <w:p w14:paraId="5C6053D4" w14:textId="24EABC36" w:rsidR="00526BCE" w:rsidRDefault="00526BCE" w:rsidP="00A04C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Negative results in genotoxic assays.</w:t>
            </w:r>
          </w:p>
          <w:p w14:paraId="23BD373A" w14:textId="09B2F0E5" w:rsidR="00130F72" w:rsidRDefault="00130F72" w:rsidP="00231274">
            <w:pPr>
              <w:pStyle w:val="Tabletextprimarysource"/>
            </w:pPr>
          </w:p>
          <w:p w14:paraId="44C3EAF5" w14:textId="77777777" w:rsidR="00334FE3" w:rsidRDefault="00526BCE" w:rsidP="00231274">
            <w:pPr>
              <w:pStyle w:val="Tabletextprimarysource"/>
            </w:pPr>
            <w:r>
              <w:t>Insufficient data available to recommend sensitiser notation or TLV-STEL.</w:t>
            </w:r>
          </w:p>
          <w:p w14:paraId="27605824" w14:textId="656091BD" w:rsidR="00130F72" w:rsidRPr="00DA352E" w:rsidRDefault="00130F72" w:rsidP="00231274">
            <w:pPr>
              <w:pStyle w:val="Tabletextprimarysource"/>
            </w:pPr>
          </w:p>
        </w:tc>
      </w:tr>
      <w:tr w:rsidR="00C978F0" w:rsidRPr="00DA352E" w14:paraId="2BB748AA" w14:textId="77777777" w:rsidTr="00795951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8937333" w14:textId="5E44D55C" w:rsidR="00C978F0" w:rsidRPr="00DA352E" w:rsidRDefault="00DA352E" w:rsidP="00A04C78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04C78">
                  <w:t>1999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EF6988">
                  <w:t>Not assigned</w:t>
                </w:r>
              </w:sdtContent>
            </w:sdt>
          </w:p>
        </w:tc>
      </w:tr>
      <w:tr w:rsidR="00C978F0" w:rsidRPr="00DA352E" w14:paraId="022C9CDF" w14:textId="77777777" w:rsidTr="00795951">
        <w:trPr>
          <w:gridAfter w:val="1"/>
          <w:wAfter w:w="8" w:type="pct"/>
        </w:trPr>
        <w:tc>
          <w:tcPr>
            <w:tcW w:w="4992" w:type="pct"/>
          </w:tcPr>
          <w:p w14:paraId="46404AF3" w14:textId="77777777" w:rsidR="00C978F0" w:rsidRDefault="00526BCE" w:rsidP="00231274">
            <w:pPr>
              <w:pStyle w:val="Tabletextprimarysource"/>
            </w:pPr>
            <w:r>
              <w:t>Summary of additional data:</w:t>
            </w:r>
          </w:p>
          <w:p w14:paraId="59CD05E7" w14:textId="4E050F8B" w:rsidR="004B497B" w:rsidRDefault="004B497B" w:rsidP="00A04C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useful human exposure data available</w:t>
            </w:r>
          </w:p>
          <w:p w14:paraId="7FF05E69" w14:textId="0B7528B6" w:rsidR="008F6796" w:rsidRDefault="008F6796" w:rsidP="00A04C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24 h following application (in acetone) to isolated human skin </w:t>
            </w:r>
            <w:r>
              <w:rPr>
                <w:i/>
              </w:rPr>
              <w:t>in vitro</w:t>
            </w:r>
            <w:r>
              <w:t xml:space="preserve">, 34.5% absorption and 100% absorption </w:t>
            </w:r>
            <w:r>
              <w:rPr>
                <w:i/>
              </w:rPr>
              <w:t>in vivo</w:t>
            </w:r>
            <w:r>
              <w:t xml:space="preserve"> applied to shaved abdominal skin of monkeys</w:t>
            </w:r>
          </w:p>
          <w:p w14:paraId="7ACB2064" w14:textId="28A78544" w:rsidR="00526BCE" w:rsidRDefault="00213BCF" w:rsidP="00A04C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213BCF">
              <w:rPr>
                <w:vertAlign w:val="subscript"/>
              </w:rPr>
              <w:t>50</w:t>
            </w:r>
            <w:r>
              <w:t>: 810 mg/kg (mice, oral); 750</w:t>
            </w:r>
            <w:r w:rsidR="00231274">
              <w:t>–</w:t>
            </w:r>
            <w:r>
              <w:t>3,250 mg/kg (rats, oral)</w:t>
            </w:r>
          </w:p>
          <w:p w14:paraId="78350F26" w14:textId="77777777" w:rsidR="00213BCF" w:rsidRDefault="004B497B" w:rsidP="00A04C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Negative for allergenic effects in guinea pigs</w:t>
            </w:r>
          </w:p>
          <w:p w14:paraId="16457469" w14:textId="37AFDDD9" w:rsidR="00A00A85" w:rsidRDefault="004B497B" w:rsidP="00A04C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Insufficient data to derive MAK</w:t>
            </w:r>
            <w:r w:rsidR="00A00A85">
              <w:t xml:space="preserve"> because:</w:t>
            </w:r>
            <w:r>
              <w:t xml:space="preserve"> </w:t>
            </w:r>
          </w:p>
          <w:p w14:paraId="76C1D24C" w14:textId="70DEA32C" w:rsidR="00A00A85" w:rsidRDefault="00A00A85" w:rsidP="00A00A85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 w:rsidRPr="00A00A85">
              <w:t xml:space="preserve">10 </w:t>
            </w:r>
            <w:r>
              <w:t>mg/m</w:t>
            </w:r>
            <w:r>
              <w:rPr>
                <w:vertAlign w:val="superscript"/>
              </w:rPr>
              <w:t xml:space="preserve">3 </w:t>
            </w:r>
            <w:r w:rsidRPr="00A00A85">
              <w:t xml:space="preserve">produced effects in the spleen </w:t>
            </w:r>
            <w:r>
              <w:t xml:space="preserve">in a </w:t>
            </w:r>
            <w:r w:rsidRPr="00A00A85">
              <w:t>4</w:t>
            </w:r>
            <w:r w:rsidR="006F33C4">
              <w:t>-</w:t>
            </w:r>
            <w:r w:rsidRPr="00A00A85">
              <w:t>wk inhalation study in rats</w:t>
            </w:r>
            <w:r>
              <w:t xml:space="preserve"> (cited in ACGIH, 2018)</w:t>
            </w:r>
          </w:p>
          <w:p w14:paraId="44279547" w14:textId="21D8CFE3" w:rsidR="00A00A85" w:rsidRDefault="00A00A85" w:rsidP="00A00A85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bookmarkStart w:id="1" w:name="_Hlk34403713"/>
            <w:r w:rsidRPr="00A00A85">
              <w:t>0.25 mg/kg</w:t>
            </w:r>
            <w:r>
              <w:t xml:space="preserve">/d caused effects in the spleen in </w:t>
            </w:r>
            <w:r w:rsidR="003A22D0">
              <w:t xml:space="preserve">a </w:t>
            </w:r>
            <w:r>
              <w:t>chronic toxicity study</w:t>
            </w:r>
            <w:r w:rsidR="003A22D0">
              <w:t xml:space="preserve"> in rats</w:t>
            </w:r>
            <w:r>
              <w:t xml:space="preserve"> by gavage</w:t>
            </w:r>
            <w:bookmarkEnd w:id="1"/>
            <w:r>
              <w:t xml:space="preserve"> (cited in ACGIH, 2018)</w:t>
            </w:r>
          </w:p>
          <w:p w14:paraId="60F76237" w14:textId="40412DC3" w:rsidR="00A00A85" w:rsidRDefault="00A00A85" w:rsidP="00A00A85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t>b</w:t>
            </w:r>
            <w:r w:rsidRPr="00A00A85">
              <w:t>iological activity expected to be highly dependent on exposure route and dose, making species comparisons difficult</w:t>
            </w:r>
          </w:p>
          <w:p w14:paraId="4F665B77" w14:textId="71EBA870" w:rsidR="004B497B" w:rsidRDefault="004B497B" w:rsidP="00822F29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t>however</w:t>
            </w:r>
            <w:r w:rsidR="001461E2">
              <w:t>,</w:t>
            </w:r>
            <w:r>
              <w:t xml:space="preserve"> previous MAK of 5.7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A04C78">
              <w:t xml:space="preserve">is </w:t>
            </w:r>
            <w:r>
              <w:t>too high and should be well below MAK for aniline (7.7 mg/m</w:t>
            </w:r>
            <w:r>
              <w:rPr>
                <w:vertAlign w:val="superscript"/>
              </w:rPr>
              <w:t>3</w:t>
            </w:r>
            <w:r>
              <w:t>)</w:t>
            </w:r>
            <w:r w:rsidR="00133511">
              <w:t>.</w:t>
            </w:r>
          </w:p>
          <w:p w14:paraId="316B7322" w14:textId="3E153A32" w:rsidR="00130F72" w:rsidRPr="00DA352E" w:rsidRDefault="00130F72" w:rsidP="00042444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5C41C6AD" w14:textId="77777777" w:rsidTr="00795951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48ACF5D" w14:textId="263AC58A" w:rsidR="00C978F0" w:rsidRPr="00DA352E" w:rsidRDefault="00DA352E" w:rsidP="00A04C78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C55D9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C55D90">
                  <w:t>NA</w:t>
                </w:r>
                <w:proofErr w:type="spellEnd"/>
              </w:sdtContent>
            </w:sdt>
          </w:p>
        </w:tc>
      </w:tr>
      <w:tr w:rsidR="00C978F0" w:rsidRPr="00DA352E" w14:paraId="75EE5181" w14:textId="77777777" w:rsidTr="00795951">
        <w:trPr>
          <w:gridAfter w:val="1"/>
          <w:wAfter w:w="8" w:type="pct"/>
        </w:trPr>
        <w:tc>
          <w:tcPr>
            <w:tcW w:w="4992" w:type="pct"/>
          </w:tcPr>
          <w:p w14:paraId="626FCBE7" w14:textId="3338BD21" w:rsidR="00C978F0" w:rsidRPr="00DA352E" w:rsidRDefault="00C55D90" w:rsidP="00231274">
            <w:pPr>
              <w:pStyle w:val="Tabletextprimarysource"/>
            </w:pPr>
            <w:r>
              <w:t>No report</w:t>
            </w:r>
            <w:r w:rsidR="00231274">
              <w:t>.</w:t>
            </w:r>
          </w:p>
        </w:tc>
      </w:tr>
      <w:tr w:rsidR="00DA352E" w:rsidRPr="00DA352E" w14:paraId="393A703D" w14:textId="77777777" w:rsidTr="00795951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2B9B3FA" w14:textId="6F4E65B1" w:rsidR="00DA352E" w:rsidRPr="00DA352E" w:rsidRDefault="00DA352E" w:rsidP="00A04C78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C55D9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C55D90">
                  <w:t>NA</w:t>
                </w:r>
                <w:proofErr w:type="spellEnd"/>
              </w:sdtContent>
            </w:sdt>
          </w:p>
        </w:tc>
      </w:tr>
      <w:tr w:rsidR="00DA352E" w:rsidRPr="00DA352E" w14:paraId="55A9D1B4" w14:textId="77777777" w:rsidTr="00795951">
        <w:trPr>
          <w:gridAfter w:val="1"/>
          <w:wAfter w:w="8" w:type="pct"/>
        </w:trPr>
        <w:tc>
          <w:tcPr>
            <w:tcW w:w="4992" w:type="pct"/>
          </w:tcPr>
          <w:p w14:paraId="11F095A7" w14:textId="22BC5EF3" w:rsidR="00DA352E" w:rsidRPr="00DA352E" w:rsidRDefault="00C55D90" w:rsidP="00231274">
            <w:pPr>
              <w:pStyle w:val="Tabletextprimarysource"/>
            </w:pPr>
            <w:r>
              <w:t>No report</w:t>
            </w:r>
            <w:r w:rsidR="00231274">
              <w:t>.</w:t>
            </w:r>
          </w:p>
        </w:tc>
      </w:tr>
      <w:tr w:rsidR="00DA352E" w:rsidRPr="00DA352E" w14:paraId="71EECFB3" w14:textId="77777777" w:rsidTr="00795951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EDEBC68" w14:textId="7DCA9082" w:rsidR="00DA352E" w:rsidRPr="00DA352E" w:rsidRDefault="00DA352E" w:rsidP="00A04C78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C55D90">
                  <w:t>2008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592E3D">
                  <w:t>Not assigned</w:t>
                </w:r>
              </w:sdtContent>
            </w:sdt>
          </w:p>
        </w:tc>
      </w:tr>
      <w:tr w:rsidR="00DA352E" w:rsidRPr="00DA352E" w14:paraId="1324FA5C" w14:textId="77777777" w:rsidTr="00795951">
        <w:trPr>
          <w:gridAfter w:val="1"/>
          <w:wAfter w:w="8" w:type="pct"/>
        </w:trPr>
        <w:tc>
          <w:tcPr>
            <w:tcW w:w="4992" w:type="pct"/>
          </w:tcPr>
          <w:p w14:paraId="03D39F08" w14:textId="77777777" w:rsidR="00B75A58" w:rsidRDefault="00B75A58" w:rsidP="00231274">
            <w:pPr>
              <w:pStyle w:val="Tabletextprimarysource"/>
            </w:pPr>
            <w:r>
              <w:t>Summary of additional data:</w:t>
            </w:r>
          </w:p>
          <w:p w14:paraId="2F7DAAD0" w14:textId="77777777" w:rsidR="00040407" w:rsidRDefault="00040407" w:rsidP="00A04C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Evaluation of </w:t>
            </w:r>
            <w:r w:rsidRPr="00040407">
              <w:t xml:space="preserve">the carcinogenicity and genotoxicity </w:t>
            </w:r>
          </w:p>
          <w:p w14:paraId="44CFDD70" w14:textId="6725C82F" w:rsidR="002366DD" w:rsidRDefault="002366DD" w:rsidP="00A04C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Carcinogenic mechanism which caused tumours in male mice unclear</w:t>
            </w:r>
          </w:p>
          <w:p w14:paraId="15FDCFFE" w14:textId="77777777" w:rsidR="00130F72" w:rsidRDefault="002366DD" w:rsidP="00A04C7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Committee </w:t>
            </w:r>
            <w:r w:rsidR="00656AB9">
              <w:t>noted</w:t>
            </w:r>
            <w:r>
              <w:t xml:space="preserve"> p-nitroaniline had not been sufficiently investigated. While available data does not warrant classification as carcinogenic to humans, it was recommended to classify as </w:t>
            </w:r>
            <w:r w:rsidRPr="002366DD">
              <w:rPr>
                <w:i/>
              </w:rPr>
              <w:t>a suspected human carcinogen</w:t>
            </w:r>
            <w:r>
              <w:t>.</w:t>
            </w:r>
          </w:p>
          <w:p w14:paraId="71A2F1D9" w14:textId="0B8F5D60" w:rsidR="00DA352E" w:rsidRPr="00DA352E" w:rsidRDefault="002366DD" w:rsidP="00042444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 xml:space="preserve"> </w:t>
            </w:r>
          </w:p>
        </w:tc>
      </w:tr>
    </w:tbl>
    <w:p w14:paraId="0CA55DE3" w14:textId="77777777" w:rsidR="00A20751" w:rsidRPr="004C23F4" w:rsidRDefault="00A20751" w:rsidP="003365A5">
      <w:pPr>
        <w:pStyle w:val="Heading3"/>
      </w:pPr>
      <w:bookmarkStart w:id="2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3"/>
        <w:gridCol w:w="423"/>
        <w:gridCol w:w="661"/>
        <w:gridCol w:w="6449"/>
      </w:tblGrid>
      <w:tr w:rsidR="004966BF" w:rsidRPr="00263255" w14:paraId="0E8F2D3A" w14:textId="77777777" w:rsidTr="00795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3" w:type="dxa"/>
            <w:shd w:val="clear" w:color="auto" w:fill="BFBFBF" w:themeFill="background1" w:themeFillShade="BF"/>
            <w:vAlign w:val="center"/>
          </w:tcPr>
          <w:p w14:paraId="3F0F855D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517C0797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E3C1EA6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9" w:type="dxa"/>
            <w:shd w:val="clear" w:color="auto" w:fill="BFBFBF" w:themeFill="background1" w:themeFillShade="BF"/>
            <w:vAlign w:val="center"/>
          </w:tcPr>
          <w:p w14:paraId="03708446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27378757" w14:textId="77777777" w:rsidTr="00795951">
        <w:trPr>
          <w:cantSplit/>
        </w:trPr>
        <w:tc>
          <w:tcPr>
            <w:tcW w:w="1493" w:type="dxa"/>
          </w:tcPr>
          <w:p w14:paraId="24FBE31A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6E441A69" w14:textId="52B7A1DC" w:rsidR="004966BF" w:rsidRPr="00CE617F" w:rsidRDefault="0079595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F3A9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5B6104D" w14:textId="44D5CFD8" w:rsidR="004966BF" w:rsidRPr="004C23F4" w:rsidRDefault="004F3A96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2017</w:t>
            </w:r>
          </w:p>
        </w:tc>
        <w:tc>
          <w:tcPr>
            <w:tcW w:w="6449" w:type="dxa"/>
          </w:tcPr>
          <w:p w14:paraId="03A859A8" w14:textId="587FD56D" w:rsidR="004850F0" w:rsidRDefault="004850F0" w:rsidP="0004244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 w:rsidRPr="004850F0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>: &gt;500 mg/kg (guinea pigs, dermal)</w:t>
            </w:r>
          </w:p>
          <w:p w14:paraId="78904E9D" w14:textId="77777777" w:rsidR="004850F0" w:rsidRDefault="004850F0" w:rsidP="0004244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Not found to be irritating to skin of rabbit</w:t>
            </w:r>
          </w:p>
          <w:p w14:paraId="35A11ECB" w14:textId="77777777" w:rsidR="004850F0" w:rsidRDefault="003A3158" w:rsidP="0004244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Considered a skin sensitiser and warrants a hazard classification</w:t>
            </w:r>
          </w:p>
          <w:p w14:paraId="7685E17E" w14:textId="77777777" w:rsidR="0081305F" w:rsidRPr="0081305F" w:rsidRDefault="0081305F" w:rsidP="00042444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bookmarkStart w:id="3" w:name="_Hlk34308475"/>
            <w:r>
              <w:rPr>
                <w:rStyle w:val="checkbox"/>
                <w:rFonts w:ascii="Arial" w:hAnsi="Arial" w:cs="Arial"/>
              </w:rPr>
              <w:t>Rats exposed at 0, 5, 15 or 45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>
              <w:t>(6 h/d, 5 d/</w:t>
            </w:r>
            <w:proofErr w:type="spellStart"/>
            <w:r>
              <w:t>wk</w:t>
            </w:r>
            <w:proofErr w:type="spellEnd"/>
            <w:r>
              <w:t xml:space="preserve"> for 4 </w:t>
            </w:r>
            <w:proofErr w:type="spellStart"/>
            <w:r>
              <w:t>wk</w:t>
            </w:r>
            <w:proofErr w:type="spellEnd"/>
            <w:r>
              <w:t>):</w:t>
            </w:r>
          </w:p>
          <w:p w14:paraId="13053B6E" w14:textId="22779C87" w:rsidR="008B29E0" w:rsidRPr="008B29E0" w:rsidRDefault="00532F61" w:rsidP="008B29E0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  <w:rPr>
                <w:rFonts w:cs="Arial"/>
              </w:rPr>
            </w:pPr>
            <w:r>
              <w:t xml:space="preserve">increase in mean spleen weights </w:t>
            </w:r>
          </w:p>
          <w:p w14:paraId="64E0E100" w14:textId="4DFE3CDF" w:rsidR="003A3158" w:rsidRPr="00F128ED" w:rsidRDefault="008B29E0" w:rsidP="00BF58F6">
            <w:pPr>
              <w:pStyle w:val="ListBullet"/>
              <w:numPr>
                <w:ilvl w:val="0"/>
                <w:numId w:val="10"/>
              </w:numPr>
              <w:spacing w:before="60" w:after="60"/>
              <w:contextualSpacing w:val="0"/>
              <w:rPr>
                <w:rFonts w:cs="Arial"/>
              </w:rPr>
            </w:pPr>
            <w:r w:rsidRPr="00F128ED">
              <w:rPr>
                <w:rFonts w:cs="Arial"/>
              </w:rPr>
              <w:t xml:space="preserve">referenced NTP document for </w:t>
            </w:r>
            <w:r w:rsidRPr="00CE7F6D">
              <w:rPr>
                <w:rFonts w:cs="Arial"/>
                <w:i/>
              </w:rPr>
              <w:t>Nair et</w:t>
            </w:r>
            <w:r w:rsidR="00114490" w:rsidRPr="00CE7F6D">
              <w:rPr>
                <w:rFonts w:cs="Arial"/>
                <w:i/>
              </w:rPr>
              <w:t>.</w:t>
            </w:r>
            <w:r w:rsidRPr="00CE7F6D">
              <w:rPr>
                <w:rFonts w:cs="Arial"/>
                <w:i/>
              </w:rPr>
              <w:t xml:space="preserve"> al, 1986</w:t>
            </w:r>
            <w:r w:rsidRPr="00F128ED">
              <w:rPr>
                <w:rFonts w:cs="Arial"/>
              </w:rPr>
              <w:t xml:space="preserve"> study</w:t>
            </w:r>
          </w:p>
          <w:bookmarkEnd w:id="3"/>
          <w:p w14:paraId="749C3203" w14:textId="032F4521" w:rsidR="008117B4" w:rsidRPr="004C23F4" w:rsidRDefault="008117B4" w:rsidP="0004244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t>Insufficient evidence to evaluate genotoxicity potential.</w:t>
            </w:r>
          </w:p>
        </w:tc>
      </w:tr>
      <w:tr w:rsidR="004966BF" w:rsidRPr="004C23F4" w14:paraId="1AA1EDDA" w14:textId="77777777" w:rsidTr="00795951">
        <w:trPr>
          <w:cantSplit/>
        </w:trPr>
        <w:tc>
          <w:tcPr>
            <w:tcW w:w="1493" w:type="dxa"/>
          </w:tcPr>
          <w:p w14:paraId="1654B031" w14:textId="77777777" w:rsidR="004966BF" w:rsidRPr="004C23F4" w:rsidRDefault="004966BF" w:rsidP="00224EE2">
            <w:pPr>
              <w:pStyle w:val="Tablefont"/>
            </w:pPr>
            <w:r>
              <w:t>NTP</w:t>
            </w:r>
          </w:p>
        </w:tc>
        <w:tc>
          <w:tcPr>
            <w:tcW w:w="423" w:type="dxa"/>
          </w:tcPr>
          <w:p w14:paraId="49F807CA" w14:textId="01963E56" w:rsidR="004966BF" w:rsidRPr="00CE617F" w:rsidRDefault="0079595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954586092"/>
                <w:placeholder>
                  <w:docPart w:val="0599BE4318CD4CC0836196E577CC2921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5326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B4FAEDE" w14:textId="276914F3" w:rsidR="004966BF" w:rsidRPr="004C23F4" w:rsidRDefault="00F5326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1993</w:t>
            </w:r>
          </w:p>
        </w:tc>
        <w:tc>
          <w:tcPr>
            <w:tcW w:w="6449" w:type="dxa"/>
          </w:tcPr>
          <w:p w14:paraId="00927E56" w14:textId="75A05206" w:rsidR="00F128ED" w:rsidRDefault="00F128ED" w:rsidP="0004244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CE7F6D">
              <w:rPr>
                <w:rStyle w:val="checkbox"/>
                <w:rFonts w:ascii="Arial" w:hAnsi="Arial" w:cs="Arial"/>
              </w:rPr>
              <w:t>Evaluated</w:t>
            </w:r>
            <w:r>
              <w:rPr>
                <w:rStyle w:val="checkbox"/>
                <w:rFonts w:ascii="Arial" w:hAnsi="Arial" w:cs="Arial"/>
                <w:i/>
              </w:rPr>
              <w:t xml:space="preserve"> </w:t>
            </w:r>
            <w:r w:rsidR="00EB7F76" w:rsidRPr="00CE7F6D">
              <w:rPr>
                <w:rStyle w:val="checkbox"/>
                <w:rFonts w:ascii="Arial" w:hAnsi="Arial" w:cs="Arial"/>
                <w:i/>
              </w:rPr>
              <w:t>N</w:t>
            </w:r>
            <w:r w:rsidRPr="00CE7F6D">
              <w:rPr>
                <w:rStyle w:val="checkbox"/>
                <w:rFonts w:ascii="Arial" w:hAnsi="Arial" w:cs="Arial"/>
                <w:i/>
              </w:rPr>
              <w:t xml:space="preserve">air et. </w:t>
            </w:r>
            <w:r>
              <w:rPr>
                <w:rStyle w:val="checkbox"/>
                <w:rFonts w:ascii="Arial" w:hAnsi="Arial" w:cs="Arial"/>
                <w:i/>
              </w:rPr>
              <w:t>a</w:t>
            </w:r>
            <w:r w:rsidRPr="00CE7F6D">
              <w:rPr>
                <w:rStyle w:val="checkbox"/>
                <w:rFonts w:ascii="Arial" w:hAnsi="Arial" w:cs="Arial"/>
                <w:i/>
              </w:rPr>
              <w:t>l 1986</w:t>
            </w:r>
            <w:r>
              <w:rPr>
                <w:rStyle w:val="checkbox"/>
                <w:rFonts w:ascii="Arial" w:hAnsi="Arial" w:cs="Arial"/>
              </w:rPr>
              <w:t xml:space="preserve"> cited by ACGIH</w:t>
            </w:r>
            <w:r w:rsidR="00803F59">
              <w:rPr>
                <w:rStyle w:val="checkbox"/>
                <w:rFonts w:ascii="Arial" w:hAnsi="Arial" w:cs="Arial"/>
              </w:rPr>
              <w:t xml:space="preserve"> (</w:t>
            </w:r>
            <w:r>
              <w:rPr>
                <w:rStyle w:val="checkbox"/>
                <w:rFonts w:ascii="Arial" w:hAnsi="Arial" w:cs="Arial"/>
              </w:rPr>
              <w:t>2001</w:t>
            </w:r>
            <w:r w:rsidR="00803F59">
              <w:rPr>
                <w:rStyle w:val="checkbox"/>
                <w:rFonts w:ascii="Arial" w:hAnsi="Arial" w:cs="Arial"/>
              </w:rPr>
              <w:t>)</w:t>
            </w:r>
            <w:r>
              <w:rPr>
                <w:rStyle w:val="checkbox"/>
                <w:rFonts w:ascii="Arial" w:hAnsi="Arial" w:cs="Arial"/>
              </w:rPr>
              <w:t>:</w:t>
            </w:r>
          </w:p>
          <w:p w14:paraId="25866B78" w14:textId="77777777" w:rsidR="00F128ED" w:rsidRDefault="00F128ED" w:rsidP="00A04D61">
            <w:pPr>
              <w:pStyle w:val="ListBullet"/>
              <w:numPr>
                <w:ilvl w:val="0"/>
                <w:numId w:val="12"/>
              </w:numPr>
              <w:spacing w:before="60" w:after="60"/>
              <w:contextualSpacing w:val="0"/>
              <w:rPr>
                <w:rFonts w:cs="Arial"/>
                <w:lang w:eastAsia="en-AU"/>
              </w:rPr>
            </w:pPr>
            <w:r w:rsidRPr="00E830B7">
              <w:rPr>
                <w:rFonts w:cs="Arial"/>
              </w:rPr>
              <w:t>exposure concentrations as mentioned by NICNAS</w:t>
            </w:r>
          </w:p>
          <w:p w14:paraId="4AF4565C" w14:textId="22A85AD0" w:rsidR="004966BF" w:rsidRPr="004C23F4" w:rsidRDefault="00F128ED" w:rsidP="00A04D61">
            <w:pPr>
              <w:pStyle w:val="ListBullet"/>
              <w:numPr>
                <w:ilvl w:val="0"/>
                <w:numId w:val="12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E830B7">
              <w:rPr>
                <w:rFonts w:cs="Arial"/>
              </w:rPr>
              <w:t>mean spleen weights increased in all dose group, only reported lesions were hemosiderosis and haematopoiesis</w:t>
            </w:r>
            <w:r w:rsidR="001A09D9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17C65F2B" w14:textId="77777777" w:rsidTr="00795951">
        <w:trPr>
          <w:cantSplit/>
        </w:trPr>
        <w:tc>
          <w:tcPr>
            <w:tcW w:w="1493" w:type="dxa"/>
          </w:tcPr>
          <w:p w14:paraId="22E69C04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3" w:type="dxa"/>
          </w:tcPr>
          <w:p w14:paraId="03FC1315" w14:textId="2C827524" w:rsidR="004966BF" w:rsidRDefault="0079595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A09D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874C6FF" w14:textId="71E39E0E" w:rsidR="004966BF" w:rsidRPr="004C23F4" w:rsidRDefault="001A09D9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9" w:type="dxa"/>
          </w:tcPr>
          <w:p w14:paraId="24D54714" w14:textId="59E9D539" w:rsidR="004966BF" w:rsidRDefault="001A09D9" w:rsidP="0004244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REL=3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</w:p>
          <w:p w14:paraId="33031195" w14:textId="3292E418" w:rsidR="001A09D9" w:rsidRPr="004C23F4" w:rsidRDefault="001A09D9" w:rsidP="0004244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IDLH based on analogy to aniline.</w:t>
            </w:r>
          </w:p>
        </w:tc>
      </w:tr>
    </w:tbl>
    <w:bookmarkEnd w:id="2"/>
    <w:p w14:paraId="482A3B78" w14:textId="77777777" w:rsidR="007E2A4B" w:rsidRDefault="007E2A4B" w:rsidP="00231274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2DBAEF5C" w14:textId="77777777" w:rsidTr="008F6796">
        <w:trPr>
          <w:trHeight w:val="454"/>
          <w:tblHeader/>
        </w:trPr>
        <w:tc>
          <w:tcPr>
            <w:tcW w:w="6597" w:type="dxa"/>
            <w:vAlign w:val="center"/>
          </w:tcPr>
          <w:p w14:paraId="17384DCD" w14:textId="77777777" w:rsidR="002E0D61" w:rsidRDefault="00B1422A" w:rsidP="00231274">
            <w:pPr>
              <w:pStyle w:val="Tablefont"/>
              <w:keepNext/>
              <w:keepLines/>
              <w:spacing w:before="40" w:after="40"/>
            </w:pPr>
            <w:bookmarkStart w:id="4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660D77D4" w14:textId="30E205DA" w:rsidR="002E0D61" w:rsidRDefault="008F6796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3B157F12" w14:textId="77777777" w:rsidTr="008F6796">
        <w:trPr>
          <w:trHeight w:val="454"/>
        </w:trPr>
        <w:tc>
          <w:tcPr>
            <w:tcW w:w="6597" w:type="dxa"/>
            <w:vAlign w:val="center"/>
          </w:tcPr>
          <w:p w14:paraId="777D731C" w14:textId="77777777" w:rsidR="008A36CF" w:rsidRDefault="008A36CF" w:rsidP="00231274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2B5FF72" w14:textId="588DDF66" w:rsidR="008A36CF" w:rsidRDefault="008F6796" w:rsidP="00231274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22F29" w14:paraId="231EAAF7" w14:textId="77777777" w:rsidTr="00A264FF">
        <w:trPr>
          <w:trHeight w:val="454"/>
        </w:trPr>
        <w:sdt>
          <w:sdtPr>
            <w:rPr>
              <w:b/>
            </w:rPr>
            <w:id w:val="1830936485"/>
            <w:placeholder>
              <w:docPart w:val="FB79F68F32C348C484233168B700BAF2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43D37AE6" w14:textId="7EF5129C" w:rsidR="00822F29" w:rsidRDefault="00822F29" w:rsidP="00231274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4"/>
    <w:p w14:paraId="75CDB5C5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BA09EA9" w14:textId="77777777" w:rsidTr="00795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FC34531" w14:textId="77777777" w:rsidR="00687890" w:rsidRPr="004C23F4" w:rsidRDefault="00687890" w:rsidP="00263255">
            <w:pPr>
              <w:pStyle w:val="Tableheader"/>
            </w:pPr>
            <w:bookmarkStart w:id="5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142681B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C2DA749" w14:textId="77777777" w:rsidTr="00795951">
        <w:trPr>
          <w:cantSplit/>
        </w:trPr>
        <w:tc>
          <w:tcPr>
            <w:tcW w:w="3227" w:type="dxa"/>
          </w:tcPr>
          <w:p w14:paraId="3BF3A4D8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D07B815" w14:textId="77777777" w:rsidR="00687890" w:rsidRPr="00DD2F9B" w:rsidRDefault="008C0622" w:rsidP="00DD2F9B">
            <w:pPr>
              <w:pStyle w:val="Tablefont"/>
            </w:pPr>
            <w:r w:rsidRPr="00656AB9">
              <w:t>—</w:t>
            </w:r>
          </w:p>
        </w:tc>
      </w:tr>
      <w:tr w:rsidR="007925F0" w:rsidRPr="004C23F4" w14:paraId="02A59E84" w14:textId="77777777" w:rsidTr="00795951">
        <w:trPr>
          <w:cantSplit/>
        </w:trPr>
        <w:tc>
          <w:tcPr>
            <w:tcW w:w="3227" w:type="dxa"/>
          </w:tcPr>
          <w:p w14:paraId="7E779B6B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D925A78" w14:textId="77777777" w:rsidR="007925F0" w:rsidRPr="00DD2F9B" w:rsidRDefault="003416ED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01852E3A" w14:textId="77777777" w:rsidTr="00795951">
        <w:trPr>
          <w:cantSplit/>
        </w:trPr>
        <w:tc>
          <w:tcPr>
            <w:tcW w:w="3227" w:type="dxa"/>
          </w:tcPr>
          <w:p w14:paraId="26BED72A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2513C5B" w14:textId="77777777" w:rsidR="00AF483F" w:rsidRPr="00DD2F9B" w:rsidRDefault="002F3A51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9A00ECF" w14:textId="77777777" w:rsidTr="00795951">
        <w:trPr>
          <w:cantSplit/>
        </w:trPr>
        <w:tc>
          <w:tcPr>
            <w:tcW w:w="3227" w:type="dxa"/>
          </w:tcPr>
          <w:p w14:paraId="6D4B1F4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5FB6D61" w14:textId="77777777" w:rsidR="00687890" w:rsidRPr="00DD2F9B" w:rsidRDefault="002F3A51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1E858493" w14:textId="77777777" w:rsidTr="00795951">
        <w:trPr>
          <w:cantSplit/>
        </w:trPr>
        <w:tc>
          <w:tcPr>
            <w:tcW w:w="3227" w:type="dxa"/>
          </w:tcPr>
          <w:p w14:paraId="1C64FCAF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93E851C" w14:textId="77777777" w:rsidR="00E41A26" w:rsidRPr="00DD2F9B" w:rsidRDefault="002F3A51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A50CFB9" w14:textId="77777777" w:rsidTr="00795951">
        <w:trPr>
          <w:cantSplit/>
        </w:trPr>
        <w:tc>
          <w:tcPr>
            <w:tcW w:w="3227" w:type="dxa"/>
          </w:tcPr>
          <w:p w14:paraId="033BC97B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7AD3180" w14:textId="77777777" w:rsidR="002E0D61" w:rsidRPr="00DD2F9B" w:rsidRDefault="002F3A51" w:rsidP="00DD2F9B">
            <w:pPr>
              <w:pStyle w:val="Tablefont"/>
            </w:pPr>
            <w:r w:rsidRPr="002F3A51">
              <w:t>Carcinogenicity – A4</w:t>
            </w:r>
            <w:r w:rsidR="00951ED7">
              <w:t>, Skin</w:t>
            </w:r>
          </w:p>
        </w:tc>
      </w:tr>
      <w:tr w:rsidR="002E0D61" w:rsidRPr="004C23F4" w14:paraId="5237DB86" w14:textId="77777777" w:rsidTr="00795951">
        <w:trPr>
          <w:cantSplit/>
        </w:trPr>
        <w:tc>
          <w:tcPr>
            <w:tcW w:w="3227" w:type="dxa"/>
          </w:tcPr>
          <w:p w14:paraId="493DBCF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087BBAE" w14:textId="77777777" w:rsidR="002E0D61" w:rsidRPr="00DD2F9B" w:rsidRDefault="00070336" w:rsidP="00DD2F9B">
            <w:pPr>
              <w:pStyle w:val="Tablefont"/>
            </w:pPr>
            <w:r w:rsidRPr="00070336">
              <w:t>Carcinogenicity – 3A</w:t>
            </w:r>
            <w:r w:rsidR="00EF6988">
              <w:t>, H (skin)</w:t>
            </w:r>
          </w:p>
        </w:tc>
      </w:tr>
      <w:tr w:rsidR="002E0D61" w:rsidRPr="004C23F4" w14:paraId="78CF7E6E" w14:textId="77777777" w:rsidTr="00795951">
        <w:trPr>
          <w:cantSplit/>
        </w:trPr>
        <w:tc>
          <w:tcPr>
            <w:tcW w:w="3227" w:type="dxa"/>
          </w:tcPr>
          <w:p w14:paraId="43ED914D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BEC06DA" w14:textId="77777777" w:rsidR="002E0D61" w:rsidRPr="00DD2F9B" w:rsidRDefault="00C55D9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741D46F" w14:textId="77777777" w:rsidTr="00795951">
        <w:trPr>
          <w:cantSplit/>
        </w:trPr>
        <w:tc>
          <w:tcPr>
            <w:tcW w:w="3227" w:type="dxa"/>
          </w:tcPr>
          <w:p w14:paraId="4B324CBA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3B664B1" w14:textId="77777777" w:rsidR="002E0D61" w:rsidRPr="00DD2F9B" w:rsidRDefault="00592E3D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6658E7B2" w14:textId="77777777" w:rsidTr="00795951">
        <w:trPr>
          <w:cantSplit/>
        </w:trPr>
        <w:tc>
          <w:tcPr>
            <w:tcW w:w="3227" w:type="dxa"/>
          </w:tcPr>
          <w:p w14:paraId="637F8302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DD1D804" w14:textId="77777777" w:rsidR="00386093" w:rsidRPr="00DD2F9B" w:rsidRDefault="002F3A51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23E6269" w14:textId="77777777" w:rsidTr="00795951">
        <w:trPr>
          <w:cantSplit/>
        </w:trPr>
        <w:tc>
          <w:tcPr>
            <w:tcW w:w="3227" w:type="dxa"/>
          </w:tcPr>
          <w:p w14:paraId="7BBD741F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E1CCF03" w14:textId="77777777" w:rsidR="00386093" w:rsidRPr="00DD2F9B" w:rsidRDefault="002F3A51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5"/>
    <w:p w14:paraId="4E521216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D8CBBD2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C080A9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B0E3B5B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6" w:name="SkinNot"/>
            <w:r>
              <w:t>Calculation</w:t>
            </w:r>
            <w:r w:rsidR="00177CA1">
              <w:tab/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3653"/>
        <w:gridCol w:w="1100"/>
        <w:gridCol w:w="1099"/>
        <w:gridCol w:w="3174"/>
      </w:tblGrid>
      <w:tr w:rsidR="008F6796" w14:paraId="34D4F7B3" w14:textId="77777777" w:rsidTr="008F6796">
        <w:trPr>
          <w:trHeight w:val="342"/>
        </w:trPr>
        <w:tc>
          <w:tcPr>
            <w:tcW w:w="20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bookmarkEnd w:id="6"/>
          <w:p w14:paraId="03486B03" w14:textId="77777777" w:rsidR="008F6796" w:rsidRDefault="008F6796">
            <w:pPr>
              <w:spacing w:after="0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Adverse effects in human case study: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C3E0FE9" w14:textId="77777777" w:rsidR="008F6796" w:rsidRDefault="008F679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3F50B81" w14:textId="77777777" w:rsidR="008F6796" w:rsidRDefault="008F6796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75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AC724A1" w14:textId="77777777" w:rsidR="008F6796" w:rsidRDefault="008F679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8F6796" w14:paraId="6594FB06" w14:textId="77777777" w:rsidTr="008F6796">
        <w:trPr>
          <w:trHeight w:val="342"/>
        </w:trPr>
        <w:tc>
          <w:tcPr>
            <w:tcW w:w="20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92F653E" w14:textId="77777777" w:rsidR="008F6796" w:rsidRDefault="008F6796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Dermal LD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50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≤1000 mg/kg: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A4BE5D8" w14:textId="77777777" w:rsidR="008F6796" w:rsidRDefault="008F679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CBD8602" w14:textId="77777777" w:rsidR="008F6796" w:rsidRDefault="008F6796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75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DCABBD6" w14:textId="77777777" w:rsidR="008F6796" w:rsidRDefault="008F679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8F6796" w14:paraId="13ECF5D3" w14:textId="77777777" w:rsidTr="008F6796">
        <w:trPr>
          <w:trHeight w:val="342"/>
        </w:trPr>
        <w:tc>
          <w:tcPr>
            <w:tcW w:w="20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F6EFFCE" w14:textId="77777777" w:rsidR="008F6796" w:rsidRDefault="008F6796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Dermal repeat-dose NOAEL ≤200 mg/kg: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0584786" w14:textId="77777777" w:rsidR="008F6796" w:rsidRDefault="008F679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5BC904F" w14:textId="77777777" w:rsidR="008F6796" w:rsidRDefault="008F6796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75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DF8FC1F" w14:textId="77777777" w:rsidR="008F6796" w:rsidRDefault="008F679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8F6796" w14:paraId="38301AA6" w14:textId="77777777" w:rsidTr="008F6796">
        <w:trPr>
          <w:trHeight w:val="342"/>
        </w:trPr>
        <w:tc>
          <w:tcPr>
            <w:tcW w:w="20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49F5ADA" w14:textId="77777777" w:rsidR="008F6796" w:rsidRDefault="008F6796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Dermal LD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50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/Inhalation LD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50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&lt;10: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06CFD56" w14:textId="77777777" w:rsidR="008F6796" w:rsidRDefault="008F679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03FC986" w14:textId="77777777" w:rsidR="008F6796" w:rsidRDefault="008F6796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75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A22E821" w14:textId="77777777" w:rsidR="008F6796" w:rsidRDefault="008F679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8F6796" w14:paraId="3ADFC8E8" w14:textId="77777777" w:rsidTr="008F6796">
        <w:trPr>
          <w:trHeight w:val="342"/>
        </w:trPr>
        <w:tc>
          <w:tcPr>
            <w:tcW w:w="20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87B11EC" w14:textId="77777777" w:rsidR="008F6796" w:rsidRDefault="008F6796">
            <w:pPr>
              <w:jc w:val="right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In vivo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dermal absorption rate &gt;10%: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14:paraId="146B4661" w14:textId="77777777" w:rsidR="008F6796" w:rsidRDefault="008F6796">
            <w:pPr>
              <w:jc w:val="center"/>
              <w:rPr>
                <w:rFonts w:ascii="Segoe UI" w:hAnsi="Segoe UI" w:cs="Segoe UI"/>
                <w:color w:val="9C6500"/>
                <w:sz w:val="18"/>
                <w:szCs w:val="18"/>
              </w:rPr>
            </w:pPr>
            <w:r>
              <w:rPr>
                <w:rFonts w:ascii="Segoe UI" w:hAnsi="Segoe UI" w:cs="Segoe UI"/>
                <w:color w:val="9C6500"/>
                <w:sz w:val="18"/>
                <w:szCs w:val="18"/>
              </w:rPr>
              <w:t>yes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277C131" w14:textId="77777777" w:rsidR="008F6796" w:rsidRDefault="008F6796">
            <w:pPr>
              <w:jc w:val="right"/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3.00</w:t>
            </w:r>
          </w:p>
        </w:tc>
        <w:tc>
          <w:tcPr>
            <w:tcW w:w="175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73B595A" w14:textId="77777777" w:rsidR="008F6796" w:rsidRDefault="008F679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8F6796" w14:paraId="63BBA987" w14:textId="77777777" w:rsidTr="008F6796">
        <w:trPr>
          <w:trHeight w:val="342"/>
        </w:trPr>
        <w:tc>
          <w:tcPr>
            <w:tcW w:w="20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62B45D2" w14:textId="77777777" w:rsidR="008F6796" w:rsidRDefault="008F6796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Estimated dermal exposure at WES &gt;10%: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5226574" w14:textId="77777777" w:rsidR="008F6796" w:rsidRDefault="008F679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39AD6A8" w14:textId="77777777" w:rsidR="008F6796" w:rsidRDefault="008F6796">
            <w:pPr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 </w:t>
            </w:r>
          </w:p>
        </w:tc>
        <w:tc>
          <w:tcPr>
            <w:tcW w:w="175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6299164" w14:textId="77777777" w:rsidR="008F6796" w:rsidRDefault="008F679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8F6796" w14:paraId="4507C7EA" w14:textId="77777777" w:rsidTr="008F6796">
        <w:trPr>
          <w:trHeight w:val="342"/>
        </w:trPr>
        <w:tc>
          <w:tcPr>
            <w:tcW w:w="202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1639814" w14:textId="77777777" w:rsidR="008F6796" w:rsidRDefault="008F6796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4CE10A7" w14:textId="77777777" w:rsidR="008F6796" w:rsidRDefault="008F679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061CB43" w14:textId="77777777" w:rsidR="008F6796" w:rsidRDefault="008F6796">
            <w:pPr>
              <w:jc w:val="right"/>
              <w:rPr>
                <w:rFonts w:ascii="Segoe UI" w:hAnsi="Segoe UI" w:cs="Segoe UI"/>
                <w:color w:val="C5D9F1"/>
                <w:sz w:val="18"/>
                <w:szCs w:val="18"/>
              </w:rPr>
            </w:pPr>
            <w:r>
              <w:rPr>
                <w:rFonts w:ascii="Segoe UI" w:hAnsi="Segoe UI" w:cs="Segoe UI"/>
                <w:color w:val="C5D9F1"/>
                <w:sz w:val="18"/>
                <w:szCs w:val="18"/>
              </w:rPr>
              <w:t>3</w:t>
            </w:r>
          </w:p>
        </w:tc>
        <w:tc>
          <w:tcPr>
            <w:tcW w:w="1758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2BF6EBB" w14:textId="77777777" w:rsidR="008F6796" w:rsidRDefault="008F6796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consider assigning a skin notation</w:t>
            </w:r>
          </w:p>
        </w:tc>
      </w:tr>
    </w:tbl>
    <w:p w14:paraId="016AFA4E" w14:textId="622142E5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6F9076A0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0113CB6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052B257" w14:textId="77777777" w:rsidR="00EB3D1B" w:rsidRDefault="002F3A51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1423C2A3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3574977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AEEB5AA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2BC1B6A" w14:textId="77777777" w:rsidR="001B79E5" w:rsidRDefault="008C0622" w:rsidP="001B79E5">
                <w:pPr>
                  <w:pStyle w:val="Tablefont"/>
                </w:pPr>
                <w:r>
                  <w:t>138.12</w:t>
                </w:r>
              </w:p>
            </w:tc>
          </w:sdtContent>
        </w:sdt>
      </w:tr>
      <w:tr w:rsidR="00A31D99" w:rsidRPr="004C23F4" w14:paraId="793DA71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4E45221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62F8CE9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2378F9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3F7B56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76B80C4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20C30B0" w14:textId="77777777" w:rsidTr="00EA6243">
        <w:trPr>
          <w:cantSplit/>
        </w:trPr>
        <w:tc>
          <w:tcPr>
            <w:tcW w:w="4077" w:type="dxa"/>
            <w:vAlign w:val="center"/>
          </w:tcPr>
          <w:p w14:paraId="788D142F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74C37F9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080F4E8" w14:textId="77777777" w:rsidTr="00EA6243">
        <w:trPr>
          <w:cantSplit/>
        </w:trPr>
        <w:tc>
          <w:tcPr>
            <w:tcW w:w="4077" w:type="dxa"/>
            <w:vAlign w:val="center"/>
          </w:tcPr>
          <w:p w14:paraId="48B492A0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269D0ED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21E8425" w14:textId="77777777" w:rsidTr="00EA6243">
        <w:trPr>
          <w:cantSplit/>
        </w:trPr>
        <w:tc>
          <w:tcPr>
            <w:tcW w:w="4077" w:type="dxa"/>
            <w:vAlign w:val="center"/>
          </w:tcPr>
          <w:p w14:paraId="2E4035D5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05E0624" w14:textId="7C54F328" w:rsidR="00E06F40" w:rsidRPr="00A006A0" w:rsidRDefault="00795951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56AB9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7C05D0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DEEE426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9BDAA5D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7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C3D7CF0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29BC800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0B33AED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6E88DFC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7"/>
    <w:p w14:paraId="6D547E77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D848C98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6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1129CAE" w14:textId="615F9555" w:rsidR="00082B14" w:rsidRDefault="00082B14" w:rsidP="00082B14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A04C78">
        <w:t>1999</w:t>
      </w:r>
      <w:r>
        <w:t xml:space="preserve">) </w:t>
      </w:r>
      <w:r w:rsidR="00AD0086" w:rsidRPr="00AD0086">
        <w:t>4-Nitroaniline</w:t>
      </w:r>
      <w:r>
        <w:t xml:space="preserve"> – MAK value documentation.</w:t>
      </w:r>
    </w:p>
    <w:p w14:paraId="0211838D" w14:textId="77777777" w:rsidR="00082B14" w:rsidRDefault="00082B14" w:rsidP="00082B14">
      <w:pPr>
        <w:rPr>
          <w:b/>
        </w:rPr>
      </w:pPr>
      <w:r w:rsidRPr="002022B6">
        <w:t>Health Council of the Netherlands</w:t>
      </w:r>
      <w:r>
        <w:t xml:space="preserve"> (HCOTN) (</w:t>
      </w:r>
      <w:r w:rsidR="005D5109">
        <w:t>2008</w:t>
      </w:r>
      <w:r>
        <w:t xml:space="preserve">) </w:t>
      </w:r>
      <w:r w:rsidR="005D5109" w:rsidRPr="005D5109">
        <w:t>p-Nitroaniline</w:t>
      </w:r>
      <w:r w:rsidRPr="005F7416">
        <w:t xml:space="preserve">. </w:t>
      </w:r>
      <w:r w:rsidR="00AD0086" w:rsidRPr="00AD0086">
        <w:t>Evaluation of the carcinogenicity and genotoxicity</w:t>
      </w:r>
      <w:r w:rsidRPr="005F7416">
        <w:t xml:space="preserve">. The Hague: Health Council of the Netherlands; publication no. </w:t>
      </w:r>
      <w:r w:rsidR="005D5109">
        <w:t>2008/08OSH</w:t>
      </w:r>
      <w:r>
        <w:t>.</w:t>
      </w:r>
    </w:p>
    <w:p w14:paraId="58789B45" w14:textId="17609442" w:rsidR="004F3A96" w:rsidRDefault="004F3A96" w:rsidP="00082B14">
      <w:r w:rsidRPr="002022B6">
        <w:t>National Industrial Chemicals Notification and Assessment Scheme (NICNAS)</w:t>
      </w:r>
      <w:r>
        <w:t xml:space="preserve"> (2017) </w:t>
      </w:r>
      <w:proofErr w:type="spellStart"/>
      <w:r w:rsidRPr="006A3C90">
        <w:t>Benzenamine</w:t>
      </w:r>
      <w:proofErr w:type="spellEnd"/>
      <w:r w:rsidRPr="006A3C90">
        <w:t xml:space="preserve">, </w:t>
      </w:r>
      <w:r>
        <w:t>4</w:t>
      </w:r>
      <w:r w:rsidRPr="006A3C90">
        <w:t>-nitro</w:t>
      </w:r>
      <w:r>
        <w:t>-</w:t>
      </w:r>
      <w:r w:rsidRPr="0071660C">
        <w:t xml:space="preserve">: Human health </w:t>
      </w:r>
      <w:sdt>
        <w:sdtPr>
          <w:id w:val="-1295753243"/>
          <w:placeholder>
            <w:docPart w:val="E1DB830A82EB462B96E4A870842D2EFF"/>
          </w:placeholder>
          <w:temporary/>
          <w:showingPlcHdr/>
        </w:sdtPr>
        <w:sdtEndPr/>
        <w:sdtContent>
          <w:r w:rsidRPr="006A3C90">
            <w:t>tier II</w:t>
          </w:r>
        </w:sdtContent>
      </w:sdt>
      <w:r>
        <w:t xml:space="preserve"> </w:t>
      </w:r>
      <w:r w:rsidRPr="0071660C">
        <w:t>assessment</w:t>
      </w:r>
      <w:r>
        <w:t xml:space="preserve"> – IMAP report.</w:t>
      </w:r>
    </w:p>
    <w:p w14:paraId="329F5CB5" w14:textId="14F98045" w:rsidR="008F6796" w:rsidRPr="00587544" w:rsidRDefault="008F6796" w:rsidP="00082B14">
      <w:r>
        <w:lastRenderedPageBreak/>
        <w:t>National Toxicology Program (NTP) (1993) NTP Technical Report on the Toxicology and Carcino</w:t>
      </w:r>
      <w:r w:rsidR="00587544">
        <w:t>genesis Studies of p-Nitroaniline (CAS NO. 100-01-6) in B6C3F</w:t>
      </w:r>
      <w:r w:rsidR="00587544">
        <w:rPr>
          <w:vertAlign w:val="subscript"/>
        </w:rPr>
        <w:t>1</w:t>
      </w:r>
      <w:r w:rsidR="00587544">
        <w:t xml:space="preserve"> Mice (Gavage Studies).</w:t>
      </w:r>
    </w:p>
    <w:p w14:paraId="74F05E82" w14:textId="746DC805" w:rsidR="00082B14" w:rsidRDefault="00082B14" w:rsidP="00082B14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placeholder>
            <w:docPart w:val="4072155927D14D6C98B3E910DE59CB41"/>
          </w:placeholder>
          <w:temporary/>
          <w:showingPlcHdr/>
        </w:sdtPr>
        <w:sdtEndPr/>
        <w:sdtContent>
          <w:r w:rsidRPr="005D5109">
            <w:t>1994</w:t>
          </w:r>
        </w:sdtContent>
      </w:sdt>
      <w:r>
        <w:t xml:space="preserve">) Immediately dangerous to life or health concentrations – </w:t>
      </w:r>
      <w:r w:rsidR="005D5109" w:rsidRPr="005D5109">
        <w:t>p-Nitroaniline</w:t>
      </w:r>
      <w:r>
        <w:t>.</w:t>
      </w:r>
    </w:p>
    <w:p w14:paraId="44669A77" w14:textId="77777777" w:rsidR="00082B14" w:rsidRPr="00351FE0" w:rsidRDefault="00082B14" w:rsidP="00084859"/>
    <w:sectPr w:rsidR="00082B14" w:rsidRPr="00351FE0" w:rsidSect="00B87D4C">
      <w:headerReference w:type="default" r:id="rId1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9CA7E" w14:textId="77777777" w:rsidR="00F608AA" w:rsidRDefault="00F608AA" w:rsidP="00F43AD5">
      <w:pPr>
        <w:spacing w:after="0" w:line="240" w:lineRule="auto"/>
      </w:pPr>
      <w:r>
        <w:separator/>
      </w:r>
    </w:p>
  </w:endnote>
  <w:endnote w:type="continuationSeparator" w:id="0">
    <w:p w14:paraId="6E4D4D5C" w14:textId="77777777" w:rsidR="00F608AA" w:rsidRDefault="00F608AA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9A555" w14:textId="77777777" w:rsidR="00C96124" w:rsidRDefault="00C96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034F1B0" w14:textId="6B53DE5D" w:rsidR="008A36CF" w:rsidRDefault="00A47979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p-Nitroaniline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100-01-6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78598D" w:rsidRPr="00F43AD5">
          <w:rPr>
            <w:sz w:val="18"/>
            <w:szCs w:val="18"/>
          </w:rPr>
          <w:t>20</w:t>
        </w:r>
        <w:r w:rsidR="0078598D">
          <w:rPr>
            <w:sz w:val="18"/>
            <w:szCs w:val="18"/>
          </w:rPr>
          <w:t>20</w:t>
        </w:r>
      </w:p>
      <w:p w14:paraId="5A28B7B7" w14:textId="358A9349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2D74B6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CF80F" w14:textId="77777777" w:rsidR="00C96124" w:rsidRDefault="00C96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E556D" w14:textId="77777777" w:rsidR="00F608AA" w:rsidRDefault="00F608AA" w:rsidP="00F43AD5">
      <w:pPr>
        <w:spacing w:after="0" w:line="240" w:lineRule="auto"/>
      </w:pPr>
      <w:r>
        <w:separator/>
      </w:r>
    </w:p>
  </w:footnote>
  <w:footnote w:type="continuationSeparator" w:id="0">
    <w:p w14:paraId="646C2B14" w14:textId="77777777" w:rsidR="00F608AA" w:rsidRDefault="00F608AA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8D2D9" w14:textId="77777777" w:rsidR="00C96124" w:rsidRDefault="00C96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BFB10" w14:textId="5B291CBE" w:rsidR="008A36CF" w:rsidRPr="00C96124" w:rsidRDefault="00C96124" w:rsidP="00C96124">
    <w:pPr>
      <w:pStyle w:val="Header"/>
      <w:jc w:val="right"/>
    </w:pPr>
    <w:r>
      <w:pict w14:anchorId="495D2B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65C3596" wp14:editId="7920F4F6">
          <wp:extent cx="2943225" cy="600075"/>
          <wp:effectExtent l="0" t="0" r="9525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F5ED9" w14:textId="77777777" w:rsidR="00C96124" w:rsidRDefault="00C961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88A96" w14:textId="23562443" w:rsidR="00C96124" w:rsidRDefault="00C96124" w:rsidP="00C96124">
    <w:pPr>
      <w:pStyle w:val="Header"/>
      <w:jc w:val="right"/>
    </w:pPr>
    <w:bookmarkStart w:id="8" w:name="_GoBack"/>
    <w:r>
      <w:pict w14:anchorId="5F53B6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bookmarkEnd w:id="8"/>
    <w:r>
      <w:rPr>
        <w:noProof/>
        <w:lang w:eastAsia="en-AU"/>
      </w:rPr>
      <w:drawing>
        <wp:inline distT="0" distB="0" distL="0" distR="0" wp14:anchorId="29959EC4" wp14:editId="3B6EC3B1">
          <wp:extent cx="2943225" cy="600075"/>
          <wp:effectExtent l="0" t="0" r="9525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96618" w14:textId="77777777" w:rsidR="008A36CF" w:rsidRDefault="008A36CF" w:rsidP="00C96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5C23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FD66C1"/>
    <w:multiLevelType w:val="hybridMultilevel"/>
    <w:tmpl w:val="79C277A4"/>
    <w:lvl w:ilvl="0" w:tplc="5FC8CFD8">
      <w:start w:val="3"/>
      <w:numFmt w:val="bullet"/>
      <w:lvlText w:val="-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B7D41CA"/>
    <w:multiLevelType w:val="hybridMultilevel"/>
    <w:tmpl w:val="45AAFB54"/>
    <w:lvl w:ilvl="0" w:tplc="5FC8CFD8">
      <w:start w:val="3"/>
      <w:numFmt w:val="bullet"/>
      <w:lvlText w:val="-"/>
      <w:lvlJc w:val="left"/>
      <w:pPr>
        <w:ind w:left="1437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1C326822"/>
    <w:multiLevelType w:val="hybridMultilevel"/>
    <w:tmpl w:val="67A6BD0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2FCD"/>
    <w:multiLevelType w:val="hybridMultilevel"/>
    <w:tmpl w:val="039EF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93E83"/>
    <w:multiLevelType w:val="hybridMultilevel"/>
    <w:tmpl w:val="CBFE74F4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5E00E30"/>
    <w:multiLevelType w:val="hybridMultilevel"/>
    <w:tmpl w:val="D2129DB2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9CC7E6A"/>
    <w:multiLevelType w:val="hybridMultilevel"/>
    <w:tmpl w:val="6164A1FE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68C23B6"/>
    <w:multiLevelType w:val="hybridMultilevel"/>
    <w:tmpl w:val="869CB57A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29856D6"/>
    <w:multiLevelType w:val="hybridMultilevel"/>
    <w:tmpl w:val="2D3A5114"/>
    <w:lvl w:ilvl="0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2B463F9"/>
    <w:multiLevelType w:val="hybridMultilevel"/>
    <w:tmpl w:val="3E1C1F3C"/>
    <w:lvl w:ilvl="0" w:tplc="5FC8CFD8">
      <w:start w:val="3"/>
      <w:numFmt w:val="bullet"/>
      <w:lvlText w:val="-"/>
      <w:lvlJc w:val="left"/>
      <w:pPr>
        <w:ind w:left="677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1" w15:restartNumberingAfterBreak="0">
    <w:nsid w:val="7D127DDB"/>
    <w:multiLevelType w:val="hybridMultilevel"/>
    <w:tmpl w:val="217873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27B1"/>
    <w:rsid w:val="00013A22"/>
    <w:rsid w:val="00014C3F"/>
    <w:rsid w:val="00017C82"/>
    <w:rsid w:val="00021A07"/>
    <w:rsid w:val="00032B88"/>
    <w:rsid w:val="00040407"/>
    <w:rsid w:val="00042444"/>
    <w:rsid w:val="00046DF5"/>
    <w:rsid w:val="00052060"/>
    <w:rsid w:val="0005574A"/>
    <w:rsid w:val="00055FE1"/>
    <w:rsid w:val="00056EC2"/>
    <w:rsid w:val="00060B48"/>
    <w:rsid w:val="00067F32"/>
    <w:rsid w:val="00070336"/>
    <w:rsid w:val="00071807"/>
    <w:rsid w:val="000803E1"/>
    <w:rsid w:val="00082B14"/>
    <w:rsid w:val="00084513"/>
    <w:rsid w:val="00084859"/>
    <w:rsid w:val="00091168"/>
    <w:rsid w:val="00092D94"/>
    <w:rsid w:val="000B0868"/>
    <w:rsid w:val="000B1418"/>
    <w:rsid w:val="000B324E"/>
    <w:rsid w:val="000B3E12"/>
    <w:rsid w:val="000B3E78"/>
    <w:rsid w:val="000B7B48"/>
    <w:rsid w:val="000C096D"/>
    <w:rsid w:val="000C139A"/>
    <w:rsid w:val="000C2053"/>
    <w:rsid w:val="000C248C"/>
    <w:rsid w:val="000D291C"/>
    <w:rsid w:val="000E3476"/>
    <w:rsid w:val="000E505D"/>
    <w:rsid w:val="000E5A54"/>
    <w:rsid w:val="000E60A8"/>
    <w:rsid w:val="000E63D3"/>
    <w:rsid w:val="000E67CF"/>
    <w:rsid w:val="000F466D"/>
    <w:rsid w:val="000F73E0"/>
    <w:rsid w:val="0010461E"/>
    <w:rsid w:val="00105D32"/>
    <w:rsid w:val="00106FAA"/>
    <w:rsid w:val="00113443"/>
    <w:rsid w:val="00114490"/>
    <w:rsid w:val="001269A7"/>
    <w:rsid w:val="00130F72"/>
    <w:rsid w:val="00131092"/>
    <w:rsid w:val="00133511"/>
    <w:rsid w:val="001345FE"/>
    <w:rsid w:val="00140E6A"/>
    <w:rsid w:val="001461E2"/>
    <w:rsid w:val="00146545"/>
    <w:rsid w:val="00146B75"/>
    <w:rsid w:val="0015266D"/>
    <w:rsid w:val="0015288A"/>
    <w:rsid w:val="001549AF"/>
    <w:rsid w:val="00160F47"/>
    <w:rsid w:val="00177CA1"/>
    <w:rsid w:val="00183823"/>
    <w:rsid w:val="00183942"/>
    <w:rsid w:val="00187820"/>
    <w:rsid w:val="00197343"/>
    <w:rsid w:val="001A009E"/>
    <w:rsid w:val="001A09D9"/>
    <w:rsid w:val="001A1287"/>
    <w:rsid w:val="001A3859"/>
    <w:rsid w:val="001A3C9D"/>
    <w:rsid w:val="001A43F8"/>
    <w:rsid w:val="001B7871"/>
    <w:rsid w:val="001B79E5"/>
    <w:rsid w:val="001D56F0"/>
    <w:rsid w:val="001D663B"/>
    <w:rsid w:val="001D7B41"/>
    <w:rsid w:val="001E46DA"/>
    <w:rsid w:val="001E7D80"/>
    <w:rsid w:val="001F2E25"/>
    <w:rsid w:val="001F4B6C"/>
    <w:rsid w:val="001F62CB"/>
    <w:rsid w:val="001F6ED0"/>
    <w:rsid w:val="001F72E6"/>
    <w:rsid w:val="001F73C5"/>
    <w:rsid w:val="002013EC"/>
    <w:rsid w:val="002046A6"/>
    <w:rsid w:val="00204956"/>
    <w:rsid w:val="00210C9F"/>
    <w:rsid w:val="00213640"/>
    <w:rsid w:val="00213BCF"/>
    <w:rsid w:val="002143E7"/>
    <w:rsid w:val="00221547"/>
    <w:rsid w:val="002216FC"/>
    <w:rsid w:val="00222533"/>
    <w:rsid w:val="00222A42"/>
    <w:rsid w:val="00222F30"/>
    <w:rsid w:val="00224EE2"/>
    <w:rsid w:val="00227EC7"/>
    <w:rsid w:val="00231274"/>
    <w:rsid w:val="002366DD"/>
    <w:rsid w:val="0023698D"/>
    <w:rsid w:val="00244AD1"/>
    <w:rsid w:val="00245BA7"/>
    <w:rsid w:val="002463BC"/>
    <w:rsid w:val="002465CE"/>
    <w:rsid w:val="002529C8"/>
    <w:rsid w:val="0025734A"/>
    <w:rsid w:val="00263255"/>
    <w:rsid w:val="002633FA"/>
    <w:rsid w:val="00276494"/>
    <w:rsid w:val="00277B0C"/>
    <w:rsid w:val="002A1D23"/>
    <w:rsid w:val="002B1A2C"/>
    <w:rsid w:val="002C34F2"/>
    <w:rsid w:val="002C58FF"/>
    <w:rsid w:val="002C7AFE"/>
    <w:rsid w:val="002D05D2"/>
    <w:rsid w:val="002D1072"/>
    <w:rsid w:val="002D74B6"/>
    <w:rsid w:val="002E0D61"/>
    <w:rsid w:val="002E4C7B"/>
    <w:rsid w:val="002F3A51"/>
    <w:rsid w:val="002F79F2"/>
    <w:rsid w:val="0030740C"/>
    <w:rsid w:val="003150A8"/>
    <w:rsid w:val="00315833"/>
    <w:rsid w:val="003202BD"/>
    <w:rsid w:val="003215EE"/>
    <w:rsid w:val="003224BF"/>
    <w:rsid w:val="003241A8"/>
    <w:rsid w:val="003253F0"/>
    <w:rsid w:val="003337DA"/>
    <w:rsid w:val="00334EFB"/>
    <w:rsid w:val="00334FE3"/>
    <w:rsid w:val="00335CDE"/>
    <w:rsid w:val="003365A5"/>
    <w:rsid w:val="003416ED"/>
    <w:rsid w:val="00341DC3"/>
    <w:rsid w:val="00347192"/>
    <w:rsid w:val="0034744C"/>
    <w:rsid w:val="00351FE0"/>
    <w:rsid w:val="00352615"/>
    <w:rsid w:val="0035412B"/>
    <w:rsid w:val="003567A8"/>
    <w:rsid w:val="0036165D"/>
    <w:rsid w:val="00362895"/>
    <w:rsid w:val="00370DBF"/>
    <w:rsid w:val="00374612"/>
    <w:rsid w:val="00386093"/>
    <w:rsid w:val="003904A4"/>
    <w:rsid w:val="00391841"/>
    <w:rsid w:val="00391B6D"/>
    <w:rsid w:val="00394922"/>
    <w:rsid w:val="003A0E32"/>
    <w:rsid w:val="003A22D0"/>
    <w:rsid w:val="003A2B94"/>
    <w:rsid w:val="003A3158"/>
    <w:rsid w:val="003B387D"/>
    <w:rsid w:val="003C0D58"/>
    <w:rsid w:val="003D2A31"/>
    <w:rsid w:val="003D4FA3"/>
    <w:rsid w:val="003E0807"/>
    <w:rsid w:val="003E2347"/>
    <w:rsid w:val="003E51FB"/>
    <w:rsid w:val="003E6B39"/>
    <w:rsid w:val="003F07E1"/>
    <w:rsid w:val="004030BC"/>
    <w:rsid w:val="00403F7D"/>
    <w:rsid w:val="00406785"/>
    <w:rsid w:val="004078C1"/>
    <w:rsid w:val="004079B4"/>
    <w:rsid w:val="00413FB1"/>
    <w:rsid w:val="00417A56"/>
    <w:rsid w:val="00420219"/>
    <w:rsid w:val="00420957"/>
    <w:rsid w:val="00422A10"/>
    <w:rsid w:val="00430179"/>
    <w:rsid w:val="00430F91"/>
    <w:rsid w:val="004414B5"/>
    <w:rsid w:val="00444482"/>
    <w:rsid w:val="00444B42"/>
    <w:rsid w:val="00445E44"/>
    <w:rsid w:val="004509E2"/>
    <w:rsid w:val="004515EE"/>
    <w:rsid w:val="004529F0"/>
    <w:rsid w:val="00460A03"/>
    <w:rsid w:val="004630E4"/>
    <w:rsid w:val="00463DB8"/>
    <w:rsid w:val="004642AB"/>
    <w:rsid w:val="00465AA4"/>
    <w:rsid w:val="00472A11"/>
    <w:rsid w:val="00472AAD"/>
    <w:rsid w:val="00474E33"/>
    <w:rsid w:val="00476803"/>
    <w:rsid w:val="004850F0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497B"/>
    <w:rsid w:val="004C1E3F"/>
    <w:rsid w:val="004C23F4"/>
    <w:rsid w:val="004C3475"/>
    <w:rsid w:val="004C58B6"/>
    <w:rsid w:val="004D16A3"/>
    <w:rsid w:val="004D4AA1"/>
    <w:rsid w:val="004D6D68"/>
    <w:rsid w:val="004E4EA9"/>
    <w:rsid w:val="004E5EDD"/>
    <w:rsid w:val="004F3A96"/>
    <w:rsid w:val="004F448A"/>
    <w:rsid w:val="004F493D"/>
    <w:rsid w:val="004F65E8"/>
    <w:rsid w:val="0050005E"/>
    <w:rsid w:val="00502B88"/>
    <w:rsid w:val="005142C4"/>
    <w:rsid w:val="0051509C"/>
    <w:rsid w:val="00526BCE"/>
    <w:rsid w:val="005272E2"/>
    <w:rsid w:val="0053108F"/>
    <w:rsid w:val="00532B56"/>
    <w:rsid w:val="00532F61"/>
    <w:rsid w:val="00534B10"/>
    <w:rsid w:val="005446A2"/>
    <w:rsid w:val="00544D2F"/>
    <w:rsid w:val="00551BD8"/>
    <w:rsid w:val="00556B17"/>
    <w:rsid w:val="00581055"/>
    <w:rsid w:val="005854E8"/>
    <w:rsid w:val="00587544"/>
    <w:rsid w:val="00591E38"/>
    <w:rsid w:val="00592E3D"/>
    <w:rsid w:val="005979C2"/>
    <w:rsid w:val="005A19C5"/>
    <w:rsid w:val="005A3034"/>
    <w:rsid w:val="005A462D"/>
    <w:rsid w:val="005A7580"/>
    <w:rsid w:val="005B253B"/>
    <w:rsid w:val="005B771D"/>
    <w:rsid w:val="005B7EC3"/>
    <w:rsid w:val="005C5D16"/>
    <w:rsid w:val="005C64B6"/>
    <w:rsid w:val="005D3193"/>
    <w:rsid w:val="005D4A6E"/>
    <w:rsid w:val="005D5109"/>
    <w:rsid w:val="005E6979"/>
    <w:rsid w:val="005E75CB"/>
    <w:rsid w:val="005F0B70"/>
    <w:rsid w:val="005F79B9"/>
    <w:rsid w:val="006013C1"/>
    <w:rsid w:val="0060669E"/>
    <w:rsid w:val="00610F2E"/>
    <w:rsid w:val="00611399"/>
    <w:rsid w:val="00616088"/>
    <w:rsid w:val="00624C4E"/>
    <w:rsid w:val="00625200"/>
    <w:rsid w:val="006363A8"/>
    <w:rsid w:val="00636DB7"/>
    <w:rsid w:val="00642AD3"/>
    <w:rsid w:val="00650905"/>
    <w:rsid w:val="006532ED"/>
    <w:rsid w:val="006549F2"/>
    <w:rsid w:val="0065661A"/>
    <w:rsid w:val="006567B7"/>
    <w:rsid w:val="00656AB9"/>
    <w:rsid w:val="00657BFB"/>
    <w:rsid w:val="00660281"/>
    <w:rsid w:val="0066333C"/>
    <w:rsid w:val="006639B4"/>
    <w:rsid w:val="006650FE"/>
    <w:rsid w:val="00666F36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006F"/>
    <w:rsid w:val="006D1862"/>
    <w:rsid w:val="006D79EA"/>
    <w:rsid w:val="006E5D05"/>
    <w:rsid w:val="006F33C4"/>
    <w:rsid w:val="00701053"/>
    <w:rsid w:val="00701507"/>
    <w:rsid w:val="0071002F"/>
    <w:rsid w:val="00714021"/>
    <w:rsid w:val="00716A0F"/>
    <w:rsid w:val="00717D45"/>
    <w:rsid w:val="007208F7"/>
    <w:rsid w:val="007218AF"/>
    <w:rsid w:val="007365D1"/>
    <w:rsid w:val="00740E0E"/>
    <w:rsid w:val="00750212"/>
    <w:rsid w:val="0075392C"/>
    <w:rsid w:val="00754779"/>
    <w:rsid w:val="0075716D"/>
    <w:rsid w:val="007613C7"/>
    <w:rsid w:val="007618D3"/>
    <w:rsid w:val="00765F14"/>
    <w:rsid w:val="0076657A"/>
    <w:rsid w:val="00770E31"/>
    <w:rsid w:val="00775B31"/>
    <w:rsid w:val="007770F1"/>
    <w:rsid w:val="00783FB1"/>
    <w:rsid w:val="0078598D"/>
    <w:rsid w:val="00785CDD"/>
    <w:rsid w:val="0078630D"/>
    <w:rsid w:val="00791847"/>
    <w:rsid w:val="007925F0"/>
    <w:rsid w:val="007939B3"/>
    <w:rsid w:val="0079509C"/>
    <w:rsid w:val="00795951"/>
    <w:rsid w:val="00796708"/>
    <w:rsid w:val="007A23AB"/>
    <w:rsid w:val="007B1B42"/>
    <w:rsid w:val="007B7009"/>
    <w:rsid w:val="007B7ADB"/>
    <w:rsid w:val="007C30EB"/>
    <w:rsid w:val="007D671A"/>
    <w:rsid w:val="007E063C"/>
    <w:rsid w:val="007E2A4B"/>
    <w:rsid w:val="007E307D"/>
    <w:rsid w:val="007E5165"/>
    <w:rsid w:val="007E6A4E"/>
    <w:rsid w:val="007E6C94"/>
    <w:rsid w:val="007F1005"/>
    <w:rsid w:val="007F1F5B"/>
    <w:rsid w:val="007F25E0"/>
    <w:rsid w:val="007F5328"/>
    <w:rsid w:val="007F7899"/>
    <w:rsid w:val="008024AE"/>
    <w:rsid w:val="00803F59"/>
    <w:rsid w:val="00804D21"/>
    <w:rsid w:val="00804F5A"/>
    <w:rsid w:val="00810C6D"/>
    <w:rsid w:val="008117B4"/>
    <w:rsid w:val="00812887"/>
    <w:rsid w:val="0081305F"/>
    <w:rsid w:val="00822F29"/>
    <w:rsid w:val="00826F21"/>
    <w:rsid w:val="00830F69"/>
    <w:rsid w:val="00834CC8"/>
    <w:rsid w:val="00835E00"/>
    <w:rsid w:val="00837113"/>
    <w:rsid w:val="008414E4"/>
    <w:rsid w:val="00843E21"/>
    <w:rsid w:val="0084508E"/>
    <w:rsid w:val="00853AF1"/>
    <w:rsid w:val="00857A8A"/>
    <w:rsid w:val="008630EE"/>
    <w:rsid w:val="00864D13"/>
    <w:rsid w:val="00865A29"/>
    <w:rsid w:val="00871CD5"/>
    <w:rsid w:val="00874187"/>
    <w:rsid w:val="008745A2"/>
    <w:rsid w:val="008768A8"/>
    <w:rsid w:val="0088798F"/>
    <w:rsid w:val="00887E4B"/>
    <w:rsid w:val="008915C8"/>
    <w:rsid w:val="00893250"/>
    <w:rsid w:val="008A36CF"/>
    <w:rsid w:val="008A3BC4"/>
    <w:rsid w:val="008B29E0"/>
    <w:rsid w:val="008B403C"/>
    <w:rsid w:val="008B6595"/>
    <w:rsid w:val="008B7983"/>
    <w:rsid w:val="008C0622"/>
    <w:rsid w:val="008C0ACE"/>
    <w:rsid w:val="008C2511"/>
    <w:rsid w:val="008D026D"/>
    <w:rsid w:val="008D23AB"/>
    <w:rsid w:val="008D4B8B"/>
    <w:rsid w:val="008D5A78"/>
    <w:rsid w:val="008E1B48"/>
    <w:rsid w:val="008E745B"/>
    <w:rsid w:val="008E7B64"/>
    <w:rsid w:val="008F5DCD"/>
    <w:rsid w:val="008F6796"/>
    <w:rsid w:val="00900951"/>
    <w:rsid w:val="00910ABB"/>
    <w:rsid w:val="009118A6"/>
    <w:rsid w:val="00916909"/>
    <w:rsid w:val="00916EC0"/>
    <w:rsid w:val="00920467"/>
    <w:rsid w:val="00921DE7"/>
    <w:rsid w:val="00923B97"/>
    <w:rsid w:val="0093041A"/>
    <w:rsid w:val="00930714"/>
    <w:rsid w:val="009313AE"/>
    <w:rsid w:val="00931B03"/>
    <w:rsid w:val="009323B9"/>
    <w:rsid w:val="00932DCE"/>
    <w:rsid w:val="0093327E"/>
    <w:rsid w:val="00934028"/>
    <w:rsid w:val="00934C17"/>
    <w:rsid w:val="0093760E"/>
    <w:rsid w:val="00946044"/>
    <w:rsid w:val="0094660B"/>
    <w:rsid w:val="00946A33"/>
    <w:rsid w:val="00950FFD"/>
    <w:rsid w:val="00951ED7"/>
    <w:rsid w:val="0095260E"/>
    <w:rsid w:val="00952970"/>
    <w:rsid w:val="009578DD"/>
    <w:rsid w:val="00961124"/>
    <w:rsid w:val="009621B6"/>
    <w:rsid w:val="009709FE"/>
    <w:rsid w:val="00972AA8"/>
    <w:rsid w:val="009745CC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425D"/>
    <w:rsid w:val="009E63E2"/>
    <w:rsid w:val="009E6DB7"/>
    <w:rsid w:val="009F04D2"/>
    <w:rsid w:val="009F05CF"/>
    <w:rsid w:val="009F0763"/>
    <w:rsid w:val="009F0F3A"/>
    <w:rsid w:val="009F3FC1"/>
    <w:rsid w:val="00A00A85"/>
    <w:rsid w:val="00A01D0C"/>
    <w:rsid w:val="00A04C78"/>
    <w:rsid w:val="00A04D61"/>
    <w:rsid w:val="00A0643F"/>
    <w:rsid w:val="00A067EE"/>
    <w:rsid w:val="00A10FCE"/>
    <w:rsid w:val="00A16D91"/>
    <w:rsid w:val="00A174CC"/>
    <w:rsid w:val="00A2050A"/>
    <w:rsid w:val="00A2073D"/>
    <w:rsid w:val="00A20751"/>
    <w:rsid w:val="00A24769"/>
    <w:rsid w:val="00A27E2D"/>
    <w:rsid w:val="00A31D99"/>
    <w:rsid w:val="00A33C58"/>
    <w:rsid w:val="00A357BA"/>
    <w:rsid w:val="00A35ADC"/>
    <w:rsid w:val="00A402A3"/>
    <w:rsid w:val="00A47979"/>
    <w:rsid w:val="00A53681"/>
    <w:rsid w:val="00A633D4"/>
    <w:rsid w:val="00A6461A"/>
    <w:rsid w:val="00A73A7C"/>
    <w:rsid w:val="00A84504"/>
    <w:rsid w:val="00A8672F"/>
    <w:rsid w:val="00A93057"/>
    <w:rsid w:val="00A968B0"/>
    <w:rsid w:val="00AA67B8"/>
    <w:rsid w:val="00AB2672"/>
    <w:rsid w:val="00AB2817"/>
    <w:rsid w:val="00AB43C4"/>
    <w:rsid w:val="00AB6568"/>
    <w:rsid w:val="00AC32E7"/>
    <w:rsid w:val="00AC3A9F"/>
    <w:rsid w:val="00AC56A5"/>
    <w:rsid w:val="00AC6D2F"/>
    <w:rsid w:val="00AD0086"/>
    <w:rsid w:val="00AE2745"/>
    <w:rsid w:val="00AE2F64"/>
    <w:rsid w:val="00AE7E75"/>
    <w:rsid w:val="00AF42CB"/>
    <w:rsid w:val="00AF483F"/>
    <w:rsid w:val="00AF5A37"/>
    <w:rsid w:val="00AF5E07"/>
    <w:rsid w:val="00AF5F06"/>
    <w:rsid w:val="00B00A25"/>
    <w:rsid w:val="00B062E5"/>
    <w:rsid w:val="00B1422A"/>
    <w:rsid w:val="00B1765C"/>
    <w:rsid w:val="00B213C4"/>
    <w:rsid w:val="00B33EA5"/>
    <w:rsid w:val="00B3570F"/>
    <w:rsid w:val="00B40C60"/>
    <w:rsid w:val="00B44B2F"/>
    <w:rsid w:val="00B479A9"/>
    <w:rsid w:val="00B52EDF"/>
    <w:rsid w:val="00B71188"/>
    <w:rsid w:val="00B73172"/>
    <w:rsid w:val="00B75A58"/>
    <w:rsid w:val="00B76A41"/>
    <w:rsid w:val="00B87D4C"/>
    <w:rsid w:val="00B902DD"/>
    <w:rsid w:val="00B93646"/>
    <w:rsid w:val="00BA0B38"/>
    <w:rsid w:val="00BA1DBB"/>
    <w:rsid w:val="00BA4510"/>
    <w:rsid w:val="00BA529A"/>
    <w:rsid w:val="00BB3A13"/>
    <w:rsid w:val="00BB612A"/>
    <w:rsid w:val="00BD499F"/>
    <w:rsid w:val="00BD56DE"/>
    <w:rsid w:val="00BF2406"/>
    <w:rsid w:val="00BF58F6"/>
    <w:rsid w:val="00C015EE"/>
    <w:rsid w:val="00C06E43"/>
    <w:rsid w:val="00C16315"/>
    <w:rsid w:val="00C241E2"/>
    <w:rsid w:val="00C25DA6"/>
    <w:rsid w:val="00C3091E"/>
    <w:rsid w:val="00C35C35"/>
    <w:rsid w:val="00C40FF1"/>
    <w:rsid w:val="00C419E2"/>
    <w:rsid w:val="00C5020E"/>
    <w:rsid w:val="00C55D90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15AA"/>
    <w:rsid w:val="00C850A0"/>
    <w:rsid w:val="00C85A86"/>
    <w:rsid w:val="00C96124"/>
    <w:rsid w:val="00C978F0"/>
    <w:rsid w:val="00CA58FE"/>
    <w:rsid w:val="00CB1CB1"/>
    <w:rsid w:val="00CB2E86"/>
    <w:rsid w:val="00CB6BC1"/>
    <w:rsid w:val="00CB6C60"/>
    <w:rsid w:val="00CB6CB8"/>
    <w:rsid w:val="00CC1A68"/>
    <w:rsid w:val="00CC20A7"/>
    <w:rsid w:val="00CC2123"/>
    <w:rsid w:val="00CD2BFD"/>
    <w:rsid w:val="00CE5AD6"/>
    <w:rsid w:val="00CE617F"/>
    <w:rsid w:val="00CE78EF"/>
    <w:rsid w:val="00CE7F6D"/>
    <w:rsid w:val="00CF0840"/>
    <w:rsid w:val="00D048F7"/>
    <w:rsid w:val="00D0517E"/>
    <w:rsid w:val="00D10858"/>
    <w:rsid w:val="00D140FC"/>
    <w:rsid w:val="00D21D8C"/>
    <w:rsid w:val="00D307A3"/>
    <w:rsid w:val="00D31357"/>
    <w:rsid w:val="00D33220"/>
    <w:rsid w:val="00D334D1"/>
    <w:rsid w:val="00D44C89"/>
    <w:rsid w:val="00D516CD"/>
    <w:rsid w:val="00D668E6"/>
    <w:rsid w:val="00D70670"/>
    <w:rsid w:val="00D74D80"/>
    <w:rsid w:val="00D75B93"/>
    <w:rsid w:val="00D76624"/>
    <w:rsid w:val="00D87570"/>
    <w:rsid w:val="00D91CB9"/>
    <w:rsid w:val="00D924CA"/>
    <w:rsid w:val="00D97989"/>
    <w:rsid w:val="00D97D8D"/>
    <w:rsid w:val="00DA1D5F"/>
    <w:rsid w:val="00DA352E"/>
    <w:rsid w:val="00DA36D8"/>
    <w:rsid w:val="00DA7934"/>
    <w:rsid w:val="00DB0EF0"/>
    <w:rsid w:val="00DB70F5"/>
    <w:rsid w:val="00DC7694"/>
    <w:rsid w:val="00DD0BF9"/>
    <w:rsid w:val="00DD1BF6"/>
    <w:rsid w:val="00DD2F9B"/>
    <w:rsid w:val="00DE2513"/>
    <w:rsid w:val="00DE26E8"/>
    <w:rsid w:val="00DF6F36"/>
    <w:rsid w:val="00E0084C"/>
    <w:rsid w:val="00E01C3A"/>
    <w:rsid w:val="00E025AB"/>
    <w:rsid w:val="00E02B23"/>
    <w:rsid w:val="00E06F40"/>
    <w:rsid w:val="00E07CE8"/>
    <w:rsid w:val="00E267B4"/>
    <w:rsid w:val="00E26A07"/>
    <w:rsid w:val="00E32595"/>
    <w:rsid w:val="00E37CFD"/>
    <w:rsid w:val="00E41A26"/>
    <w:rsid w:val="00E46BCB"/>
    <w:rsid w:val="00E51CAF"/>
    <w:rsid w:val="00E54731"/>
    <w:rsid w:val="00E60F04"/>
    <w:rsid w:val="00E62AAC"/>
    <w:rsid w:val="00E67C2F"/>
    <w:rsid w:val="00E67EF5"/>
    <w:rsid w:val="00E804EA"/>
    <w:rsid w:val="00E80A71"/>
    <w:rsid w:val="00E82337"/>
    <w:rsid w:val="00E830B7"/>
    <w:rsid w:val="00E92499"/>
    <w:rsid w:val="00E949AF"/>
    <w:rsid w:val="00E96077"/>
    <w:rsid w:val="00EA0A06"/>
    <w:rsid w:val="00EA6243"/>
    <w:rsid w:val="00EA74AB"/>
    <w:rsid w:val="00EB3D1B"/>
    <w:rsid w:val="00EB6116"/>
    <w:rsid w:val="00EB7F76"/>
    <w:rsid w:val="00EC46BC"/>
    <w:rsid w:val="00ED1D89"/>
    <w:rsid w:val="00ED44C5"/>
    <w:rsid w:val="00ED66BC"/>
    <w:rsid w:val="00EF233A"/>
    <w:rsid w:val="00EF303E"/>
    <w:rsid w:val="00EF3A40"/>
    <w:rsid w:val="00EF6988"/>
    <w:rsid w:val="00EF7F78"/>
    <w:rsid w:val="00F01B08"/>
    <w:rsid w:val="00F01C4D"/>
    <w:rsid w:val="00F053FA"/>
    <w:rsid w:val="00F10C97"/>
    <w:rsid w:val="00F11C71"/>
    <w:rsid w:val="00F128ED"/>
    <w:rsid w:val="00F16019"/>
    <w:rsid w:val="00F20E68"/>
    <w:rsid w:val="00F22093"/>
    <w:rsid w:val="00F236DF"/>
    <w:rsid w:val="00F24E50"/>
    <w:rsid w:val="00F312EE"/>
    <w:rsid w:val="00F41A2A"/>
    <w:rsid w:val="00F43AD5"/>
    <w:rsid w:val="00F4402E"/>
    <w:rsid w:val="00F52303"/>
    <w:rsid w:val="00F5326A"/>
    <w:rsid w:val="00F56DD0"/>
    <w:rsid w:val="00F608AA"/>
    <w:rsid w:val="00F6491C"/>
    <w:rsid w:val="00F67BBB"/>
    <w:rsid w:val="00F725A6"/>
    <w:rsid w:val="00F72EAB"/>
    <w:rsid w:val="00F755F3"/>
    <w:rsid w:val="00F871C6"/>
    <w:rsid w:val="00F87D92"/>
    <w:rsid w:val="00F90AA7"/>
    <w:rsid w:val="00F92498"/>
    <w:rsid w:val="00F9496B"/>
    <w:rsid w:val="00F970C9"/>
    <w:rsid w:val="00FA06A8"/>
    <w:rsid w:val="00FA3DF5"/>
    <w:rsid w:val="00FA741F"/>
    <w:rsid w:val="00FB3803"/>
    <w:rsid w:val="00FB4E07"/>
    <w:rsid w:val="00FB755A"/>
    <w:rsid w:val="00FC60A2"/>
    <w:rsid w:val="00FD1871"/>
    <w:rsid w:val="00FD3110"/>
    <w:rsid w:val="00FE3792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CA64237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082B14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74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61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61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12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6D1862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65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acgih.org/tlv-bei-guidelines/policies-procedures-presenta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599BE4318CD4CC0836196E577CC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569F-48FE-4FF8-8C03-2D2A8FB34A20}"/>
      </w:docPartPr>
      <w:docPartBody>
        <w:p w:rsidR="00D21A9F" w:rsidRDefault="00D21A9F">
          <w:pPr>
            <w:pStyle w:val="0599BE4318CD4CC0836196E577CC2921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3035A5CD6F524E5D9C4D41D00AAF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AA779-E51A-4DA4-97D7-E1EF621EAF2D}"/>
      </w:docPartPr>
      <w:docPartBody>
        <w:p w:rsidR="00436798" w:rsidRDefault="0097179A" w:rsidP="0097179A">
          <w:pPr>
            <w:pStyle w:val="3035A5CD6F524E5D9C4D41D00AAFF0CC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072155927D14D6C98B3E910DE59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3E9AF-C287-4B42-BA77-501D63E64F1F}"/>
      </w:docPartPr>
      <w:docPartBody>
        <w:p w:rsidR="00436798" w:rsidRDefault="0097179A" w:rsidP="0097179A">
          <w:pPr>
            <w:pStyle w:val="4072155927D14D6C98B3E910DE59CB41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E1DB830A82EB462B96E4A870842D2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533B-CAED-45FB-B6B3-8BC19B3843D9}"/>
      </w:docPartPr>
      <w:docPartBody>
        <w:p w:rsidR="00D87FB4" w:rsidRDefault="008C7AE4" w:rsidP="008C7AE4">
          <w:pPr>
            <w:pStyle w:val="E1DB830A82EB462B96E4A870842D2EFF"/>
          </w:pPr>
          <w:r>
            <w:rPr>
              <w:color w:val="00B050"/>
            </w:rPr>
            <w:t>tier </w:t>
          </w:r>
          <w:r w:rsidRPr="0071660C">
            <w:rPr>
              <w:color w:val="00B050"/>
            </w:rPr>
            <w:t>II</w:t>
          </w:r>
        </w:p>
      </w:docPartBody>
    </w:docPart>
    <w:docPart>
      <w:docPartPr>
        <w:name w:val="F46345786B0F4EE1B7BD6F83F16C2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088DB-3C7D-4CAF-B918-D8F707222BB7}"/>
      </w:docPartPr>
      <w:docPartBody>
        <w:p w:rsidR="00D87FB4" w:rsidRDefault="008C7AE4" w:rsidP="008C7AE4">
          <w:pPr>
            <w:pStyle w:val="F46345786B0F4EE1B7BD6F83F16C232E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FB79F68F32C348C484233168B700B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B7613-2992-4EFB-81A0-38243EFFE689}"/>
      </w:docPartPr>
      <w:docPartBody>
        <w:p w:rsidR="00605003" w:rsidRDefault="00FB2786" w:rsidP="00FB2786">
          <w:pPr>
            <w:pStyle w:val="FB79F68F32C348C484233168B700BAF2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96F59"/>
    <w:rsid w:val="00242391"/>
    <w:rsid w:val="00436798"/>
    <w:rsid w:val="00467BD3"/>
    <w:rsid w:val="00605003"/>
    <w:rsid w:val="008C7AE4"/>
    <w:rsid w:val="0097179A"/>
    <w:rsid w:val="009F6377"/>
    <w:rsid w:val="00A41CB8"/>
    <w:rsid w:val="00D21A9F"/>
    <w:rsid w:val="00D87FB4"/>
    <w:rsid w:val="00ED04C0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786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035A5CD6F524E5D9C4D41D00AAFF0CC">
    <w:name w:val="3035A5CD6F524E5D9C4D41D00AAFF0CC"/>
    <w:rsid w:val="0097179A"/>
    <w:rPr>
      <w:lang w:val="en-US" w:eastAsia="en-US"/>
    </w:rPr>
  </w:style>
  <w:style w:type="paragraph" w:customStyle="1" w:styleId="188557E3633E495AA63A2474B4D4CC16">
    <w:name w:val="188557E3633E495AA63A2474B4D4CC16"/>
    <w:rsid w:val="0097179A"/>
    <w:rPr>
      <w:lang w:val="en-US" w:eastAsia="en-US"/>
    </w:rPr>
  </w:style>
  <w:style w:type="paragraph" w:customStyle="1" w:styleId="92E715110C4F437FBA9CF5C4FD4834E3">
    <w:name w:val="92E715110C4F437FBA9CF5C4FD4834E3"/>
    <w:rsid w:val="0097179A"/>
    <w:rPr>
      <w:lang w:val="en-US" w:eastAsia="en-US"/>
    </w:rPr>
  </w:style>
  <w:style w:type="paragraph" w:customStyle="1" w:styleId="0D91F6652E31414DB558AB24E5EEB4E6">
    <w:name w:val="0D91F6652E31414DB558AB24E5EEB4E6"/>
    <w:rsid w:val="0097179A"/>
    <w:rPr>
      <w:lang w:val="en-US" w:eastAsia="en-US"/>
    </w:rPr>
  </w:style>
  <w:style w:type="paragraph" w:customStyle="1" w:styleId="739732661A894B21BFAA499CB28CBA10">
    <w:name w:val="739732661A894B21BFAA499CB28CBA10"/>
    <w:rsid w:val="0097179A"/>
    <w:rPr>
      <w:lang w:val="en-US" w:eastAsia="en-US"/>
    </w:rPr>
  </w:style>
  <w:style w:type="paragraph" w:customStyle="1" w:styleId="5384E763D7944EA194011EA946000193">
    <w:name w:val="5384E763D7944EA194011EA946000193"/>
    <w:rsid w:val="0097179A"/>
    <w:rPr>
      <w:lang w:val="en-US" w:eastAsia="en-US"/>
    </w:rPr>
  </w:style>
  <w:style w:type="paragraph" w:customStyle="1" w:styleId="6D4171F589D245F6A7E7ED102837653E">
    <w:name w:val="6D4171F589D245F6A7E7ED102837653E"/>
    <w:rsid w:val="0097179A"/>
    <w:rPr>
      <w:lang w:val="en-US" w:eastAsia="en-US"/>
    </w:rPr>
  </w:style>
  <w:style w:type="paragraph" w:customStyle="1" w:styleId="30C65824DBFE4A2DACA118A2DB64482E">
    <w:name w:val="30C65824DBFE4A2DACA118A2DB64482E"/>
    <w:rsid w:val="0097179A"/>
    <w:rPr>
      <w:lang w:val="en-US" w:eastAsia="en-US"/>
    </w:rPr>
  </w:style>
  <w:style w:type="paragraph" w:customStyle="1" w:styleId="7E04BFEF7A5B447599CD1A0F05F0975B">
    <w:name w:val="7E04BFEF7A5B447599CD1A0F05F0975B"/>
    <w:rsid w:val="0097179A"/>
    <w:rPr>
      <w:lang w:val="en-US" w:eastAsia="en-US"/>
    </w:rPr>
  </w:style>
  <w:style w:type="paragraph" w:customStyle="1" w:styleId="C1284BE3885F4DBBA4033D1308927C63">
    <w:name w:val="C1284BE3885F4DBBA4033D1308927C63"/>
    <w:rsid w:val="0097179A"/>
    <w:rPr>
      <w:lang w:val="en-US" w:eastAsia="en-US"/>
    </w:rPr>
  </w:style>
  <w:style w:type="paragraph" w:customStyle="1" w:styleId="837C9ED4B1314646B8EB63457C7B3227">
    <w:name w:val="837C9ED4B1314646B8EB63457C7B3227"/>
    <w:rsid w:val="0097179A"/>
    <w:rPr>
      <w:lang w:val="en-US" w:eastAsia="en-US"/>
    </w:rPr>
  </w:style>
  <w:style w:type="paragraph" w:customStyle="1" w:styleId="D75A8B023B274FFE84C1CF460E17673B">
    <w:name w:val="D75A8B023B274FFE84C1CF460E17673B"/>
    <w:rsid w:val="0097179A"/>
    <w:rPr>
      <w:lang w:val="en-US" w:eastAsia="en-US"/>
    </w:rPr>
  </w:style>
  <w:style w:type="paragraph" w:customStyle="1" w:styleId="978CCA0643214D5BB44890BF5E21E14B">
    <w:name w:val="978CCA0643214D5BB44890BF5E21E14B"/>
    <w:rsid w:val="0097179A"/>
    <w:rPr>
      <w:lang w:val="en-US" w:eastAsia="en-US"/>
    </w:rPr>
  </w:style>
  <w:style w:type="paragraph" w:customStyle="1" w:styleId="4072155927D14D6C98B3E910DE59CB41">
    <w:name w:val="4072155927D14D6C98B3E910DE59CB41"/>
    <w:rsid w:val="0097179A"/>
    <w:rPr>
      <w:lang w:val="en-US" w:eastAsia="en-US"/>
    </w:rPr>
  </w:style>
  <w:style w:type="paragraph" w:customStyle="1" w:styleId="ED610FEBDE5C4A8F9E76079478314C36">
    <w:name w:val="ED610FEBDE5C4A8F9E76079478314C36"/>
    <w:rsid w:val="0097179A"/>
    <w:rPr>
      <w:lang w:val="en-US" w:eastAsia="en-US"/>
    </w:rPr>
  </w:style>
  <w:style w:type="paragraph" w:customStyle="1" w:styleId="E1DB830A82EB462B96E4A870842D2EFF">
    <w:name w:val="E1DB830A82EB462B96E4A870842D2EFF"/>
    <w:rsid w:val="008C7AE4"/>
  </w:style>
  <w:style w:type="paragraph" w:customStyle="1" w:styleId="428E796D8EE54E169F32B8E64E760A35">
    <w:name w:val="428E796D8EE54E169F32B8E64E760A35"/>
    <w:rsid w:val="008C7AE4"/>
  </w:style>
  <w:style w:type="paragraph" w:customStyle="1" w:styleId="BB98B5BFE2A446F0AC04E1F409E18E62">
    <w:name w:val="BB98B5BFE2A446F0AC04E1F409E18E62"/>
    <w:rsid w:val="008C7AE4"/>
  </w:style>
  <w:style w:type="paragraph" w:customStyle="1" w:styleId="ED691D5E9F38408D95147CEC70013BBA">
    <w:name w:val="ED691D5E9F38408D95147CEC70013BBA"/>
    <w:rsid w:val="008C7AE4"/>
  </w:style>
  <w:style w:type="paragraph" w:customStyle="1" w:styleId="14C5C8681A714229A03B60B38D588284">
    <w:name w:val="14C5C8681A714229A03B60B38D588284"/>
    <w:rsid w:val="008C7AE4"/>
  </w:style>
  <w:style w:type="paragraph" w:customStyle="1" w:styleId="74F0D8F421404F1F804C1A284E3C83CA">
    <w:name w:val="74F0D8F421404F1F804C1A284E3C83CA"/>
    <w:rsid w:val="008C7AE4"/>
  </w:style>
  <w:style w:type="paragraph" w:customStyle="1" w:styleId="F46345786B0F4EE1B7BD6F83F16C232E">
    <w:name w:val="F46345786B0F4EE1B7BD6F83F16C232E"/>
    <w:rsid w:val="008C7AE4"/>
  </w:style>
  <w:style w:type="paragraph" w:customStyle="1" w:styleId="FB79F68F32C348C484233168B700BAF2">
    <w:name w:val="FB79F68F32C348C484233168B700BAF2"/>
    <w:rsid w:val="00FB27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3FD1C-E745-4933-A754-EC0E14ECB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FFE32-438E-4062-9F92-182E2B8C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7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33</cp:revision>
  <cp:lastPrinted>2018-10-22T22:41:00Z</cp:lastPrinted>
  <dcterms:created xsi:type="dcterms:W3CDTF">2020-03-06T05:09:00Z</dcterms:created>
  <dcterms:modified xsi:type="dcterms:W3CDTF">2020-06-19T00:36:00Z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