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F4D5F6D" w14:textId="77777777" w:rsidR="00BD499F" w:rsidRPr="004C23F4" w:rsidRDefault="00DF09B5" w:rsidP="00B40C60">
          <w:pPr>
            <w:pStyle w:val="Heading1"/>
            <w:jc w:val="center"/>
            <w:rPr>
              <w:rFonts w:ascii="Arial" w:hAnsi="Arial" w:cs="Arial"/>
            </w:rPr>
          </w:pPr>
          <w:r w:rsidRPr="00DF09B5">
            <w:rPr>
              <w:rFonts w:ascii="Arial" w:hAnsi="Arial" w:cs="Arial"/>
            </w:rPr>
            <w:t>p-Toluidine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612895ED" w14:textId="77777777" w:rsidTr="00C75017">
        <w:trPr>
          <w:cantSplit/>
          <w:tblHeader/>
        </w:trPr>
        <w:tc>
          <w:tcPr>
            <w:tcW w:w="3975" w:type="dxa"/>
          </w:tcPr>
          <w:p w14:paraId="5652E70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457629A6" w14:textId="77777777" w:rsidR="00F43AD5" w:rsidRPr="00717D45" w:rsidRDefault="00DF09B5" w:rsidP="00B76A41">
            <w:pPr>
              <w:pStyle w:val="Tablefont"/>
            </w:pPr>
            <w:r>
              <w:t>106-49-0</w:t>
            </w:r>
          </w:p>
        </w:tc>
      </w:tr>
      <w:tr w:rsidR="00F43AD5" w:rsidRPr="004C23F4" w14:paraId="4A21B688" w14:textId="77777777" w:rsidTr="00C75017">
        <w:trPr>
          <w:cantSplit/>
        </w:trPr>
        <w:tc>
          <w:tcPr>
            <w:tcW w:w="3975" w:type="dxa"/>
          </w:tcPr>
          <w:p w14:paraId="6D0C900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15FDF160" w14:textId="412F102E" w:rsidR="00F43AD5" w:rsidRPr="00717D45" w:rsidRDefault="00DF09B5" w:rsidP="00B76A41">
            <w:pPr>
              <w:pStyle w:val="Tablefont"/>
            </w:pPr>
            <w:r>
              <w:t xml:space="preserve">1-Amino-4-methylbenzene, 4-aminotoluene, </w:t>
            </w:r>
            <w:r w:rsidR="00F72CBE">
              <w:br/>
            </w:r>
            <w:r>
              <w:t>4-methylaniline, 4-methylbenzenamine</w:t>
            </w:r>
            <w:r w:rsidR="00237168">
              <w:t xml:space="preserve">, </w:t>
            </w:r>
            <w:r w:rsidR="00237168" w:rsidRPr="00237168">
              <w:t>4-toluidine</w:t>
            </w:r>
            <w:r w:rsidR="00237168">
              <w:t xml:space="preserve">, </w:t>
            </w:r>
            <w:r w:rsidR="00F72CBE">
              <w:br/>
            </w:r>
            <w:r w:rsidR="00237168" w:rsidRPr="00237168">
              <w:t>p-</w:t>
            </w:r>
            <w:proofErr w:type="spellStart"/>
            <w:r w:rsidR="00237168" w:rsidRPr="00237168">
              <w:t>tolylamine</w:t>
            </w:r>
            <w:proofErr w:type="spellEnd"/>
            <w:r w:rsidR="00237168">
              <w:t xml:space="preserve">, </w:t>
            </w:r>
            <w:r w:rsidR="00237168" w:rsidRPr="00237168">
              <w:t>p-</w:t>
            </w:r>
            <w:proofErr w:type="spellStart"/>
            <w:r w:rsidR="00237168" w:rsidRPr="00237168">
              <w:t>aminotoluene</w:t>
            </w:r>
            <w:proofErr w:type="spellEnd"/>
          </w:p>
        </w:tc>
      </w:tr>
      <w:tr w:rsidR="00F43AD5" w:rsidRPr="004C23F4" w14:paraId="37F1F044" w14:textId="77777777" w:rsidTr="00C75017">
        <w:trPr>
          <w:cantSplit/>
        </w:trPr>
        <w:tc>
          <w:tcPr>
            <w:tcW w:w="3975" w:type="dxa"/>
          </w:tcPr>
          <w:p w14:paraId="0A64644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4867248C" w14:textId="77777777" w:rsidR="00F43AD5" w:rsidRPr="00717D45" w:rsidRDefault="000B5F56" w:rsidP="00B76A41">
            <w:pPr>
              <w:pStyle w:val="Tablefont"/>
            </w:pPr>
            <w:r>
              <w:t>C</w:t>
            </w:r>
            <w:r w:rsidRPr="000B5F56">
              <w:rPr>
                <w:vertAlign w:val="subscript"/>
              </w:rPr>
              <w:t>7</w:t>
            </w:r>
            <w:r>
              <w:t>H</w:t>
            </w:r>
            <w:r w:rsidRPr="000B5F56">
              <w:rPr>
                <w:vertAlign w:val="subscript"/>
              </w:rPr>
              <w:t>9</w:t>
            </w:r>
            <w:r>
              <w:t>N</w:t>
            </w:r>
          </w:p>
        </w:tc>
      </w:tr>
    </w:tbl>
    <w:p w14:paraId="76C8462D" w14:textId="3F22683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F7C5B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C930A9A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7C391C2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5F96B38" w14:textId="0B7F1F5E" w:rsidR="002C7AFE" w:rsidRPr="00EB3D1B" w:rsidRDefault="00F3534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Pr="008F7514">
              <w:rPr>
                <w:b/>
              </w:rPr>
              <w:t xml:space="preserve"> </w:t>
            </w:r>
            <w:r w:rsidR="008F7514" w:rsidRPr="008F7514">
              <w:rPr>
                <w:b/>
              </w:rPr>
              <w:t>ppm (</w:t>
            </w:r>
            <w:r>
              <w:rPr>
                <w:b/>
              </w:rPr>
              <w:t>8.8</w:t>
            </w:r>
            <w:r w:rsidR="008F7514" w:rsidRPr="008F7514">
              <w:rPr>
                <w:b/>
              </w:rPr>
              <w:t xml:space="preserve"> mg/m</w:t>
            </w:r>
            <w:r w:rsidR="008F7514" w:rsidRPr="008F7514">
              <w:rPr>
                <w:b/>
                <w:vertAlign w:val="superscript"/>
              </w:rPr>
              <w:t>3</w:t>
            </w:r>
            <w:r w:rsidR="008F7514" w:rsidRPr="008F7514">
              <w:rPr>
                <w:b/>
              </w:rPr>
              <w:t>)</w:t>
            </w:r>
          </w:p>
        </w:tc>
      </w:tr>
      <w:tr w:rsidR="00037E52" w:rsidRPr="004C23F4" w14:paraId="03A8D350" w14:textId="77777777" w:rsidTr="00037E52">
        <w:trPr>
          <w:cantSplit/>
        </w:trPr>
        <w:tc>
          <w:tcPr>
            <w:tcW w:w="4010" w:type="dxa"/>
            <w:vAlign w:val="center"/>
          </w:tcPr>
          <w:p w14:paraId="700A85D1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EBC94E4" w14:textId="5BEA999A" w:rsidR="00037E52" w:rsidRPr="00EB3D1B" w:rsidRDefault="000C1F5A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2843BD0" w14:textId="77777777" w:rsidTr="00037E52">
        <w:trPr>
          <w:cantSplit/>
        </w:trPr>
        <w:tc>
          <w:tcPr>
            <w:tcW w:w="4010" w:type="dxa"/>
            <w:vAlign w:val="center"/>
          </w:tcPr>
          <w:p w14:paraId="7EBF476D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B24169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7FF8E15" w14:textId="77777777" w:rsidTr="00037E52">
        <w:trPr>
          <w:cantSplit/>
        </w:trPr>
        <w:tc>
          <w:tcPr>
            <w:tcW w:w="4010" w:type="dxa"/>
          </w:tcPr>
          <w:p w14:paraId="25F74593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1A34D5EC" w14:textId="3BEE46E8" w:rsidR="00037E52" w:rsidRPr="00EB3D1B" w:rsidRDefault="00F64FEC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Carc. 2, Sk., DSEN</w:t>
            </w:r>
          </w:p>
        </w:tc>
      </w:tr>
      <w:tr w:rsidR="00037E52" w:rsidRPr="004C23F4" w14:paraId="34D0F1D4" w14:textId="77777777" w:rsidTr="00037E52">
        <w:trPr>
          <w:cantSplit/>
        </w:trPr>
        <w:tc>
          <w:tcPr>
            <w:tcW w:w="4010" w:type="dxa"/>
            <w:vAlign w:val="center"/>
          </w:tcPr>
          <w:p w14:paraId="21FAA32F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752F6C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1E9E329A" w14:textId="77777777" w:rsidTr="00591E0A">
        <w:trPr>
          <w:cantSplit/>
        </w:trPr>
        <w:tc>
          <w:tcPr>
            <w:tcW w:w="9026" w:type="dxa"/>
            <w:gridSpan w:val="2"/>
            <w:vAlign w:val="center"/>
          </w:tcPr>
          <w:p w14:paraId="4EDA0FD5" w14:textId="0192BAD7" w:rsidR="00155999" w:rsidRPr="00EB3D1B" w:rsidRDefault="00155999" w:rsidP="00037E52">
            <w:pPr>
              <w:pStyle w:val="Tablefont"/>
              <w:rPr>
                <w:b/>
              </w:rPr>
            </w:pPr>
            <w:r w:rsidRPr="00BE6CD1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F67E7" w:rsidRPr="00BE6CD1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607F7B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AB7030A" w14:textId="6BDD0A73" w:rsidR="006639B4" w:rsidRDefault="004F67E7" w:rsidP="000C139A">
      <w:pPr>
        <w:rPr>
          <w:rFonts w:cs="Arial"/>
        </w:rPr>
      </w:pPr>
      <w:r w:rsidRPr="00F64FEC">
        <w:rPr>
          <w:rFonts w:cs="Arial"/>
        </w:rPr>
        <w:t xml:space="preserve">A TWA </w:t>
      </w:r>
      <w:r w:rsidRPr="003F7C5B">
        <w:rPr>
          <w:rFonts w:cs="Arial"/>
        </w:rPr>
        <w:t xml:space="preserve">of </w:t>
      </w:r>
      <w:r w:rsidR="00F3534E">
        <w:rPr>
          <w:rFonts w:cs="Arial"/>
        </w:rPr>
        <w:t>2</w:t>
      </w:r>
      <w:r w:rsidR="00F3534E" w:rsidRPr="003F7C5B">
        <w:rPr>
          <w:rFonts w:cs="Arial"/>
        </w:rPr>
        <w:t xml:space="preserve"> </w:t>
      </w:r>
      <w:r w:rsidRPr="003F7C5B">
        <w:rPr>
          <w:rFonts w:cs="Arial"/>
        </w:rPr>
        <w:t>ppm (</w:t>
      </w:r>
      <w:r w:rsidR="00F3534E">
        <w:rPr>
          <w:rFonts w:cs="Arial"/>
        </w:rPr>
        <w:t>8.8</w:t>
      </w:r>
      <w:r w:rsidRPr="003F7C5B">
        <w:rPr>
          <w:rFonts w:cs="Arial"/>
        </w:rPr>
        <w:t xml:space="preserve"> mg/m</w:t>
      </w:r>
      <w:r w:rsidRPr="003F7C5B">
        <w:rPr>
          <w:rFonts w:cs="Arial"/>
          <w:vertAlign w:val="superscript"/>
        </w:rPr>
        <w:t>3</w:t>
      </w:r>
      <w:r w:rsidRPr="003F7C5B">
        <w:rPr>
          <w:rFonts w:cs="Arial"/>
        </w:rPr>
        <w:t>) is recommended</w:t>
      </w:r>
      <w:r w:rsidRPr="00F64FEC">
        <w:rPr>
          <w:rFonts w:cs="Arial"/>
        </w:rPr>
        <w:t xml:space="preserve"> </w:t>
      </w:r>
      <w:r w:rsidR="00AE3F4E">
        <w:rPr>
          <w:rFonts w:cs="Arial"/>
        </w:rPr>
        <w:t xml:space="preserve">in the interim </w:t>
      </w:r>
      <w:r w:rsidRPr="00F64FEC">
        <w:rPr>
          <w:rFonts w:cs="Arial"/>
        </w:rPr>
        <w:t>to protect for methaemoglobinemia and irritation of the eyes, kidney</w:t>
      </w:r>
      <w:r w:rsidR="009A5076">
        <w:rPr>
          <w:rFonts w:cs="Arial"/>
        </w:rPr>
        <w:t xml:space="preserve"> and</w:t>
      </w:r>
      <w:r w:rsidRPr="00F64FEC">
        <w:rPr>
          <w:rFonts w:cs="Arial"/>
        </w:rPr>
        <w:t xml:space="preserve"> bladder in exposed workers.</w:t>
      </w:r>
    </w:p>
    <w:p w14:paraId="2A932A28" w14:textId="2C890C06" w:rsidR="003F7C5B" w:rsidRPr="004C23F4" w:rsidRDefault="003F7C5B" w:rsidP="000C139A">
      <w:pPr>
        <w:rPr>
          <w:rFonts w:cs="Arial"/>
        </w:rPr>
      </w:pPr>
      <w:r w:rsidRPr="003F7C5B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09FC957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9FFA3BE" w14:textId="7DB5B25D" w:rsidR="006639B4" w:rsidRDefault="004E4AAE" w:rsidP="006639B4">
      <w:pPr>
        <w:rPr>
          <w:rFonts w:cs="Arial"/>
        </w:rPr>
      </w:pPr>
      <w:r w:rsidRPr="00F64FEC">
        <w:rPr>
          <w:rFonts w:cs="Arial"/>
          <w:i/>
        </w:rPr>
        <w:t>p</w:t>
      </w:r>
      <w:r>
        <w:rPr>
          <w:rFonts w:cs="Arial"/>
        </w:rPr>
        <w:t xml:space="preserve">-Toluidine and its hydrochloride salt are used as intermediates in dye and chemical </w:t>
      </w:r>
      <w:r w:rsidR="004F67E7">
        <w:rPr>
          <w:rFonts w:cs="Arial"/>
        </w:rPr>
        <w:t>manufacture</w:t>
      </w:r>
      <w:r>
        <w:rPr>
          <w:rFonts w:cs="Arial"/>
        </w:rPr>
        <w:t>.</w:t>
      </w:r>
    </w:p>
    <w:p w14:paraId="6B1DB7C6" w14:textId="5411D926" w:rsidR="004E4AAE" w:rsidRDefault="004E4AAE" w:rsidP="006639B4">
      <w:pPr>
        <w:rPr>
          <w:rFonts w:cs="Arial"/>
        </w:rPr>
      </w:pPr>
      <w:r>
        <w:rPr>
          <w:rFonts w:cs="Arial"/>
        </w:rPr>
        <w:t xml:space="preserve">Critical effects of exposure are methaemoglobinemia and </w:t>
      </w:r>
      <w:r w:rsidR="004F67E7">
        <w:rPr>
          <w:rFonts w:cs="Arial"/>
        </w:rPr>
        <w:t>irritation of the eyes, kidneys</w:t>
      </w:r>
      <w:r w:rsidR="009A5076">
        <w:rPr>
          <w:rFonts w:cs="Arial"/>
        </w:rPr>
        <w:t xml:space="preserve"> and</w:t>
      </w:r>
      <w:r w:rsidR="004F67E7">
        <w:rPr>
          <w:rFonts w:cs="Arial"/>
        </w:rPr>
        <w:t xml:space="preserve"> bladder</w:t>
      </w:r>
      <w:r>
        <w:rPr>
          <w:rFonts w:cs="Arial"/>
        </w:rPr>
        <w:t>.</w:t>
      </w:r>
    </w:p>
    <w:p w14:paraId="7CDC399C" w14:textId="5A2F9AC3" w:rsidR="00D00317" w:rsidRDefault="004E4AAE" w:rsidP="00064C24">
      <w:pPr>
        <w:rPr>
          <w:rFonts w:cs="Arial"/>
        </w:rPr>
      </w:pPr>
      <w:r>
        <w:rPr>
          <w:rFonts w:cs="Arial"/>
        </w:rPr>
        <w:t>Substance-spec</w:t>
      </w:r>
      <w:r w:rsidR="00FF38E1">
        <w:rPr>
          <w:rFonts w:cs="Arial"/>
        </w:rPr>
        <w:t>ific exposure data are limited</w:t>
      </w:r>
      <w:r w:rsidR="00A33443">
        <w:rPr>
          <w:rFonts w:cs="Arial"/>
        </w:rPr>
        <w:t>, but the available database indicates toxicological similarities to structurally related aniline and other toluidine isomers (ACGIH, 2018; SCOEL, 2013).</w:t>
      </w:r>
      <w:r w:rsidR="00FF38E1">
        <w:rPr>
          <w:rFonts w:cs="Arial"/>
        </w:rPr>
        <w:t xml:space="preserve"> </w:t>
      </w:r>
      <w:r w:rsidR="00A33443">
        <w:rPr>
          <w:rFonts w:cs="Arial"/>
        </w:rPr>
        <w:t>Evidence of p</w:t>
      </w:r>
      <w:r w:rsidR="00FF38E1">
        <w:rPr>
          <w:rFonts w:cs="Arial"/>
        </w:rPr>
        <w:t xml:space="preserve">ainful urination, </w:t>
      </w:r>
      <w:r w:rsidRPr="004E4AAE">
        <w:rPr>
          <w:rFonts w:cs="Arial"/>
        </w:rPr>
        <w:t>haemoglobinuria, dizziness and headache</w:t>
      </w:r>
      <w:r>
        <w:rPr>
          <w:rFonts w:cs="Arial"/>
        </w:rPr>
        <w:t xml:space="preserve"> </w:t>
      </w:r>
      <w:r w:rsidR="00A33443">
        <w:rPr>
          <w:rFonts w:cs="Arial"/>
        </w:rPr>
        <w:t xml:space="preserve">in humans exposed at 5 ppm is </w:t>
      </w:r>
      <w:r w:rsidR="00AC6536">
        <w:rPr>
          <w:rFonts w:cs="Arial"/>
        </w:rPr>
        <w:t>reported</w:t>
      </w:r>
      <w:r w:rsidR="00A33443">
        <w:rPr>
          <w:rFonts w:cs="Arial"/>
        </w:rPr>
        <w:t>,</w:t>
      </w:r>
      <w:r w:rsidR="00FF38E1">
        <w:rPr>
          <w:rFonts w:cs="Arial"/>
        </w:rPr>
        <w:t xml:space="preserve"> but poorly documented (NICNAS, 2015). An approximately two-fold lower potential for methaemoglobin formation than aniline is reported in an acute in</w:t>
      </w:r>
      <w:r w:rsidR="00A33443">
        <w:rPr>
          <w:rFonts w:cs="Arial"/>
        </w:rPr>
        <w:t>travenous dose study with cats (</w:t>
      </w:r>
      <w:r w:rsidR="00A4176B">
        <w:rPr>
          <w:rFonts w:cs="Arial"/>
        </w:rPr>
        <w:t xml:space="preserve">ACGIH, 2018; </w:t>
      </w:r>
      <w:r w:rsidR="00A33443">
        <w:rPr>
          <w:rFonts w:cs="Arial"/>
        </w:rPr>
        <w:t>SCOEL, 2013).</w:t>
      </w:r>
      <w:r w:rsidR="00C86C30">
        <w:rPr>
          <w:rFonts w:cs="Arial"/>
        </w:rPr>
        <w:t xml:space="preserve"> Evidence for c</w:t>
      </w:r>
      <w:r w:rsidR="00D272C9">
        <w:rPr>
          <w:rFonts w:cs="Arial"/>
        </w:rPr>
        <w:t xml:space="preserve">arcinogenic potential </w:t>
      </w:r>
      <w:r w:rsidR="00C86C30">
        <w:rPr>
          <w:rFonts w:cs="Arial"/>
        </w:rPr>
        <w:t xml:space="preserve">in animals is equivocal (ACGIH, 2018) and the available mutagenicity data are inconclusive regarding a genotoxic mechanism of action (DFG, 2004; NICNAS, 2015). </w:t>
      </w:r>
      <w:r w:rsidR="00A33443">
        <w:rPr>
          <w:rFonts w:cs="Arial"/>
        </w:rPr>
        <w:t>Systemic toxicity following dermal exposure</w:t>
      </w:r>
      <w:r w:rsidR="009A5076">
        <w:rPr>
          <w:rFonts w:cs="Arial"/>
        </w:rPr>
        <w:t xml:space="preserve"> and</w:t>
      </w:r>
      <w:r w:rsidR="00A33443">
        <w:rPr>
          <w:rFonts w:cs="Arial"/>
        </w:rPr>
        <w:t xml:space="preserve"> dermal sensitisation </w:t>
      </w:r>
      <w:r w:rsidR="00AE3F4E">
        <w:rPr>
          <w:rFonts w:cs="Arial"/>
        </w:rPr>
        <w:t xml:space="preserve">is </w:t>
      </w:r>
      <w:r w:rsidR="00AC6536">
        <w:rPr>
          <w:rFonts w:cs="Arial"/>
        </w:rPr>
        <w:t>reported</w:t>
      </w:r>
      <w:r w:rsidR="00A33443">
        <w:rPr>
          <w:rFonts w:cs="Arial"/>
        </w:rPr>
        <w:t xml:space="preserve"> in animal studies</w:t>
      </w:r>
      <w:r w:rsidR="00AC6536">
        <w:rPr>
          <w:rFonts w:cs="Arial"/>
        </w:rPr>
        <w:t>.</w:t>
      </w:r>
      <w:r w:rsidR="00A33443">
        <w:rPr>
          <w:rFonts w:cs="Arial"/>
        </w:rPr>
        <w:t xml:space="preserve"> </w:t>
      </w:r>
      <w:r w:rsidR="00AC6536">
        <w:rPr>
          <w:rFonts w:cs="Arial"/>
        </w:rPr>
        <w:t xml:space="preserve">Dermal </w:t>
      </w:r>
      <w:r w:rsidR="00A33443">
        <w:rPr>
          <w:rFonts w:cs="Arial"/>
        </w:rPr>
        <w:t>sensitisation data in humans is inconclusive and a dermal sensitiser notation is disputed in the available source material (DFG, 2004; SCOEL, 2013).</w:t>
      </w:r>
    </w:p>
    <w:p w14:paraId="55D77185" w14:textId="61A47748" w:rsidR="00AC6536" w:rsidRDefault="00A4176B" w:rsidP="006639B4">
      <w:pPr>
        <w:rPr>
          <w:rFonts w:cs="Arial"/>
        </w:rPr>
      </w:pPr>
      <w:r>
        <w:rPr>
          <w:rFonts w:cs="Arial"/>
        </w:rPr>
        <w:t>In view of the limited toxicological database, SCOEL</w:t>
      </w:r>
      <w:r w:rsidR="006B6626">
        <w:rPr>
          <w:rFonts w:cs="Arial"/>
        </w:rPr>
        <w:t xml:space="preserve"> (2013)</w:t>
      </w:r>
      <w:r>
        <w:rPr>
          <w:rFonts w:cs="Arial"/>
        </w:rPr>
        <w:t xml:space="preserve"> </w:t>
      </w:r>
      <w:r w:rsidR="006B6626">
        <w:rPr>
          <w:rFonts w:cs="Arial"/>
        </w:rPr>
        <w:t xml:space="preserve">and ACGIH (2018) base their </w:t>
      </w:r>
      <w:r w:rsidR="00F3534E">
        <w:rPr>
          <w:rFonts w:cs="Arial"/>
        </w:rPr>
        <w:t xml:space="preserve">respective </w:t>
      </w:r>
      <w:r w:rsidR="006B6626">
        <w:rPr>
          <w:rFonts w:cs="Arial"/>
        </w:rPr>
        <w:t xml:space="preserve">TWA recommendations </w:t>
      </w:r>
      <w:r w:rsidR="00F3534E">
        <w:rPr>
          <w:rFonts w:cs="Arial"/>
        </w:rPr>
        <w:t xml:space="preserve">of 1 and 2 ppm </w:t>
      </w:r>
      <w:r w:rsidR="006B6626">
        <w:rPr>
          <w:rFonts w:cs="Arial"/>
        </w:rPr>
        <w:t xml:space="preserve">on analogy to the methaemoglobin-forming potential of aniline. </w:t>
      </w:r>
      <w:r w:rsidR="00591E0A">
        <w:rPr>
          <w:rFonts w:cs="Arial"/>
        </w:rPr>
        <w:t xml:space="preserve">SCOEL (2013) additionally recommends a STEL of 2 ppm to protect for acute irritation, the experimental basis of which is however not discussed. </w:t>
      </w:r>
      <w:r w:rsidR="00D272C9">
        <w:rPr>
          <w:rFonts w:cs="Arial"/>
        </w:rPr>
        <w:t xml:space="preserve">DFG (2004) does not recommend a numerical TWA equivalent due to </w:t>
      </w:r>
      <w:r w:rsidR="00C86C30">
        <w:rPr>
          <w:rFonts w:cs="Arial"/>
        </w:rPr>
        <w:t>potential genotoxic carcinogenicity.</w:t>
      </w:r>
      <w:r w:rsidR="00D272C9">
        <w:rPr>
          <w:rFonts w:cs="Arial"/>
        </w:rPr>
        <w:t xml:space="preserve"> </w:t>
      </w:r>
      <w:r w:rsidR="00C86C30">
        <w:rPr>
          <w:rFonts w:cs="Arial"/>
        </w:rPr>
        <w:t>In view of</w:t>
      </w:r>
      <w:r w:rsidR="00591E0A">
        <w:rPr>
          <w:rFonts w:cs="Arial"/>
        </w:rPr>
        <w:t xml:space="preserve"> these uncertainties</w:t>
      </w:r>
      <w:r w:rsidR="00C86C30">
        <w:rPr>
          <w:rFonts w:cs="Arial"/>
        </w:rPr>
        <w:t xml:space="preserve">, </w:t>
      </w:r>
      <w:r w:rsidR="00F3534E">
        <w:rPr>
          <w:rFonts w:cs="Arial"/>
        </w:rPr>
        <w:t>the</w:t>
      </w:r>
      <w:r w:rsidR="00AE3F4E">
        <w:rPr>
          <w:rFonts w:cs="Arial"/>
        </w:rPr>
        <w:t xml:space="preserve"> current</w:t>
      </w:r>
      <w:r w:rsidR="00F3534E">
        <w:rPr>
          <w:rFonts w:cs="Arial"/>
        </w:rPr>
        <w:t xml:space="preserve"> </w:t>
      </w:r>
      <w:r w:rsidR="00AE3F4E">
        <w:rPr>
          <w:rFonts w:cs="Arial"/>
        </w:rPr>
        <w:lastRenderedPageBreak/>
        <w:t xml:space="preserve">SWA </w:t>
      </w:r>
      <w:r w:rsidR="00C65ECE">
        <w:rPr>
          <w:rFonts w:cs="Arial"/>
        </w:rPr>
        <w:t xml:space="preserve">TWA of </w:t>
      </w:r>
      <w:r w:rsidR="00F3534E">
        <w:rPr>
          <w:rFonts w:cs="Arial"/>
        </w:rPr>
        <w:t xml:space="preserve">2 </w:t>
      </w:r>
      <w:r w:rsidR="00C65ECE">
        <w:rPr>
          <w:rFonts w:cs="Arial"/>
        </w:rPr>
        <w:t xml:space="preserve">ppm </w:t>
      </w:r>
      <w:r w:rsidR="000C1F5A">
        <w:rPr>
          <w:rFonts w:cs="Arial"/>
        </w:rPr>
        <w:t>is</w:t>
      </w:r>
      <w:r w:rsidR="00591E0A">
        <w:rPr>
          <w:rFonts w:cs="Arial"/>
        </w:rPr>
        <w:t xml:space="preserve"> </w:t>
      </w:r>
      <w:r w:rsidR="00F3534E">
        <w:rPr>
          <w:rFonts w:cs="Arial"/>
        </w:rPr>
        <w:t xml:space="preserve">retained </w:t>
      </w:r>
      <w:r w:rsidR="00C65ECE">
        <w:rPr>
          <w:rFonts w:cs="Arial"/>
        </w:rPr>
        <w:t xml:space="preserve">in </w:t>
      </w:r>
      <w:r w:rsidR="00591E0A">
        <w:rPr>
          <w:rFonts w:cs="Arial"/>
        </w:rPr>
        <w:t>the interim</w:t>
      </w:r>
      <w:r w:rsidR="000C1F5A">
        <w:rPr>
          <w:rFonts w:cs="Arial"/>
        </w:rPr>
        <w:t xml:space="preserve"> </w:t>
      </w:r>
      <w:r w:rsidR="00591E0A">
        <w:rPr>
          <w:rFonts w:cs="Arial"/>
        </w:rPr>
        <w:t>and further assessment of additional sources is recommended during subsequent reviews.</w:t>
      </w:r>
      <w:r w:rsidR="000C1F5A">
        <w:rPr>
          <w:rFonts w:cs="Arial"/>
        </w:rPr>
        <w:t xml:space="preserve"> </w:t>
      </w:r>
    </w:p>
    <w:p w14:paraId="47A97253" w14:textId="7D6CE699" w:rsidR="00C65ECE" w:rsidRPr="004C23F4" w:rsidRDefault="000C1F5A" w:rsidP="006639B4">
      <w:pPr>
        <w:rPr>
          <w:rFonts w:cs="Arial"/>
        </w:rPr>
      </w:pPr>
      <w:r>
        <w:rPr>
          <w:rFonts w:cs="Arial"/>
        </w:rPr>
        <w:t xml:space="preserve">A STEL is not recommended as there is no evidence for </w:t>
      </w:r>
      <w:r w:rsidR="00336DD3">
        <w:rPr>
          <w:rFonts w:cs="Arial"/>
        </w:rPr>
        <w:t>increased severity of effects</w:t>
      </w:r>
      <w:r>
        <w:rPr>
          <w:rFonts w:cs="Arial"/>
        </w:rPr>
        <w:t xml:space="preserve"> within an order of magnitude of the recommended TWA.</w:t>
      </w:r>
    </w:p>
    <w:p w14:paraId="1F3986D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B5ACF8D" w14:textId="681DB29A" w:rsidR="004F67E7" w:rsidRPr="00F64FEC" w:rsidRDefault="004F67E7" w:rsidP="004F67E7">
      <w:pPr>
        <w:rPr>
          <w:rFonts w:cs="Arial"/>
        </w:rPr>
      </w:pPr>
      <w:r w:rsidRPr="00F64FEC">
        <w:rPr>
          <w:rFonts w:cs="Arial"/>
        </w:rPr>
        <w:t xml:space="preserve">Classified as a category 2 carcinogen according to the Globally Harmonized System of Classification and Labelling of Chemicals (GHS). </w:t>
      </w:r>
    </w:p>
    <w:p w14:paraId="50B81C99" w14:textId="77777777" w:rsidR="004F67E7" w:rsidRPr="00F64FEC" w:rsidRDefault="004F67E7" w:rsidP="008E4F1F">
      <w:pPr>
        <w:rPr>
          <w:rFonts w:cs="Arial"/>
        </w:rPr>
      </w:pPr>
      <w:r w:rsidRPr="00F64FEC">
        <w:rPr>
          <w:rFonts w:cs="Arial"/>
        </w:rPr>
        <w:t xml:space="preserve">Classified as a skin sensitiser but not a respiratory sensitiser according to the GHS. </w:t>
      </w:r>
    </w:p>
    <w:p w14:paraId="616A4E42" w14:textId="77777777" w:rsidR="004F67E7" w:rsidRPr="00F64FEC" w:rsidRDefault="004F67E7" w:rsidP="004F67E7">
      <w:pPr>
        <w:rPr>
          <w:rFonts w:cs="Arial"/>
        </w:rPr>
      </w:pPr>
      <w:r w:rsidRPr="00F64FEC">
        <w:rPr>
          <w:rFonts w:cs="Arial"/>
        </w:rPr>
        <w:t>A skin notation is recommended due to evidence of dermal absorption and contribution to adverse systemic effects.</w:t>
      </w:r>
    </w:p>
    <w:p w14:paraId="1DC7003D" w14:textId="77777777" w:rsidR="0025734A" w:rsidRPr="004C23F4" w:rsidRDefault="0025734A">
      <w:pPr>
        <w:rPr>
          <w:rFonts w:cs="Arial"/>
        </w:rPr>
      </w:pPr>
    </w:p>
    <w:p w14:paraId="7660D83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C5458D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AE1822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B9D5E60" w14:textId="77777777" w:rsidTr="001018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84A0B3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F5F8757" w14:textId="77777777" w:rsidTr="001018A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F3A6C74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4462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B6533">
                  <w:t>TWA: 2 ppm (8.8 mg/m</w:t>
                </w:r>
                <w:r w:rsidR="002B6533" w:rsidRPr="002B6533">
                  <w:rPr>
                    <w:vertAlign w:val="superscript"/>
                  </w:rPr>
                  <w:t>3</w:t>
                </w:r>
                <w:r w:rsidR="002B6533">
                  <w:t>)</w:t>
                </w:r>
              </w:sdtContent>
            </w:sdt>
          </w:p>
        </w:tc>
      </w:tr>
      <w:tr w:rsidR="00C978F0" w:rsidRPr="00DA352E" w14:paraId="4D05DB89" w14:textId="77777777" w:rsidTr="001018AD">
        <w:trPr>
          <w:gridAfter w:val="1"/>
          <w:wAfter w:w="8" w:type="pct"/>
        </w:trPr>
        <w:tc>
          <w:tcPr>
            <w:tcW w:w="4992" w:type="pct"/>
          </w:tcPr>
          <w:p w14:paraId="4ED7EF5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A37B643" w14:textId="77777777" w:rsidTr="001018A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4C3E51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B653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B6533">
                  <w:t>TLV-</w:t>
                </w:r>
                <w:r w:rsidR="002B6533" w:rsidRPr="002B6533">
                  <w:t>TWA: 2 ppm (8.8 mg/m</w:t>
                </w:r>
                <w:r w:rsidR="002B6533" w:rsidRPr="002B6533">
                  <w:rPr>
                    <w:vertAlign w:val="superscript"/>
                  </w:rPr>
                  <w:t>3</w:t>
                </w:r>
                <w:r w:rsidR="002B6533" w:rsidRPr="002B6533">
                  <w:t>)</w:t>
                </w:r>
              </w:sdtContent>
            </w:sdt>
          </w:p>
        </w:tc>
      </w:tr>
      <w:tr w:rsidR="00C978F0" w:rsidRPr="00DA352E" w14:paraId="56A68F6C" w14:textId="77777777" w:rsidTr="001018AD">
        <w:trPr>
          <w:gridAfter w:val="1"/>
          <w:wAfter w:w="8" w:type="pct"/>
        </w:trPr>
        <w:tc>
          <w:tcPr>
            <w:tcW w:w="4992" w:type="pct"/>
          </w:tcPr>
          <w:p w14:paraId="2931D153" w14:textId="3354B5F4" w:rsidR="00C978F0" w:rsidRDefault="005C24F2" w:rsidP="003365A5">
            <w:pPr>
              <w:pStyle w:val="Tabletextprimarysource"/>
            </w:pPr>
            <w:r>
              <w:t>TLV-TWA intended to protect for methaemoglobinemia</w:t>
            </w:r>
            <w:r w:rsidR="009A5076">
              <w:t xml:space="preserve"> and</w:t>
            </w:r>
            <w:r>
              <w:t xml:space="preserve"> irritation of the eyes, skin, kidneys</w:t>
            </w:r>
            <w:r w:rsidR="009A5076">
              <w:t xml:space="preserve"> and</w:t>
            </w:r>
            <w:r>
              <w:t xml:space="preserve"> bladder. </w:t>
            </w:r>
            <w:r w:rsidR="00110922">
              <w:t xml:space="preserve">Carcinogenicity confirmed in animal studies, but with unknown relevance to humans (A3). </w:t>
            </w:r>
            <w:r>
              <w:t xml:space="preserve">Skin notation recommended based on reports of systemic effects following dermal absorption in animals. </w:t>
            </w:r>
            <w:r w:rsidR="00110922" w:rsidRPr="00110922">
              <w:t>A BEI for methaemoglobin inducers is available.</w:t>
            </w:r>
          </w:p>
          <w:p w14:paraId="452AD18F" w14:textId="1289C39D" w:rsidR="00AC6536" w:rsidRDefault="005C24F2" w:rsidP="003365A5">
            <w:pPr>
              <w:pStyle w:val="Tabletextprimarysource"/>
            </w:pPr>
            <w:r>
              <w:t>Summary of information</w:t>
            </w:r>
            <w:r w:rsidR="0030616C">
              <w:t>:</w:t>
            </w:r>
          </w:p>
          <w:p w14:paraId="2BAE1995" w14:textId="193A59E1" w:rsidR="005C24F2" w:rsidRDefault="00110922" w:rsidP="003365A5">
            <w:pPr>
              <w:pStyle w:val="Tabletextprimarysource"/>
            </w:pPr>
            <w:r>
              <w:rPr>
                <w:i/>
              </w:rPr>
              <w:t>p</w:t>
            </w:r>
            <w:r w:rsidRPr="00110922">
              <w:t xml:space="preserve">-Toluidine has a similar toxicity profile to </w:t>
            </w:r>
            <w:r w:rsidRPr="00110922">
              <w:rPr>
                <w:i/>
              </w:rPr>
              <w:t>o</w:t>
            </w:r>
            <w:r w:rsidRPr="00110922">
              <w:t xml:space="preserve">-toluidine, for which more toxicological data are available. </w:t>
            </w:r>
            <w:r>
              <w:t xml:space="preserve">Carcinogenic and mutagenic potential lower than that of </w:t>
            </w:r>
            <w:r w:rsidRPr="00F64FEC">
              <w:rPr>
                <w:i/>
              </w:rPr>
              <w:t>o</w:t>
            </w:r>
            <w:r>
              <w:t xml:space="preserve">-toluidine based on animal studies. </w:t>
            </w:r>
            <w:r w:rsidRPr="00110922">
              <w:t xml:space="preserve">TLV-TWA based on analogy to aniline and </w:t>
            </w:r>
            <w:r w:rsidRPr="00110922">
              <w:rPr>
                <w:i/>
              </w:rPr>
              <w:t>o</w:t>
            </w:r>
            <w:r w:rsidR="0093034C">
              <w:t>-</w:t>
            </w:r>
            <w:r w:rsidRPr="00110922">
              <w:t>toluidine.</w:t>
            </w:r>
          </w:p>
          <w:p w14:paraId="16B6376A" w14:textId="4A222A89" w:rsidR="00AC6536" w:rsidRDefault="005C24F2" w:rsidP="003365A5">
            <w:pPr>
              <w:pStyle w:val="Tabletextprimarysource"/>
            </w:pPr>
            <w:r>
              <w:t>Human data</w:t>
            </w:r>
            <w:r w:rsidR="0030616C">
              <w:t>:</w:t>
            </w:r>
          </w:p>
          <w:p w14:paraId="12C9B92F" w14:textId="38B8D879" w:rsidR="005C24F2" w:rsidRDefault="00110922" w:rsidP="00F64FEC">
            <w:pPr>
              <w:pStyle w:val="Tabletextprimarysource"/>
              <w:numPr>
                <w:ilvl w:val="0"/>
                <w:numId w:val="2"/>
              </w:numPr>
            </w:pPr>
            <w:r>
              <w:t>Clinical signs of intoxication include methaemoglobinemia and haematuria (no further details provided)</w:t>
            </w:r>
          </w:p>
          <w:p w14:paraId="2A8B8D7A" w14:textId="77777777" w:rsidR="00110922" w:rsidRDefault="00110922" w:rsidP="00110922">
            <w:pPr>
              <w:pStyle w:val="Tabletextprimarysource"/>
              <w:numPr>
                <w:ilvl w:val="0"/>
                <w:numId w:val="3"/>
              </w:numPr>
            </w:pPr>
            <w:r>
              <w:t>Severe intoxication at 40 ppm and unspecified illness at 10 ppm of a mixture of toluidine isomers (not specified) reported (1 h, no further details provided)</w:t>
            </w:r>
          </w:p>
          <w:p w14:paraId="617FFEAE" w14:textId="6BEFD44D" w:rsidR="00110922" w:rsidRDefault="00110922" w:rsidP="00F64FEC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No epidemiological data available for exposure to </w:t>
            </w:r>
            <w:r>
              <w:rPr>
                <w:i/>
              </w:rPr>
              <w:t>p</w:t>
            </w:r>
            <w:r>
              <w:t>-toluidine alone</w:t>
            </w:r>
          </w:p>
          <w:p w14:paraId="6AB08C99" w14:textId="279B1188" w:rsidR="00110922" w:rsidRDefault="00110922" w:rsidP="00F64FEC">
            <w:pPr>
              <w:pStyle w:val="Tabletextprimarysource"/>
              <w:numPr>
                <w:ilvl w:val="0"/>
                <w:numId w:val="3"/>
              </w:numPr>
            </w:pPr>
            <w:r>
              <w:t>Dermal permeability coefficient calculated as 0.0037 cm/h for intact human skin</w:t>
            </w:r>
            <w:r w:rsidR="00D00317">
              <w:t>.</w:t>
            </w:r>
          </w:p>
          <w:p w14:paraId="67789687" w14:textId="1BC6B512" w:rsidR="00AC6536" w:rsidRDefault="005C24F2" w:rsidP="003365A5">
            <w:pPr>
              <w:pStyle w:val="Tabletextprimarysource"/>
            </w:pPr>
            <w:r>
              <w:t>Animal data</w:t>
            </w:r>
            <w:r w:rsidR="0030616C">
              <w:t>:</w:t>
            </w:r>
          </w:p>
          <w:p w14:paraId="69CADC66" w14:textId="311D2B36" w:rsidR="005C24F2" w:rsidRDefault="005C24F2" w:rsidP="00C75017">
            <w:pPr>
              <w:pStyle w:val="Tabletextprimarysource"/>
              <w:numPr>
                <w:ilvl w:val="0"/>
                <w:numId w:val="1"/>
              </w:numPr>
              <w:ind w:left="723"/>
            </w:pPr>
            <w:r>
              <w:t>Oral LD</w:t>
            </w:r>
            <w:r>
              <w:rPr>
                <w:vertAlign w:val="subscript"/>
              </w:rPr>
              <w:t>50</w:t>
            </w:r>
            <w:r w:rsidR="00AC6536">
              <w:t xml:space="preserve"> of</w:t>
            </w:r>
            <w:r>
              <w:t xml:space="preserve"> 656 mg/kg (rats); 794 mg/kg (mice)</w:t>
            </w:r>
          </w:p>
          <w:p w14:paraId="0EC1F619" w14:textId="470F8EE2" w:rsidR="005C24F2" w:rsidRDefault="005C24F2" w:rsidP="00C75017">
            <w:pPr>
              <w:pStyle w:val="Tabletextprimarysource"/>
              <w:numPr>
                <w:ilvl w:val="0"/>
                <w:numId w:val="1"/>
              </w:numPr>
              <w:ind w:left="723"/>
            </w:pPr>
            <w:r>
              <w:t>LD</w:t>
            </w:r>
            <w:r>
              <w:rPr>
                <w:vertAlign w:val="subscript"/>
              </w:rPr>
              <w:t>50</w:t>
            </w:r>
            <w:r w:rsidR="00AC6536">
              <w:t xml:space="preserve"> of</w:t>
            </w:r>
            <w:r>
              <w:t xml:space="preserve"> 890 mg/kg (rabbits</w:t>
            </w:r>
            <w:r w:rsidR="00A72B8E">
              <w:t>, dermal</w:t>
            </w:r>
            <w:r>
              <w:t>)</w:t>
            </w:r>
          </w:p>
          <w:p w14:paraId="5385C193" w14:textId="324A411B" w:rsidR="00034528" w:rsidRDefault="00034528" w:rsidP="00C75017">
            <w:pPr>
              <w:pStyle w:val="Tabletextprimarysource"/>
              <w:numPr>
                <w:ilvl w:val="0"/>
                <w:numId w:val="1"/>
              </w:numPr>
              <w:ind w:left="723"/>
            </w:pPr>
            <w:r>
              <w:t>Positive dermal sensitisation reported in guinea pigs (no further details provided)</w:t>
            </w:r>
          </w:p>
          <w:p w14:paraId="47D9519D" w14:textId="653D8BAF" w:rsidR="00D75181" w:rsidRDefault="00A72B8E" w:rsidP="00C75017">
            <w:pPr>
              <w:pStyle w:val="Tabletextprimarysource"/>
              <w:numPr>
                <w:ilvl w:val="0"/>
                <w:numId w:val="1"/>
              </w:numPr>
              <w:ind w:left="723"/>
            </w:pPr>
            <w:r>
              <w:t>URT</w:t>
            </w:r>
            <w:r w:rsidR="005C24F2">
              <w:t xml:space="preserve"> and eye irritation</w:t>
            </w:r>
            <w:r w:rsidR="00B21529">
              <w:t>, but no mortality</w:t>
            </w:r>
            <w:r w:rsidR="005C24F2">
              <w:t xml:space="preserve"> at </w:t>
            </w:r>
            <w:r w:rsidR="00D75181">
              <w:t>640 mg/</w:t>
            </w:r>
            <w:r w:rsidR="00B21529">
              <w:t>m</w:t>
            </w:r>
            <w:r w:rsidR="00B21529">
              <w:rPr>
                <w:vertAlign w:val="superscript"/>
              </w:rPr>
              <w:t>3</w:t>
            </w:r>
            <w:r w:rsidR="00D75181">
              <w:t xml:space="preserve"> (rats, 1 h)</w:t>
            </w:r>
          </w:p>
          <w:p w14:paraId="52F763F2" w14:textId="579E2B9D" w:rsidR="00D75181" w:rsidRDefault="00D75181" w:rsidP="00C75017">
            <w:pPr>
              <w:pStyle w:val="Tabletextprimarysource"/>
              <w:numPr>
                <w:ilvl w:val="0"/>
                <w:numId w:val="1"/>
              </w:numPr>
              <w:ind w:left="723"/>
            </w:pPr>
            <w:r>
              <w:t>Mean maximum methaemoglobinemia of 39.6% at 27 mg/kg IV injection (cats)</w:t>
            </w:r>
          </w:p>
          <w:p w14:paraId="69FC1A2C" w14:textId="51ADA289" w:rsidR="00D75181" w:rsidRDefault="006250AA" w:rsidP="00C75017">
            <w:pPr>
              <w:pStyle w:val="Tabletextprimarysource"/>
              <w:numPr>
                <w:ilvl w:val="0"/>
                <w:numId w:val="1"/>
              </w:numPr>
              <w:ind w:left="723"/>
            </w:pPr>
            <w:r>
              <w:t>No clinical signs of poisoning or gross lesions on autopsy in subchronic feeding study with dose groups 13.8, 66.8</w:t>
            </w:r>
            <w:r w:rsidR="009A5076">
              <w:t xml:space="preserve"> and</w:t>
            </w:r>
            <w:r>
              <w:t xml:space="preserve"> 125.7 mg/kg/d (rats, 4 wk, no further experimental details)</w:t>
            </w:r>
            <w:r w:rsidR="00335D02">
              <w:t>:</w:t>
            </w:r>
          </w:p>
          <w:p w14:paraId="11FE1DA4" w14:textId="064E64BD" w:rsidR="006250AA" w:rsidRDefault="006250AA" w:rsidP="00C75017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 xml:space="preserve">reduced </w:t>
            </w:r>
            <w:r w:rsidR="00AC6536">
              <w:t>body weight</w:t>
            </w:r>
            <w:r>
              <w:t xml:space="preserve"> and increased liver weight at 66.8 and 125.7 mg/kg/d</w:t>
            </w:r>
          </w:p>
          <w:p w14:paraId="18339BA7" w14:textId="0D414A73" w:rsidR="00AC6536" w:rsidRDefault="006250AA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Equivocal results reported in chronic carcinogenicity studies with varying administration routes</w:t>
            </w:r>
            <w:r w:rsidR="00335D02">
              <w:t>:</w:t>
            </w:r>
          </w:p>
          <w:p w14:paraId="677950B7" w14:textId="20F7F82D" w:rsidR="006250AA" w:rsidRDefault="006250AA" w:rsidP="00C75017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>negative results and no signs of toxicity at 1,000 and 2,000 ppm of diet in feeding study (rats, 18 mo)</w:t>
            </w:r>
          </w:p>
          <w:p w14:paraId="78285290" w14:textId="330629F6" w:rsidR="006250AA" w:rsidRDefault="006250AA" w:rsidP="00C75017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>significant increases in hepatic tumours in</w:t>
            </w:r>
            <w:r w:rsidR="009A4683">
              <w:t xml:space="preserve"> feeding study with</w:t>
            </w:r>
            <w:r>
              <w:t xml:space="preserve"> dose groups </w:t>
            </w:r>
            <w:r w:rsidR="009A4683">
              <w:t>1,000 </w:t>
            </w:r>
            <w:r>
              <w:t>ppm (6 mo) then 500 ppm (12 mo)</w:t>
            </w:r>
            <w:r w:rsidR="009A5076">
              <w:t xml:space="preserve"> and</w:t>
            </w:r>
            <w:r>
              <w:t xml:space="preserve"> 2,000 ppm (6 mo) then 1,000 (12</w:t>
            </w:r>
            <w:r w:rsidR="00801D19">
              <w:t> </w:t>
            </w:r>
            <w:r>
              <w:t>mo) in males, significant increase in females only observed in high dose groups (mice, 18 mo, observed for 21 mo)</w:t>
            </w:r>
          </w:p>
          <w:p w14:paraId="59B0A991" w14:textId="0A9AAA95" w:rsidR="009A4683" w:rsidRDefault="009A4683" w:rsidP="00C75017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>no increase in skin tumours in dermal application study (mice, 12 wk)</w:t>
            </w:r>
          </w:p>
          <w:p w14:paraId="6A8EDDE8" w14:textId="599FC1C0" w:rsidR="009A4683" w:rsidRDefault="009A4683" w:rsidP="00C75017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 xml:space="preserve">slight increase in malignant tumours at injection site and benign liver tumours, reduced </w:t>
            </w:r>
            <w:r w:rsidR="00AC6536">
              <w:t>body weight</w:t>
            </w:r>
            <w:r>
              <w:t xml:space="preserve"> gain</w:t>
            </w:r>
            <w:r w:rsidR="009A5076">
              <w:t xml:space="preserve"> and</w:t>
            </w:r>
            <w:r>
              <w:t xml:space="preserve"> hepatic necrosis, but unchanged survival compared to controls in lifetime subcutaneous injection study with dose groups 0, 25, 75 mg/kg (1 d/wk, 2 yr)</w:t>
            </w:r>
          </w:p>
          <w:p w14:paraId="7F527125" w14:textId="52439A45" w:rsidR="00110922" w:rsidRDefault="00110922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Non-mutagenic in several </w:t>
            </w:r>
            <w:r>
              <w:rPr>
                <w:i/>
              </w:rPr>
              <w:t xml:space="preserve">in vitro </w:t>
            </w:r>
            <w:r>
              <w:t>assays with bacteria in the presence or absence of metabolic activation; increased single strand DNA breaks at 35 mg/kg IP injection (mice), inhibition of testicular DNA synthesis at 200 mg/kg gavage dose (mice)</w:t>
            </w:r>
            <w:r w:rsidR="00D00317">
              <w:t>.</w:t>
            </w:r>
          </w:p>
          <w:p w14:paraId="2B66C815" w14:textId="77777777" w:rsidR="005C24F2" w:rsidRDefault="005C24F2" w:rsidP="003365A5">
            <w:pPr>
              <w:pStyle w:val="Tabletextprimarysource"/>
            </w:pPr>
            <w:r>
              <w:lastRenderedPageBreak/>
              <w:t>Insufficient data to recommend a TLV-STEL or sensitiser notation.</w:t>
            </w:r>
          </w:p>
          <w:p w14:paraId="6657F032" w14:textId="663C1E64" w:rsidR="00FE60D9" w:rsidRPr="00DA352E" w:rsidRDefault="00FE60D9" w:rsidP="003365A5">
            <w:pPr>
              <w:pStyle w:val="Tabletextprimarysource"/>
            </w:pPr>
          </w:p>
        </w:tc>
      </w:tr>
      <w:tr w:rsidR="00C978F0" w:rsidRPr="00DA352E" w14:paraId="73F805D5" w14:textId="77777777" w:rsidTr="001018A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ED8F33B" w14:textId="0974264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34528" w:rsidRPr="00F64FEC">
                  <w:t>1990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30CBD">
                  <w:t>Not assigned</w:t>
                </w:r>
              </w:sdtContent>
            </w:sdt>
          </w:p>
        </w:tc>
      </w:tr>
      <w:tr w:rsidR="00C978F0" w:rsidRPr="00DA352E" w14:paraId="07D50820" w14:textId="77777777" w:rsidTr="001018AD">
        <w:trPr>
          <w:gridAfter w:val="1"/>
          <w:wAfter w:w="8" w:type="pct"/>
        </w:trPr>
        <w:tc>
          <w:tcPr>
            <w:tcW w:w="4992" w:type="pct"/>
          </w:tcPr>
          <w:p w14:paraId="0EE70AA5" w14:textId="1CD1C7BD" w:rsidR="00AC6536" w:rsidRDefault="00034528" w:rsidP="003365A5">
            <w:pPr>
              <w:pStyle w:val="Tabletextprimarysource"/>
            </w:pPr>
            <w:r>
              <w:t>Summary of additional information</w:t>
            </w:r>
            <w:r w:rsidR="00335D02">
              <w:t>:</w:t>
            </w:r>
          </w:p>
          <w:p w14:paraId="3C1C0E1D" w14:textId="36E86CB6" w:rsidR="00034528" w:rsidRDefault="00034528" w:rsidP="003365A5">
            <w:pPr>
              <w:pStyle w:val="Tabletextprimarysource"/>
            </w:pPr>
            <w:r>
              <w:t xml:space="preserve">MAK not established due to likely formation of mutagenic metabolites; mutagenic mechanism of carcinogenicity however not </w:t>
            </w:r>
            <w:r w:rsidR="00214EDE">
              <w:t xml:space="preserve">confirmed </w:t>
            </w:r>
            <w:r>
              <w:t xml:space="preserve">by conflicting evidence for mutagenicity and carcinogenicity in available animal data. Therefore, classified as 3B carcinogen. Despite toxicological similarities between </w:t>
            </w:r>
            <w:r>
              <w:rPr>
                <w:i/>
              </w:rPr>
              <w:t>p</w:t>
            </w:r>
            <w:r>
              <w:t xml:space="preserve">- and </w:t>
            </w:r>
            <w:r>
              <w:rPr>
                <w:i/>
              </w:rPr>
              <w:t>o</w:t>
            </w:r>
            <w:r>
              <w:t xml:space="preserve">-toluidine, available data for </w:t>
            </w:r>
            <w:r>
              <w:rPr>
                <w:i/>
              </w:rPr>
              <w:t>p</w:t>
            </w:r>
            <w:r>
              <w:t>-toluidine inadequate for assessment. Skin notation recommended based on systemic toxicity following dermal absorption in rabbits. Dermal sensitiser notation recommended based on positive result in sensitisation study with guinea pigs.</w:t>
            </w:r>
          </w:p>
          <w:p w14:paraId="50901F87" w14:textId="0D9F4DCC" w:rsidR="00AC6536" w:rsidRDefault="00034528" w:rsidP="003365A5">
            <w:pPr>
              <w:pStyle w:val="Tabletextprimarysource"/>
            </w:pPr>
            <w:r>
              <w:t>Human data</w:t>
            </w:r>
            <w:r w:rsidR="00335D02">
              <w:t>:</w:t>
            </w:r>
          </w:p>
          <w:p w14:paraId="243D4AAE" w14:textId="3E2ABD0D" w:rsidR="00034528" w:rsidRPr="00F64FEC" w:rsidRDefault="00B21529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rPr>
                <w:rFonts w:cs="Arial"/>
                <w:color w:val="1C1D1E"/>
                <w:shd w:val="clear" w:color="auto" w:fill="FFFFFF"/>
              </w:rPr>
              <w:t>Absorbed through skin and mucous membranes and causes local irritation (no further details provided)</w:t>
            </w:r>
          </w:p>
          <w:p w14:paraId="141DCBDE" w14:textId="6A95728E" w:rsidR="00B21529" w:rsidRDefault="00B21529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Bladder papilloma detected in 2 workers in workplace study (n=81), 1 worker (age 23) exposed to only </w:t>
            </w:r>
            <w:r>
              <w:rPr>
                <w:i/>
              </w:rPr>
              <w:t>p</w:t>
            </w:r>
            <w:r>
              <w:t xml:space="preserve">-toluidine the other (age 49) to mixtures of </w:t>
            </w:r>
            <w:r>
              <w:rPr>
                <w:i/>
              </w:rPr>
              <w:t>o</w:t>
            </w:r>
            <w:r>
              <w:t xml:space="preserve">- and </w:t>
            </w:r>
            <w:r>
              <w:rPr>
                <w:i/>
              </w:rPr>
              <w:t>p</w:t>
            </w:r>
            <w:r>
              <w:t>-toluidine; air concentration of the mixture was 28.6 mg/m</w:t>
            </w:r>
            <w:r>
              <w:rPr>
                <w:vertAlign w:val="superscript"/>
              </w:rPr>
              <w:t>3</w:t>
            </w:r>
            <w:r w:rsidR="00407F39">
              <w:t>:</w:t>
            </w:r>
          </w:p>
          <w:p w14:paraId="01E97D10" w14:textId="7FAE8054" w:rsidR="00B21529" w:rsidRDefault="00B21529" w:rsidP="00C75017">
            <w:pPr>
              <w:pStyle w:val="Tabletextprimarysource"/>
              <w:numPr>
                <w:ilvl w:val="1"/>
                <w:numId w:val="1"/>
              </w:numPr>
              <w:ind w:left="1080"/>
            </w:pPr>
            <w:r>
              <w:t>6 cases of bladder tumours in 16 former employees exposed for 12–17 yr</w:t>
            </w:r>
          </w:p>
          <w:p w14:paraId="174C7192" w14:textId="1C288C68" w:rsidR="00B73E4B" w:rsidRDefault="00227E63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Positive sensitisation in patch test with patients (37/58) with existing sensitivity to </w:t>
            </w:r>
            <w:r>
              <w:rPr>
                <w:i/>
              </w:rPr>
              <w:t>p</w:t>
            </w:r>
            <w:r w:rsidRPr="00F64FEC">
              <w:noBreakHyphen/>
            </w:r>
            <w:r>
              <w:t>phenylenediamine</w:t>
            </w:r>
            <w:r w:rsidR="00E80AC4">
              <w:t xml:space="preserve">, DFG </w:t>
            </w:r>
            <w:r>
              <w:t xml:space="preserve">notes no </w:t>
            </w:r>
            <w:r w:rsidR="00B73E4B">
              <w:t>information of clinical relevance of these findings</w:t>
            </w:r>
            <w:r w:rsidR="00801D19">
              <w:t>.</w:t>
            </w:r>
          </w:p>
          <w:p w14:paraId="441651BD" w14:textId="401C8308" w:rsidR="00AC6536" w:rsidRDefault="00034528" w:rsidP="003365A5">
            <w:pPr>
              <w:pStyle w:val="Tabletextprimarysource"/>
            </w:pPr>
            <w:r>
              <w:t>Animal data</w:t>
            </w:r>
            <w:r w:rsidR="00407F39">
              <w:t>:</w:t>
            </w:r>
          </w:p>
          <w:p w14:paraId="50B62F07" w14:textId="77777777" w:rsidR="00034528" w:rsidRDefault="00227E63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Moderately to highly irritating to rabbit skin and eyes (no further details provided)</w:t>
            </w:r>
          </w:p>
          <w:p w14:paraId="3D2ABA21" w14:textId="294ADC49" w:rsidR="00227E63" w:rsidRDefault="00227E63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Positive sensitisation (mild erythema) when challenged with </w:t>
            </w:r>
            <w:r w:rsidR="00E80AC4">
              <w:t xml:space="preserve">0, </w:t>
            </w:r>
            <w:r>
              <w:t>0.5, 1</w:t>
            </w:r>
            <w:r w:rsidR="009A5076">
              <w:t xml:space="preserve"> and</w:t>
            </w:r>
            <w:r>
              <w:t xml:space="preserve"> 2% solutions following induction with 2% solution as occlusive patch for 4 d</w:t>
            </w:r>
            <w:r w:rsidR="00E80AC4">
              <w:t xml:space="preserve">. No </w:t>
            </w:r>
            <w:r>
              <w:t>sensitisation when challenged with 0.25% solution</w:t>
            </w:r>
          </w:p>
          <w:p w14:paraId="4F2456A3" w14:textId="77777777" w:rsidR="00B73E4B" w:rsidRDefault="00B73E4B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Positive sensitisation when challenged with</w:t>
            </w:r>
            <w:r w:rsidR="00E80AC4">
              <w:t xml:space="preserve"> 0,</w:t>
            </w:r>
            <w:r>
              <w:t xml:space="preserve"> 0.1, 0.5, 1</w:t>
            </w:r>
            <w:r w:rsidR="009A5076">
              <w:t xml:space="preserve"> and</w:t>
            </w:r>
            <w:r>
              <w:t xml:space="preserve"> 2% solutions following induction with 0.5 g of 2% solution 2 </w:t>
            </w:r>
            <w:proofErr w:type="spellStart"/>
            <w:r>
              <w:t>wk</w:t>
            </w:r>
            <w:proofErr w:type="spellEnd"/>
            <w:r>
              <w:t xml:space="preserve"> prior</w:t>
            </w:r>
            <w:r w:rsidR="00801D19">
              <w:t>.</w:t>
            </w:r>
          </w:p>
          <w:p w14:paraId="0D04AFB2" w14:textId="37F1B7C8" w:rsidR="00407F39" w:rsidRPr="00F64FEC" w:rsidRDefault="00407F39" w:rsidP="00407F39">
            <w:pPr>
              <w:pStyle w:val="Tabletextprimarysource"/>
              <w:ind w:left="717"/>
            </w:pPr>
          </w:p>
        </w:tc>
      </w:tr>
      <w:tr w:rsidR="00C978F0" w:rsidRPr="00DA352E" w14:paraId="6C68D986" w14:textId="77777777" w:rsidTr="001018A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2A5598B" w14:textId="13D6719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37168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7182F" w:rsidRPr="0087182F">
                  <w:t>TWA:</w:t>
                </w:r>
                <w:r w:rsidR="0087182F">
                  <w:t xml:space="preserve"> 1 ppm; STEL: 2 ppm</w:t>
                </w:r>
              </w:sdtContent>
            </w:sdt>
          </w:p>
        </w:tc>
      </w:tr>
      <w:tr w:rsidR="00C978F0" w:rsidRPr="00DA352E" w14:paraId="496DDA68" w14:textId="77777777" w:rsidTr="001018AD">
        <w:trPr>
          <w:gridAfter w:val="1"/>
          <w:wAfter w:w="8" w:type="pct"/>
        </w:trPr>
        <w:tc>
          <w:tcPr>
            <w:tcW w:w="4992" w:type="pct"/>
          </w:tcPr>
          <w:p w14:paraId="274A9561" w14:textId="20DB9F40" w:rsidR="00AC6536" w:rsidRDefault="0099459C" w:rsidP="003365A5">
            <w:pPr>
              <w:pStyle w:val="Tabletextprimarysource"/>
            </w:pPr>
            <w:r>
              <w:t>Summary of additional information</w:t>
            </w:r>
            <w:r w:rsidR="00407F39">
              <w:t>:</w:t>
            </w:r>
          </w:p>
          <w:p w14:paraId="1701C4A1" w14:textId="5D411448" w:rsidR="00C978F0" w:rsidRPr="00F64FEC" w:rsidRDefault="00BE6CD1" w:rsidP="003365A5">
            <w:pPr>
              <w:pStyle w:val="Tabletextprimarysource"/>
            </w:pPr>
            <w:r>
              <w:t xml:space="preserve">MetHb </w:t>
            </w:r>
            <w:r w:rsidR="0099459C">
              <w:t>formation critical effect in animals and humans</w:t>
            </w:r>
            <w:r w:rsidR="00407F39">
              <w:t>.</w:t>
            </w:r>
            <w:r w:rsidR="0099459C">
              <w:t xml:space="preserve"> </w:t>
            </w:r>
            <w:r w:rsidR="00407F39">
              <w:t>Q</w:t>
            </w:r>
            <w:r w:rsidR="0099459C">
              <w:t>uantitative inhalational data not available.</w:t>
            </w:r>
            <w:r w:rsidR="0095541F">
              <w:t xml:space="preserve"> Despite confirmed carcinogenic potential of </w:t>
            </w:r>
            <w:r w:rsidR="0095541F">
              <w:rPr>
                <w:i/>
              </w:rPr>
              <w:t>o</w:t>
            </w:r>
            <w:r w:rsidR="0095541F">
              <w:t>-toluidine, inadequate evidence available</w:t>
            </w:r>
            <w:r w:rsidR="00407F39">
              <w:t xml:space="preserve"> to classify </w:t>
            </w:r>
            <w:r w:rsidR="00407F39">
              <w:rPr>
                <w:i/>
              </w:rPr>
              <w:t>p</w:t>
            </w:r>
            <w:r w:rsidR="00407F39">
              <w:t>-toluidine</w:t>
            </w:r>
            <w:r w:rsidR="0095541F">
              <w:t xml:space="preserve"> as limited human epidemiological studies and equivocal animal carcinogenicity studies. Recommended OEL provisionally protects for </w:t>
            </w:r>
            <w:r w:rsidR="00870A77">
              <w:t>methaemoglobinaemia</w:t>
            </w:r>
            <w:r w:rsidR="0095541F">
              <w:t xml:space="preserve"> in the absence of conclusive evidence for a carcinogenic </w:t>
            </w:r>
            <w:r w:rsidR="00E80AC4">
              <w:t xml:space="preserve">effect. </w:t>
            </w:r>
            <w:r w:rsidR="00870A77">
              <w:t>SCOEL</w:t>
            </w:r>
            <w:r w:rsidR="00307775">
              <w:t xml:space="preserve"> notes that further assessment is required</w:t>
            </w:r>
            <w:r w:rsidR="0095541F">
              <w:t xml:space="preserve">. Based on </w:t>
            </w:r>
            <w:r w:rsidR="00870A77">
              <w:t xml:space="preserve">a </w:t>
            </w:r>
            <w:r w:rsidR="0095541F">
              <w:t xml:space="preserve">2-fold lower potential than aniline for </w:t>
            </w:r>
            <w:proofErr w:type="spellStart"/>
            <w:r w:rsidR="00870A77">
              <w:t>MetHb</w:t>
            </w:r>
            <w:proofErr w:type="spellEnd"/>
            <w:r w:rsidR="00870A77" w:rsidDel="00870A77">
              <w:t xml:space="preserve"> </w:t>
            </w:r>
            <w:r w:rsidR="0095541F">
              <w:t>formation reported in cats</w:t>
            </w:r>
            <w:r w:rsidR="00870A77">
              <w:t xml:space="preserve">. </w:t>
            </w:r>
            <w:r w:rsidR="0095541F">
              <w:t>OEL provisionally based on aniline</w:t>
            </w:r>
            <w:r w:rsidR="000C1F5A">
              <w:t xml:space="preserve"> (TWA for aniline</w:t>
            </w:r>
            <w:r w:rsidR="00214EDE">
              <w:t xml:space="preserve"> of</w:t>
            </w:r>
            <w:r w:rsidR="000C1F5A">
              <w:t xml:space="preserve"> 0.5 ppm)</w:t>
            </w:r>
            <w:r w:rsidR="0095541F">
              <w:t xml:space="preserve">. Recommended TWA therefore 1 ppm. Appreciable increases in </w:t>
            </w:r>
            <w:proofErr w:type="spellStart"/>
            <w:r>
              <w:t>metHb</w:t>
            </w:r>
            <w:proofErr w:type="spellEnd"/>
            <w:r>
              <w:t xml:space="preserve"> </w:t>
            </w:r>
            <w:r w:rsidR="0095541F">
              <w:t>formation are not expected during 15-min excursions at twice this value, STEL of 2 p</w:t>
            </w:r>
            <w:r w:rsidR="00307775">
              <w:t xml:space="preserve">pm therefore recommended, which is </w:t>
            </w:r>
            <w:r w:rsidR="0095541F">
              <w:t>additionally expected to be protective of potential eye irritation</w:t>
            </w:r>
            <w:r w:rsidR="00307775">
              <w:t xml:space="preserve"> observed in rabbits; the basis for protection </w:t>
            </w:r>
            <w:r w:rsidR="005A40DE">
              <w:t>against irritation is not discussed.</w:t>
            </w:r>
          </w:p>
          <w:p w14:paraId="73517C48" w14:textId="47FB4F6D" w:rsidR="00AC6536" w:rsidRDefault="00312362" w:rsidP="00F64FEC">
            <w:pPr>
              <w:pStyle w:val="Tabletextprimarysource"/>
            </w:pPr>
            <w:r>
              <w:t>Human data</w:t>
            </w:r>
            <w:r w:rsidR="00435630">
              <w:t>:</w:t>
            </w:r>
          </w:p>
          <w:p w14:paraId="45CA129A" w14:textId="1F6E57FE" w:rsidR="00312362" w:rsidRDefault="00312362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Odour threshold</w:t>
            </w:r>
            <w:r w:rsidR="00214EDE">
              <w:t xml:space="preserve"> of</w:t>
            </w:r>
            <w:r>
              <w:t xml:space="preserve"> 0.33 ppm</w:t>
            </w:r>
          </w:p>
          <w:p w14:paraId="6FFF3699" w14:textId="06976EE7" w:rsidR="00307775" w:rsidRDefault="00307775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Cross-sensitivity observed in patients sensitised to phenylene diamine; agency considers this evidence insufficient to recommend a sensitiser notation</w:t>
            </w:r>
            <w:r w:rsidR="00801D19">
              <w:t>.</w:t>
            </w:r>
          </w:p>
          <w:p w14:paraId="1819D264" w14:textId="4D0F4D42" w:rsidR="00AC6536" w:rsidRDefault="000C1F5A" w:rsidP="000C1F5A">
            <w:pPr>
              <w:pStyle w:val="Tabletextprimarysource"/>
            </w:pPr>
            <w:r>
              <w:t xml:space="preserve">Human data for </w:t>
            </w:r>
            <w:r w:rsidRPr="00387F81">
              <w:rPr>
                <w:i/>
              </w:rPr>
              <w:t>aniline</w:t>
            </w:r>
            <w:r>
              <w:t xml:space="preserve"> (</w:t>
            </w:r>
            <w:r w:rsidR="00AC6536">
              <w:t>reported</w:t>
            </w:r>
            <w:r>
              <w:t xml:space="preserve"> in SCOEL, 2010)</w:t>
            </w:r>
            <w:r w:rsidR="00FE60D9">
              <w:t>:</w:t>
            </w:r>
          </w:p>
          <w:p w14:paraId="0AA5C2C2" w14:textId="5F13B8D6" w:rsidR="000C1F5A" w:rsidRDefault="000C1F5A" w:rsidP="000C1F5A">
            <w:pPr>
              <w:pStyle w:val="ListBullet"/>
              <w:ind w:left="731"/>
            </w:pPr>
            <w:r>
              <w:t xml:space="preserve">Blood </w:t>
            </w:r>
            <w:proofErr w:type="spellStart"/>
            <w:r w:rsidR="00870A77">
              <w:t>MetHb</w:t>
            </w:r>
            <w:proofErr w:type="spellEnd"/>
            <w:r w:rsidR="00870A77" w:rsidDel="00870A77">
              <w:t xml:space="preserve"> </w:t>
            </w:r>
            <w:r>
              <w:t xml:space="preserve">concentrations levels of </w:t>
            </w:r>
            <w:r>
              <w:rPr>
                <w:rFonts w:cs="Arial"/>
              </w:rPr>
              <w:t>≈</w:t>
            </w:r>
            <w:r>
              <w:t>5</w:t>
            </w:r>
            <w:r w:rsidRPr="00D36BB1">
              <w:t>% considered tolerable</w:t>
            </w:r>
            <w:r>
              <w:t xml:space="preserve"> by analogy to c</w:t>
            </w:r>
            <w:r w:rsidRPr="00852C3B">
              <w:t>arboxyh</w:t>
            </w:r>
            <w:r>
              <w:t>a</w:t>
            </w:r>
            <w:r w:rsidRPr="00852C3B">
              <w:t>emoglobin</w:t>
            </w:r>
            <w:r>
              <w:t>, for which 4% is tolerable</w:t>
            </w:r>
          </w:p>
          <w:p w14:paraId="142D33D1" w14:textId="52B4BF1E" w:rsidR="000C1F5A" w:rsidRDefault="00870A77" w:rsidP="000C1F5A">
            <w:pPr>
              <w:pStyle w:val="ListBullet"/>
              <w:ind w:left="731"/>
            </w:pPr>
            <w:proofErr w:type="spellStart"/>
            <w:r>
              <w:t>MetHb</w:t>
            </w:r>
            <w:proofErr w:type="spellEnd"/>
            <w:r w:rsidDel="00870A77">
              <w:t xml:space="preserve"> </w:t>
            </w:r>
            <w:r w:rsidR="000C1F5A">
              <w:t xml:space="preserve">formation </w:t>
            </w:r>
            <w:r>
              <w:t xml:space="preserve">reported </w:t>
            </w:r>
            <w:r w:rsidR="000C1F5A">
              <w:t xml:space="preserve">in volunteer repeat oral dose study with aniline dose groups </w:t>
            </w:r>
            <w:r>
              <w:t xml:space="preserve">0, </w:t>
            </w:r>
            <w:r w:rsidR="000C1F5A">
              <w:t>5, 15, 25, 35, 45, 55</w:t>
            </w:r>
            <w:r w:rsidR="009A5076">
              <w:t xml:space="preserve"> and</w:t>
            </w:r>
            <w:r w:rsidR="000C1F5A">
              <w:t xml:space="preserve"> 65 mg/d (n=5/group, 3 d)</w:t>
            </w:r>
            <w:r w:rsidR="00FE60D9">
              <w:t>:</w:t>
            </w:r>
          </w:p>
          <w:p w14:paraId="25299A44" w14:textId="7B14B690" w:rsidR="000C1F5A" w:rsidRDefault="000C1F5A" w:rsidP="000C1F5A">
            <w:pPr>
              <w:pStyle w:val="ListBullet"/>
              <w:numPr>
                <w:ilvl w:val="0"/>
                <w:numId w:val="5"/>
              </w:numPr>
              <w:ind w:left="1080"/>
            </w:pPr>
            <w:r>
              <w:lastRenderedPageBreak/>
              <w:t xml:space="preserve">increase in </w:t>
            </w:r>
            <w:proofErr w:type="spellStart"/>
            <w:r w:rsidR="00870A77">
              <w:t>MetHb</w:t>
            </w:r>
            <w:proofErr w:type="spellEnd"/>
            <w:r w:rsidR="00870A77" w:rsidDel="00870A77">
              <w:t xml:space="preserve"> </w:t>
            </w:r>
            <w:r>
              <w:t>formation non-significant up to 15 mg (1.2–1.8%)</w:t>
            </w:r>
          </w:p>
          <w:p w14:paraId="480FE52A" w14:textId="71EAA663" w:rsidR="000C1F5A" w:rsidRDefault="000C1F5A" w:rsidP="000C1F5A">
            <w:pPr>
              <w:pStyle w:val="ListBullet"/>
              <w:numPr>
                <w:ilvl w:val="0"/>
                <w:numId w:val="5"/>
              </w:numPr>
              <w:ind w:left="1080"/>
            </w:pPr>
            <w:r>
              <w:t>doses of 35, 45, 55</w:t>
            </w:r>
            <w:r w:rsidR="009A5076">
              <w:t xml:space="preserve"> and</w:t>
            </w:r>
            <w:r>
              <w:t xml:space="preserve"> 65 mg aniline caused methaemoglobin levels of 3.7, 7.1, 5.2%</w:t>
            </w:r>
            <w:r w:rsidR="009A5076">
              <w:t xml:space="preserve"> and</w:t>
            </w:r>
            <w:r>
              <w:t xml:space="preserve"> 16%, respectively</w:t>
            </w:r>
          </w:p>
          <w:p w14:paraId="7A8651E1" w14:textId="51BEF2E3" w:rsidR="000C1F5A" w:rsidRDefault="000C1F5A" w:rsidP="00170B12">
            <w:pPr>
              <w:pStyle w:val="ListBullet"/>
              <w:numPr>
                <w:ilvl w:val="0"/>
                <w:numId w:val="5"/>
              </w:numPr>
              <w:ind w:left="1080"/>
            </w:pPr>
            <w:r>
              <w:t xml:space="preserve">daily dose of 35 mg aniline, corresponding to 3.7% increase in blood </w:t>
            </w:r>
            <w:proofErr w:type="spellStart"/>
            <w:r w:rsidR="00870A77">
              <w:t>MetHb</w:t>
            </w:r>
            <w:proofErr w:type="spellEnd"/>
            <w:r w:rsidR="00870A77" w:rsidDel="00870A77">
              <w:t xml:space="preserve"> </w:t>
            </w:r>
            <w:r>
              <w:t xml:space="preserve">concentrations, used as basis for TWA of aniline (0.5 ppm </w:t>
            </w:r>
            <w:r>
              <w:rPr>
                <w:rFonts w:cs="Arial"/>
              </w:rPr>
              <w:t>≡1.94 mg/m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</w:t>
            </w:r>
            <w:r w:rsidR="00FE60D9">
              <w:rPr>
                <w:rFonts w:cs="Arial"/>
              </w:rPr>
              <w:t>.</w:t>
            </w:r>
          </w:p>
          <w:p w14:paraId="31A90019" w14:textId="2578D02C" w:rsidR="00AC6536" w:rsidRDefault="0099459C" w:rsidP="003365A5">
            <w:pPr>
              <w:pStyle w:val="Tabletextprimarysource"/>
            </w:pPr>
            <w:r>
              <w:t>Animal data</w:t>
            </w:r>
            <w:r w:rsidR="00FE60D9">
              <w:t>:</w:t>
            </w:r>
          </w:p>
          <w:p w14:paraId="357BB11A" w14:textId="209ED6A3" w:rsidR="0099459C" w:rsidRDefault="00BE6CD1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MetHb </w:t>
            </w:r>
            <w:r w:rsidR="0099459C">
              <w:t xml:space="preserve">levels of 4.2–6.6% after 3 mo, marginally higher after 6 mo at 40 mg/kg/d in chronic feeding study (rats, 6 </w:t>
            </w:r>
            <w:proofErr w:type="spellStart"/>
            <w:r w:rsidR="0099459C">
              <w:t>mo</w:t>
            </w:r>
            <w:proofErr w:type="spellEnd"/>
            <w:r w:rsidR="00870A77">
              <w:t xml:space="preserve">). SCOEL </w:t>
            </w:r>
            <w:r w:rsidR="0099459C">
              <w:t>regards this dose as the LOAEL</w:t>
            </w:r>
          </w:p>
          <w:p w14:paraId="1D4ECAC6" w14:textId="265CB7D5" w:rsidR="0099459C" w:rsidRDefault="0099459C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Substance half as potent in producing methaemoglobin</w:t>
            </w:r>
            <w:r w:rsidR="00870A77">
              <w:t>a</w:t>
            </w:r>
            <w:r>
              <w:t xml:space="preserve">emia as aniline </w:t>
            </w:r>
            <w:r w:rsidR="00307775">
              <w:t xml:space="preserve">based on </w:t>
            </w:r>
            <w:r>
              <w:t>IV dose study (cats); cats are highly susceptible</w:t>
            </w:r>
          </w:p>
          <w:p w14:paraId="6230E086" w14:textId="1CC28455" w:rsidR="00307775" w:rsidRDefault="00BE6CD1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MetHb </w:t>
            </w:r>
            <w:r w:rsidR="00307775">
              <w:t>concentrations up to 40% following dermal application for 2–6 h (rats)</w:t>
            </w:r>
          </w:p>
          <w:p w14:paraId="22384AEF" w14:textId="2CE6AC1F" w:rsidR="0099459C" w:rsidRDefault="0099459C" w:rsidP="00C75017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and mammalian cells; database for </w:t>
            </w:r>
            <w:r>
              <w:rPr>
                <w:i/>
              </w:rPr>
              <w:t xml:space="preserve">in vivo </w:t>
            </w:r>
            <w:r>
              <w:t xml:space="preserve">mutagenicity is limited, but positive result in </w:t>
            </w:r>
            <w:r>
              <w:rPr>
                <w:i/>
              </w:rPr>
              <w:t>Drosophila</w:t>
            </w:r>
            <w:r>
              <w:t xml:space="preserve"> assay and potential formation of genotoxic metabolites indicate mutagenic potential </w:t>
            </w:r>
            <w:r>
              <w:rPr>
                <w:i/>
              </w:rPr>
              <w:t>in vivo</w:t>
            </w:r>
            <w:r w:rsidR="00801D19">
              <w:rPr>
                <w:iCs/>
              </w:rPr>
              <w:t>.</w:t>
            </w:r>
          </w:p>
          <w:p w14:paraId="093F8E20" w14:textId="77777777" w:rsidR="0099459C" w:rsidRDefault="0095541F" w:rsidP="00F64FEC">
            <w:pPr>
              <w:pStyle w:val="Tabletextprimarysource"/>
            </w:pPr>
            <w:r>
              <w:t>Insufficient data to recommend notations for carcinogenicity or sensitisation.</w:t>
            </w:r>
          </w:p>
          <w:p w14:paraId="0D6DD415" w14:textId="089CFA6B" w:rsidR="00FE60D9" w:rsidRPr="00DA352E" w:rsidRDefault="00FE60D9" w:rsidP="00F64FEC">
            <w:pPr>
              <w:pStyle w:val="Tabletextprimarysource"/>
            </w:pPr>
          </w:p>
        </w:tc>
      </w:tr>
      <w:tr w:rsidR="00DA352E" w:rsidRPr="00DA352E" w14:paraId="15923203" w14:textId="77777777" w:rsidTr="001018A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660AB24" w14:textId="3DBA184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B443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AB443C">
                  <w:t>NA</w:t>
                </w:r>
              </w:sdtContent>
            </w:sdt>
          </w:p>
        </w:tc>
      </w:tr>
      <w:tr w:rsidR="00DA352E" w:rsidRPr="00DA352E" w14:paraId="113D6576" w14:textId="77777777" w:rsidTr="001018AD">
        <w:trPr>
          <w:gridAfter w:val="1"/>
          <w:wAfter w:w="8" w:type="pct"/>
        </w:trPr>
        <w:tc>
          <w:tcPr>
            <w:tcW w:w="4992" w:type="pct"/>
          </w:tcPr>
          <w:p w14:paraId="24955DD4" w14:textId="090D130C" w:rsidR="00DA352E" w:rsidRPr="00DA352E" w:rsidRDefault="00AB443C" w:rsidP="003365A5">
            <w:pPr>
              <w:pStyle w:val="Tabletextprimarysource"/>
            </w:pPr>
            <w:r>
              <w:t>No report</w:t>
            </w:r>
            <w:r w:rsidR="00EF160C">
              <w:t>.</w:t>
            </w:r>
          </w:p>
        </w:tc>
      </w:tr>
      <w:tr w:rsidR="00DA352E" w:rsidRPr="00DA352E" w14:paraId="2F4F8A53" w14:textId="77777777" w:rsidTr="001018A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B6A125E" w14:textId="1E091B6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7089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7089A">
                  <w:t>NA</w:t>
                </w:r>
              </w:sdtContent>
            </w:sdt>
          </w:p>
        </w:tc>
      </w:tr>
      <w:tr w:rsidR="00DA352E" w:rsidRPr="00DA352E" w14:paraId="0507298F" w14:textId="77777777" w:rsidTr="001018AD">
        <w:trPr>
          <w:gridAfter w:val="1"/>
          <w:wAfter w:w="8" w:type="pct"/>
        </w:trPr>
        <w:tc>
          <w:tcPr>
            <w:tcW w:w="4992" w:type="pct"/>
          </w:tcPr>
          <w:p w14:paraId="197A5477" w14:textId="55A060D7" w:rsidR="00DA352E" w:rsidRPr="00DA352E" w:rsidRDefault="0027089A" w:rsidP="003365A5">
            <w:pPr>
              <w:pStyle w:val="Tabletextprimarysource"/>
            </w:pPr>
            <w:r>
              <w:t>No report</w:t>
            </w:r>
            <w:r w:rsidR="00EF160C">
              <w:t>.</w:t>
            </w:r>
          </w:p>
        </w:tc>
      </w:tr>
    </w:tbl>
    <w:p w14:paraId="7ED1FBA2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2"/>
        <w:gridCol w:w="661"/>
        <w:gridCol w:w="6453"/>
      </w:tblGrid>
      <w:tr w:rsidR="004966BF" w:rsidRPr="00263255" w14:paraId="5AACF1DE" w14:textId="77777777" w:rsidTr="0010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58AF67E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C31815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23C264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0895175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54C49D1" w14:textId="77777777" w:rsidTr="001018AD">
        <w:trPr>
          <w:cantSplit/>
        </w:trPr>
        <w:tc>
          <w:tcPr>
            <w:tcW w:w="1490" w:type="dxa"/>
          </w:tcPr>
          <w:p w14:paraId="56DC7CFF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63B4283D" w14:textId="2DE143F9" w:rsidR="004966BF" w:rsidRPr="00CE617F" w:rsidRDefault="001018A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F751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17891B1" w14:textId="58A29FEC" w:rsidR="004966BF" w:rsidRPr="004C23F4" w:rsidRDefault="003F7C5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3" w:type="dxa"/>
          </w:tcPr>
          <w:p w14:paraId="7DA20B3C" w14:textId="6F0640E0" w:rsidR="00E94C7D" w:rsidRPr="00BE6CD1" w:rsidRDefault="00E94C7D" w:rsidP="00C75017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Fonts w:cs="Arial"/>
              </w:rPr>
            </w:pPr>
            <w:r w:rsidRPr="00BE6CD1">
              <w:rPr>
                <w:rFonts w:cs="Arial"/>
              </w:rPr>
              <w:t xml:space="preserve">Grouped assessment with corresponding </w:t>
            </w:r>
            <w:r w:rsidR="00BE6CD1">
              <w:rPr>
                <w:rFonts w:cs="Arial"/>
              </w:rPr>
              <w:t>HCl</w:t>
            </w:r>
            <w:r w:rsidR="00BE6CD1" w:rsidRPr="00BE6CD1">
              <w:rPr>
                <w:rFonts w:cs="Arial"/>
              </w:rPr>
              <w:t xml:space="preserve"> </w:t>
            </w:r>
            <w:r w:rsidRPr="00BE6CD1">
              <w:rPr>
                <w:rFonts w:cs="Arial"/>
              </w:rPr>
              <w:t>and sulfate salts</w:t>
            </w:r>
          </w:p>
          <w:p w14:paraId="169C42E8" w14:textId="21169ABB" w:rsidR="008F7514" w:rsidRPr="00BE6CD1" w:rsidRDefault="00A03A80" w:rsidP="00C75017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8F7514" w:rsidRPr="00BE6CD1">
              <w:rPr>
                <w:rFonts w:cs="Arial"/>
              </w:rPr>
              <w:t xml:space="preserve">uman data indicates inhalation causes </w:t>
            </w:r>
            <w:proofErr w:type="spellStart"/>
            <w:r w:rsidR="00870A77">
              <w:rPr>
                <w:rFonts w:cs="Arial"/>
              </w:rPr>
              <w:t>MetHb</w:t>
            </w:r>
            <w:proofErr w:type="spellEnd"/>
            <w:r w:rsidR="00BE6CD1" w:rsidRPr="00BE6CD1">
              <w:rPr>
                <w:rFonts w:cs="Arial"/>
              </w:rPr>
              <w:t xml:space="preserve"> </w:t>
            </w:r>
            <w:r w:rsidR="008F7514" w:rsidRPr="00BE6CD1">
              <w:rPr>
                <w:rFonts w:cs="Arial"/>
              </w:rPr>
              <w:t>formation</w:t>
            </w:r>
          </w:p>
          <w:p w14:paraId="67E1B192" w14:textId="77777777" w:rsidR="004966BF" w:rsidRPr="00BE6CD1" w:rsidRDefault="008F7514" w:rsidP="00C75017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Fonts w:cs="Arial"/>
              </w:rPr>
            </w:pPr>
            <w:r w:rsidRPr="00BE6CD1">
              <w:rPr>
                <w:rFonts w:cs="Arial"/>
              </w:rPr>
              <w:t xml:space="preserve">Stranguria (painful urination), </w:t>
            </w:r>
            <w:r w:rsidR="004E4AAE" w:rsidRPr="00BE6CD1">
              <w:rPr>
                <w:rFonts w:cs="Arial"/>
              </w:rPr>
              <w:t>haemoglo</w:t>
            </w:r>
            <w:r w:rsidRPr="00BE6CD1">
              <w:rPr>
                <w:rFonts w:cs="Arial"/>
              </w:rPr>
              <w:t xml:space="preserve">binuria, dizziness and headache caused at ≥5 ppm, </w:t>
            </w:r>
            <w:r w:rsidR="004E4AAE" w:rsidRPr="00BE6CD1">
              <w:rPr>
                <w:rFonts w:cs="Arial"/>
              </w:rPr>
              <w:t>but with less pronounced cyanosis compared with aniline</w:t>
            </w:r>
            <w:r w:rsidRPr="00BE6CD1">
              <w:rPr>
                <w:rFonts w:cs="Arial"/>
              </w:rPr>
              <w:t xml:space="preserve"> (no further details provided)</w:t>
            </w:r>
          </w:p>
          <w:p w14:paraId="5979EB7F" w14:textId="257ECBF3" w:rsidR="008F7514" w:rsidRPr="004C23F4" w:rsidRDefault="00A03A80" w:rsidP="00C75017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I</w:t>
            </w:r>
            <w:r w:rsidR="008F7514" w:rsidRPr="00BE6CD1">
              <w:rPr>
                <w:rFonts w:cs="Arial"/>
              </w:rPr>
              <w:t>nformation</w:t>
            </w:r>
            <w:r w:rsidR="00E94C7D" w:rsidRPr="00BE6CD1">
              <w:rPr>
                <w:rFonts w:cs="Arial"/>
              </w:rPr>
              <w:t xml:space="preserve"> on genotoxicity</w:t>
            </w:r>
            <w:r w:rsidR="008F7514" w:rsidRPr="00BE6CD1">
              <w:rPr>
                <w:rFonts w:cs="Arial"/>
              </w:rPr>
              <w:t xml:space="preserve"> insufficient </w:t>
            </w:r>
            <w:r w:rsidR="00E94C7D" w:rsidRPr="00BE6CD1">
              <w:rPr>
                <w:rFonts w:cs="Arial"/>
              </w:rPr>
              <w:t>for classification</w:t>
            </w:r>
            <w:r w:rsidR="00EF160C" w:rsidRPr="00BE6CD1">
              <w:rPr>
                <w:rFonts w:cs="Arial"/>
              </w:rPr>
              <w:t>.</w:t>
            </w:r>
          </w:p>
        </w:tc>
      </w:tr>
      <w:tr w:rsidR="004966BF" w:rsidRPr="004C23F4" w14:paraId="581C63F9" w14:textId="77777777" w:rsidTr="001018AD">
        <w:trPr>
          <w:cantSplit/>
        </w:trPr>
        <w:tc>
          <w:tcPr>
            <w:tcW w:w="1490" w:type="dxa"/>
          </w:tcPr>
          <w:p w14:paraId="09EEA1AE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14:paraId="22BD579F" w14:textId="1DBD8534" w:rsidR="004966BF" w:rsidRPr="00CE617F" w:rsidRDefault="001018A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94C7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4D72635" w14:textId="4074CB2B" w:rsidR="004966BF" w:rsidRPr="004C23F4" w:rsidRDefault="00E94C7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2005</w:t>
            </w:r>
          </w:p>
        </w:tc>
        <w:tc>
          <w:tcPr>
            <w:tcW w:w="6453" w:type="dxa"/>
          </w:tcPr>
          <w:p w14:paraId="5CE1A8FA" w14:textId="7B3ACE3F" w:rsidR="004966BF" w:rsidRPr="004C23F4" w:rsidRDefault="00E94C7D" w:rsidP="00C75017">
            <w:pPr>
              <w:pStyle w:val="Tablefont"/>
              <w:numPr>
                <w:ilvl w:val="0"/>
                <w:numId w:val="1"/>
              </w:numPr>
              <w:spacing w:before="60" w:after="60"/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Available carcinogenicity studies (also </w:t>
            </w:r>
            <w:r w:rsidR="00AC6536">
              <w:rPr>
                <w:rFonts w:cs="Arial"/>
              </w:rPr>
              <w:t>reported</w:t>
            </w:r>
            <w:r>
              <w:rPr>
                <w:rFonts w:cs="Arial"/>
              </w:rPr>
              <w:t xml:space="preserve"> in all primary source documentation) limited by insufficient dose range, number of animals, exposure duration</w:t>
            </w:r>
            <w:r w:rsidR="009A5076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level of documentation.</w:t>
            </w:r>
          </w:p>
        </w:tc>
      </w:tr>
    </w:tbl>
    <w:bookmarkEnd w:id="0"/>
    <w:p w14:paraId="02AAE9DD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6226A4F" w14:textId="77777777" w:rsidTr="008F7514">
        <w:trPr>
          <w:trHeight w:val="454"/>
          <w:tblHeader/>
        </w:trPr>
        <w:tc>
          <w:tcPr>
            <w:tcW w:w="6603" w:type="dxa"/>
            <w:vAlign w:val="center"/>
          </w:tcPr>
          <w:p w14:paraId="71DA818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6A8D5E4" w14:textId="03856241" w:rsidR="002E0D61" w:rsidRDefault="008F751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0B33C84" w14:textId="77777777" w:rsidTr="008F7514">
        <w:trPr>
          <w:trHeight w:val="454"/>
        </w:trPr>
        <w:tc>
          <w:tcPr>
            <w:tcW w:w="6603" w:type="dxa"/>
            <w:vAlign w:val="center"/>
          </w:tcPr>
          <w:p w14:paraId="21555AC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288445B" w14:textId="048E1018" w:rsidR="008A36CF" w:rsidRDefault="008F751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0CA76F86" w14:textId="77777777" w:rsidTr="008F751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725452F" w14:textId="05C4ADC4" w:rsidR="008A36CF" w:rsidRPr="006901A2" w:rsidRDefault="008F751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BDBDC8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973AD9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1F4A248" w14:textId="77777777" w:rsidTr="0010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5D85E84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8AEB8C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02A2B681" w14:textId="77777777" w:rsidTr="001018AD">
        <w:trPr>
          <w:cantSplit/>
        </w:trPr>
        <w:tc>
          <w:tcPr>
            <w:tcW w:w="3227" w:type="dxa"/>
          </w:tcPr>
          <w:p w14:paraId="5102902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A601216" w14:textId="77777777" w:rsidR="00687890" w:rsidRPr="00DD2F9B" w:rsidRDefault="0044462F" w:rsidP="00DD2F9B">
            <w:pPr>
              <w:pStyle w:val="Tablefont"/>
            </w:pPr>
            <w:r w:rsidRPr="0044462F">
              <w:t>Carc. 2</w:t>
            </w:r>
            <w:r>
              <w:t>, Skin</w:t>
            </w:r>
          </w:p>
        </w:tc>
      </w:tr>
      <w:tr w:rsidR="007925F0" w:rsidRPr="004C23F4" w14:paraId="0AD00BD0" w14:textId="77777777" w:rsidTr="001018AD">
        <w:trPr>
          <w:cantSplit/>
        </w:trPr>
        <w:tc>
          <w:tcPr>
            <w:tcW w:w="3227" w:type="dxa"/>
          </w:tcPr>
          <w:p w14:paraId="3740248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2C6AC62" w14:textId="1C0FFBE3" w:rsidR="007925F0" w:rsidRPr="00DD2F9B" w:rsidRDefault="009B76C4" w:rsidP="00DD2F9B">
            <w:pPr>
              <w:pStyle w:val="Tablefont"/>
            </w:pPr>
            <w:r w:rsidRPr="009B76C4">
              <w:t>Carcinogenicity – category 2</w:t>
            </w:r>
            <w:r>
              <w:t xml:space="preserve">, </w:t>
            </w:r>
            <w:r w:rsidRPr="009B76C4">
              <w:t>Skin sensitisation – category 1</w:t>
            </w:r>
          </w:p>
        </w:tc>
      </w:tr>
      <w:tr w:rsidR="00AF483F" w:rsidRPr="004C23F4" w14:paraId="70F7400A" w14:textId="77777777" w:rsidTr="001018AD">
        <w:trPr>
          <w:cantSplit/>
        </w:trPr>
        <w:tc>
          <w:tcPr>
            <w:tcW w:w="3227" w:type="dxa"/>
          </w:tcPr>
          <w:p w14:paraId="6A61E6B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8DD684D" w14:textId="1802CC97" w:rsidR="00AF483F" w:rsidRPr="00DD2F9B" w:rsidRDefault="00335615" w:rsidP="00DD2F9B">
            <w:pPr>
              <w:pStyle w:val="Tablefont"/>
            </w:pPr>
            <w:r w:rsidRPr="00335615">
              <w:t>Carc. Cat</w:t>
            </w:r>
            <w:r>
              <w:t>.</w:t>
            </w:r>
            <w:r w:rsidRPr="00335615">
              <w:t xml:space="preserve"> 3</w:t>
            </w:r>
          </w:p>
        </w:tc>
      </w:tr>
      <w:tr w:rsidR="00687890" w:rsidRPr="004C23F4" w14:paraId="7C282D68" w14:textId="77777777" w:rsidTr="001018AD">
        <w:trPr>
          <w:cantSplit/>
        </w:trPr>
        <w:tc>
          <w:tcPr>
            <w:tcW w:w="3227" w:type="dxa"/>
          </w:tcPr>
          <w:p w14:paraId="5860B95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1B231AB" w14:textId="43D24A41" w:rsidR="00687890" w:rsidRPr="00DD2F9B" w:rsidRDefault="00E57B80" w:rsidP="00DD2F9B">
            <w:pPr>
              <w:pStyle w:val="Tablefont"/>
            </w:pPr>
            <w:r w:rsidRPr="00E57B80">
              <w:t>Carcinogenicity – category 2</w:t>
            </w:r>
            <w:r>
              <w:t xml:space="preserve">, </w:t>
            </w:r>
            <w:r w:rsidRPr="00E57B80">
              <w:t>Skin sensitisation – category 1</w:t>
            </w:r>
          </w:p>
        </w:tc>
      </w:tr>
      <w:tr w:rsidR="00E41A26" w:rsidRPr="004C23F4" w14:paraId="5A84D921" w14:textId="77777777" w:rsidTr="001018AD">
        <w:trPr>
          <w:cantSplit/>
        </w:trPr>
        <w:tc>
          <w:tcPr>
            <w:tcW w:w="3227" w:type="dxa"/>
          </w:tcPr>
          <w:p w14:paraId="2C62E92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996D561" w14:textId="33EA8884" w:rsidR="00E41A26" w:rsidRPr="00DD2F9B" w:rsidRDefault="003F7C5B" w:rsidP="00DD2F9B">
            <w:pPr>
              <w:pStyle w:val="Tablefont"/>
            </w:pPr>
            <w:r w:rsidRPr="003F7C5B">
              <w:t>Carcinogenicity – category 2, Skin sensitisation – category 1</w:t>
            </w:r>
          </w:p>
        </w:tc>
      </w:tr>
      <w:tr w:rsidR="002E0D61" w:rsidRPr="004C23F4" w14:paraId="7F34B8F7" w14:textId="77777777" w:rsidTr="001018AD">
        <w:trPr>
          <w:cantSplit/>
        </w:trPr>
        <w:tc>
          <w:tcPr>
            <w:tcW w:w="3227" w:type="dxa"/>
          </w:tcPr>
          <w:p w14:paraId="358AC09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70B7FDB" w14:textId="77777777" w:rsidR="002E0D61" w:rsidRPr="00DD2F9B" w:rsidRDefault="00F7312D" w:rsidP="00DD2F9B">
            <w:pPr>
              <w:pStyle w:val="Tablefont"/>
            </w:pPr>
            <w:r w:rsidRPr="00F7312D">
              <w:t>Carcinogenicity – A3</w:t>
            </w:r>
          </w:p>
        </w:tc>
      </w:tr>
      <w:tr w:rsidR="002E0D61" w:rsidRPr="004C23F4" w14:paraId="4A45599A" w14:textId="77777777" w:rsidTr="001018AD">
        <w:trPr>
          <w:cantSplit/>
        </w:trPr>
        <w:tc>
          <w:tcPr>
            <w:tcW w:w="3227" w:type="dxa"/>
          </w:tcPr>
          <w:p w14:paraId="24A8D5B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C1B9C3A" w14:textId="77777777" w:rsidR="002E0D61" w:rsidRPr="00DD2F9B" w:rsidRDefault="00330CBD" w:rsidP="00330CBD">
            <w:r w:rsidRPr="00330CBD">
              <w:t>Carcinogenicity – 3B</w:t>
            </w:r>
            <w:r>
              <w:t xml:space="preserve">, H (skin), </w:t>
            </w:r>
            <w:proofErr w:type="spellStart"/>
            <w:r w:rsidRPr="003F7C5B">
              <w:t>Sh</w:t>
            </w:r>
            <w:proofErr w:type="spellEnd"/>
            <w:r w:rsidRPr="003F7C5B">
              <w:t xml:space="preserve"> (dermal sensitiser)</w:t>
            </w:r>
          </w:p>
        </w:tc>
      </w:tr>
      <w:tr w:rsidR="002E0D61" w:rsidRPr="004C23F4" w14:paraId="5E0A37D0" w14:textId="77777777" w:rsidTr="001018AD">
        <w:trPr>
          <w:cantSplit/>
        </w:trPr>
        <w:tc>
          <w:tcPr>
            <w:tcW w:w="3227" w:type="dxa"/>
          </w:tcPr>
          <w:p w14:paraId="618B3E9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5ECF1EF" w14:textId="1DB5C53D" w:rsidR="002E0D61" w:rsidRPr="00DD2F9B" w:rsidRDefault="00C56AFC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0793C254" w14:textId="77777777" w:rsidTr="001018AD">
        <w:trPr>
          <w:cantSplit/>
        </w:trPr>
        <w:tc>
          <w:tcPr>
            <w:tcW w:w="3227" w:type="dxa"/>
          </w:tcPr>
          <w:p w14:paraId="490C062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D559721" w14:textId="04D5EEAA" w:rsidR="002E0D61" w:rsidRPr="00DD2F9B" w:rsidRDefault="009B76C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E14EBF0" w14:textId="77777777" w:rsidTr="001018AD">
        <w:trPr>
          <w:cantSplit/>
        </w:trPr>
        <w:tc>
          <w:tcPr>
            <w:tcW w:w="3227" w:type="dxa"/>
          </w:tcPr>
          <w:p w14:paraId="4A92D56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E109AF0" w14:textId="0FD98FC9" w:rsidR="00386093" w:rsidRPr="00DD2F9B" w:rsidRDefault="00BA3C2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EC0FB56" w14:textId="77777777" w:rsidTr="001018AD">
        <w:trPr>
          <w:cantSplit/>
        </w:trPr>
        <w:tc>
          <w:tcPr>
            <w:tcW w:w="3227" w:type="dxa"/>
          </w:tcPr>
          <w:p w14:paraId="63AC2EA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F87908B" w14:textId="77E8BEB9" w:rsidR="00386093" w:rsidRPr="00DD2F9B" w:rsidRDefault="00BA3C2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C77001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C4B30E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B6699E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BA09AF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999012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4006"/>
              <w:gridCol w:w="768"/>
              <w:gridCol w:w="791"/>
              <w:gridCol w:w="3245"/>
            </w:tblGrid>
            <w:tr w:rsidR="003F7C5B" w:rsidRPr="003F7C5B" w14:paraId="34CB0393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C35445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6848A2F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B627B2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1DA836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7C5B" w:rsidRPr="003F7C5B" w14:paraId="3CEA1AB1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54DDB7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1CAA1FA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B4CE42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599D08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7C5B" w:rsidRPr="003F7C5B" w14:paraId="0980048C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0EC985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55EF9F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D68DCA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0A4EDB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7C5B" w:rsidRPr="003F7C5B" w14:paraId="6404E23F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3B324C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05535D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5C1B1D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88D29E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7C5B" w:rsidRPr="003F7C5B" w14:paraId="5F3F5116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6873DD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31AB1F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7E82D5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6DCC32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7C5B" w:rsidRPr="003F7C5B" w14:paraId="2B9E4692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16A3CE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96D9B8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2B576A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C542BD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7C5B" w:rsidRPr="003F7C5B" w14:paraId="7C34008E" w14:textId="77777777" w:rsidTr="003F7C5B">
              <w:trPr>
                <w:trHeight w:val="123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0616E4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A93072" w14:textId="77777777" w:rsidR="003F7C5B" w:rsidRPr="003F7C5B" w:rsidRDefault="003F7C5B" w:rsidP="003F7C5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B47CEC" w14:textId="77777777" w:rsidR="003F7C5B" w:rsidRPr="003F7C5B" w:rsidRDefault="003F7C5B" w:rsidP="003F7C5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295F27" w14:textId="77777777" w:rsidR="003F7C5B" w:rsidRPr="003F7C5B" w:rsidRDefault="003F7C5B" w:rsidP="003F7C5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7C5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7A2A089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DCEA6F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E1E71D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BE80B2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FFFA9B5" w14:textId="0B29234E" w:rsidR="00EB3D1B" w:rsidRDefault="00BA3C2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1027DA8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5A6E69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79B581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D9058AF" w14:textId="77777777" w:rsidR="001B79E5" w:rsidRDefault="00DF09B5" w:rsidP="001B79E5">
                <w:pPr>
                  <w:pStyle w:val="Tablefont"/>
                </w:pPr>
                <w:r>
                  <w:t>107.15</w:t>
                </w:r>
              </w:p>
            </w:tc>
          </w:sdtContent>
        </w:sdt>
      </w:tr>
      <w:tr w:rsidR="00A31D99" w:rsidRPr="004C23F4" w14:paraId="305E50F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EA52A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E72ACDD" w14:textId="00762AC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70B12">
                  <w:t>4.38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70B12">
                  <w:t>0.229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E4F912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559DF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8995B4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B0256ED" w14:textId="77777777" w:rsidTr="00EA6243">
        <w:trPr>
          <w:cantSplit/>
        </w:trPr>
        <w:tc>
          <w:tcPr>
            <w:tcW w:w="4077" w:type="dxa"/>
            <w:vAlign w:val="center"/>
          </w:tcPr>
          <w:p w14:paraId="0D7F6CC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7C6382" w14:textId="77C7637E" w:rsidR="00687890" w:rsidRPr="004C23F4" w:rsidRDefault="008F7514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890" w:rsidRPr="004C23F4" w14:paraId="64E54D34" w14:textId="77777777" w:rsidTr="00EA6243">
        <w:trPr>
          <w:cantSplit/>
        </w:trPr>
        <w:tc>
          <w:tcPr>
            <w:tcW w:w="4077" w:type="dxa"/>
            <w:vAlign w:val="center"/>
          </w:tcPr>
          <w:p w14:paraId="23CDC71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85BCD7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B10F3AB" w14:textId="77777777" w:rsidTr="00EA6243">
        <w:trPr>
          <w:cantSplit/>
        </w:trPr>
        <w:tc>
          <w:tcPr>
            <w:tcW w:w="4077" w:type="dxa"/>
            <w:vAlign w:val="center"/>
          </w:tcPr>
          <w:p w14:paraId="4BCFA5F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81F1260" w14:textId="342D7533" w:rsidR="00E06F40" w:rsidRPr="00A006A0" w:rsidRDefault="001018A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C67CA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460DEA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F9F40B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349BBD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EB778B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065F9DE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B820EA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779380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32F976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3CF6D5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6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7A3257C" w14:textId="73EF413C" w:rsidR="008E4F1F" w:rsidRDefault="008E4F1F" w:rsidP="008E4F1F">
      <w:r w:rsidRPr="002022B6">
        <w:t>Deutsche Forschungsgemeinschaft (DFG)</w:t>
      </w:r>
      <w:r>
        <w:t xml:space="preserve"> (</w:t>
      </w:r>
      <w:r w:rsidR="00BA3C24">
        <w:t>1992</w:t>
      </w:r>
      <w:r>
        <w:t xml:space="preserve">) </w:t>
      </w:r>
      <w:r w:rsidR="00BA3C24" w:rsidRPr="00BA3C24">
        <w:t>p-Toluidine</w:t>
      </w:r>
      <w:r>
        <w:t xml:space="preserve"> – MAK value documentation.</w:t>
      </w:r>
    </w:p>
    <w:p w14:paraId="3CA69F0C" w14:textId="1E8D423D" w:rsidR="00A33443" w:rsidRDefault="00A33443" w:rsidP="008E4F1F">
      <w:pPr>
        <w:rPr>
          <w:b/>
        </w:rPr>
      </w:pPr>
      <w:r w:rsidRPr="002022B6">
        <w:t>Deutsche Forschungsgemeinschaft (DFG)</w:t>
      </w:r>
      <w:r>
        <w:t xml:space="preserve"> (2004) </w:t>
      </w:r>
      <w:r w:rsidRPr="00BA3C24">
        <w:t>p-Toluidine</w:t>
      </w:r>
      <w:r>
        <w:t xml:space="preserve"> – MAK value documentation.</w:t>
      </w:r>
    </w:p>
    <w:p w14:paraId="280B8345" w14:textId="129ABD12" w:rsidR="008E4F1F" w:rsidRDefault="008E4F1F" w:rsidP="00574ADF">
      <w:r w:rsidRPr="002022B6">
        <w:t>EU Scientific Committee on Occupational Exposure Limits (SCOEL)</w:t>
      </w:r>
      <w:r>
        <w:t xml:space="preserve"> (</w:t>
      </w:r>
      <w:r w:rsidR="00B46B88">
        <w:t>2013</w:t>
      </w:r>
      <w:r>
        <w:t xml:space="preserve">) Recommendation from the Scientific Committee on Occupational Exposure Limits for </w:t>
      </w:r>
      <w:r w:rsidR="00B46B88" w:rsidRPr="00B46B88">
        <w:t>4-Aminotoluene (p-Toluidine)</w:t>
      </w:r>
      <w:r>
        <w:t xml:space="preserve">. </w:t>
      </w:r>
      <w:r w:rsidR="00B46B88" w:rsidRPr="00B46B88">
        <w:t>SCOEL/SUM/145</w:t>
      </w:r>
      <w:r>
        <w:t>.</w:t>
      </w:r>
    </w:p>
    <w:p w14:paraId="574C327F" w14:textId="4308F4D3" w:rsidR="000C1F5A" w:rsidRPr="00170B12" w:rsidRDefault="000C1F5A" w:rsidP="00574ADF">
      <w:r w:rsidRPr="004B72FC">
        <w:t>EU Scientific Committee on Occupational Exposure Limits (SCOEL) (2010) Recommendation from the Scientific Committee on Occupational Exposure Limits for aniline. SCOEL/SUM/153.</w:t>
      </w:r>
    </w:p>
    <w:p w14:paraId="24A05D5D" w14:textId="20825B2C" w:rsidR="00574ADF" w:rsidRDefault="00574ADF" w:rsidP="00084859">
      <w:r w:rsidRPr="002022B6">
        <w:t>National Industrial Chemicals Notification and Assessment Scheme (NICNAS)</w:t>
      </w:r>
      <w:r>
        <w:t xml:space="preserve"> (</w:t>
      </w:r>
      <w:r w:rsidR="00BB7021">
        <w:t>2015</w:t>
      </w:r>
      <w:r>
        <w:t xml:space="preserve">) </w:t>
      </w:r>
      <w:r w:rsidRPr="00574ADF">
        <w:t>p-Toluidine and its salts</w:t>
      </w:r>
      <w:r w:rsidRPr="0071660C">
        <w:t xml:space="preserve">: Human health </w:t>
      </w:r>
      <w:sdt>
        <w:sdtPr>
          <w:id w:val="-1295753243"/>
          <w:temporary/>
          <w:showingPlcHdr/>
        </w:sdtPr>
        <w:sdtEndPr/>
        <w:sdtContent>
          <w:r w:rsidRPr="00574ADF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31E67CB6" w14:textId="44D048F7" w:rsidR="00A816CA" w:rsidRPr="0096373B" w:rsidRDefault="00A816CA" w:rsidP="00A816CA">
      <w:r w:rsidRPr="00E819F5">
        <w:t>Organisation for Economic Cooperation and Development (OECD) (</w:t>
      </w:r>
      <w:r>
        <w:t>200</w:t>
      </w:r>
      <w:r w:rsidR="003F7C5B">
        <w:t>5</w:t>
      </w:r>
      <w:r w:rsidRPr="00E819F5">
        <w:t xml:space="preserve">) SIDS initial assessment profile – </w:t>
      </w:r>
      <w:r>
        <w:t>p</w:t>
      </w:r>
      <w:r w:rsidRPr="0096373B">
        <w:t>-Toluidine</w:t>
      </w:r>
      <w:r w:rsidRPr="00E819F5">
        <w:t>.</w:t>
      </w:r>
    </w:p>
    <w:p w14:paraId="1BEE9D1D" w14:textId="77777777" w:rsidR="00EF160C" w:rsidRDefault="00EF160C" w:rsidP="00EF160C">
      <w:r w:rsidRPr="00574ADF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43F073DC" w14:textId="77777777" w:rsidR="00A816CA" w:rsidRPr="00351FE0" w:rsidRDefault="00A816CA" w:rsidP="00084859"/>
    <w:sectPr w:rsidR="00A816CA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96C9" w14:textId="77777777" w:rsidR="00215F7C" w:rsidRDefault="00215F7C" w:rsidP="00F43AD5">
      <w:pPr>
        <w:spacing w:after="0" w:line="240" w:lineRule="auto"/>
      </w:pPr>
      <w:r>
        <w:separator/>
      </w:r>
    </w:p>
  </w:endnote>
  <w:endnote w:type="continuationSeparator" w:id="0">
    <w:p w14:paraId="13002909" w14:textId="77777777" w:rsidR="00215F7C" w:rsidRDefault="00215F7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E31F" w14:textId="77777777" w:rsidR="001018AD" w:rsidRDefault="00101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9076529" w14:textId="01B73A10" w:rsidR="00591E0A" w:rsidRDefault="00591E0A" w:rsidP="0034744C">
        <w:pPr>
          <w:pStyle w:val="Footer"/>
          <w:rPr>
            <w:sz w:val="18"/>
            <w:szCs w:val="18"/>
          </w:rPr>
        </w:pPr>
        <w:r w:rsidRPr="00DF09B5">
          <w:rPr>
            <w:b/>
            <w:sz w:val="18"/>
            <w:szCs w:val="18"/>
          </w:rPr>
          <w:t>p-Toluidine</w:t>
        </w:r>
        <w:r>
          <w:rPr>
            <w:b/>
            <w:sz w:val="18"/>
            <w:szCs w:val="18"/>
          </w:rPr>
          <w:t xml:space="preserve"> (</w:t>
        </w:r>
        <w:r w:rsidRPr="00DF09B5">
          <w:rPr>
            <w:b/>
            <w:sz w:val="18"/>
            <w:szCs w:val="18"/>
          </w:rPr>
          <w:t>106-49-0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</w:t>
        </w:r>
        <w:r w:rsidR="00A72B8E">
          <w:rPr>
            <w:sz w:val="18"/>
            <w:szCs w:val="18"/>
          </w:rPr>
          <w:t>2020</w:t>
        </w:r>
      </w:p>
      <w:p w14:paraId="4BC09881" w14:textId="453FBC22" w:rsidR="00591E0A" w:rsidRPr="00F43AD5" w:rsidRDefault="00591E0A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36DD3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8EC5" w14:textId="77777777" w:rsidR="001018AD" w:rsidRDefault="00101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EFDCD" w14:textId="77777777" w:rsidR="00215F7C" w:rsidRDefault="00215F7C" w:rsidP="00F43AD5">
      <w:pPr>
        <w:spacing w:after="0" w:line="240" w:lineRule="auto"/>
      </w:pPr>
      <w:r>
        <w:separator/>
      </w:r>
    </w:p>
  </w:footnote>
  <w:footnote w:type="continuationSeparator" w:id="0">
    <w:p w14:paraId="7CA2079E" w14:textId="77777777" w:rsidR="00215F7C" w:rsidRDefault="00215F7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7430D" w14:textId="77777777" w:rsidR="001018AD" w:rsidRDefault="00101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6BD9" w14:textId="77777777" w:rsidR="001018AD" w:rsidRDefault="001018AD" w:rsidP="001018AD">
    <w:pPr>
      <w:pStyle w:val="Header"/>
      <w:jc w:val="right"/>
    </w:pPr>
    <w:r>
      <w:pict w14:anchorId="19DD92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6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4CCD0BC" wp14:editId="10707D1D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9472F" w14:textId="77777777" w:rsidR="001018AD" w:rsidRPr="00B1778B" w:rsidRDefault="001018AD" w:rsidP="001018AD">
    <w:pPr>
      <w:pStyle w:val="Header"/>
    </w:pPr>
  </w:p>
  <w:p w14:paraId="010F5441" w14:textId="6804C3EF" w:rsidR="00591E0A" w:rsidRPr="001018AD" w:rsidRDefault="00591E0A" w:rsidP="00101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3224" w14:textId="77777777" w:rsidR="001018AD" w:rsidRDefault="001018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F907" w14:textId="77777777" w:rsidR="001018AD" w:rsidRDefault="001018AD" w:rsidP="001018AD">
    <w:pPr>
      <w:pStyle w:val="Header"/>
      <w:jc w:val="right"/>
    </w:pPr>
    <w:r>
      <w:pict w14:anchorId="32F3D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7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FEA6E14" wp14:editId="2F8DAEF6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C1960" w14:textId="77777777" w:rsidR="00591E0A" w:rsidRDefault="00591E0A" w:rsidP="00101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90B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A1F50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5449404F"/>
    <w:multiLevelType w:val="hybridMultilevel"/>
    <w:tmpl w:val="9E769D2C"/>
    <w:lvl w:ilvl="0" w:tplc="E16C96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E5D85"/>
    <w:multiLevelType w:val="hybridMultilevel"/>
    <w:tmpl w:val="7C30D52E"/>
    <w:lvl w:ilvl="0" w:tplc="A03EEBE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6AEC"/>
    <w:multiLevelType w:val="hybridMultilevel"/>
    <w:tmpl w:val="AB36E3F4"/>
    <w:lvl w:ilvl="0" w:tplc="B894A4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4528"/>
    <w:rsid w:val="00037E52"/>
    <w:rsid w:val="00046DF5"/>
    <w:rsid w:val="00047232"/>
    <w:rsid w:val="00052060"/>
    <w:rsid w:val="0005574A"/>
    <w:rsid w:val="00055FE1"/>
    <w:rsid w:val="00056EC2"/>
    <w:rsid w:val="00060B48"/>
    <w:rsid w:val="00064C24"/>
    <w:rsid w:val="00067F32"/>
    <w:rsid w:val="00071807"/>
    <w:rsid w:val="00071B74"/>
    <w:rsid w:val="000803E1"/>
    <w:rsid w:val="00082370"/>
    <w:rsid w:val="00084513"/>
    <w:rsid w:val="00084859"/>
    <w:rsid w:val="00092D94"/>
    <w:rsid w:val="000968FF"/>
    <w:rsid w:val="000B0868"/>
    <w:rsid w:val="000B3E12"/>
    <w:rsid w:val="000B3E78"/>
    <w:rsid w:val="000B5F56"/>
    <w:rsid w:val="000B7B48"/>
    <w:rsid w:val="000C096D"/>
    <w:rsid w:val="000C139A"/>
    <w:rsid w:val="000C1F5A"/>
    <w:rsid w:val="000C2053"/>
    <w:rsid w:val="000C248C"/>
    <w:rsid w:val="000C5907"/>
    <w:rsid w:val="000D291C"/>
    <w:rsid w:val="000E5A54"/>
    <w:rsid w:val="000E63D3"/>
    <w:rsid w:val="000E67CF"/>
    <w:rsid w:val="001018AD"/>
    <w:rsid w:val="0010461E"/>
    <w:rsid w:val="00106FAA"/>
    <w:rsid w:val="00110922"/>
    <w:rsid w:val="00113443"/>
    <w:rsid w:val="0012149B"/>
    <w:rsid w:val="001269A7"/>
    <w:rsid w:val="00131092"/>
    <w:rsid w:val="00140E6A"/>
    <w:rsid w:val="00146545"/>
    <w:rsid w:val="00146B75"/>
    <w:rsid w:val="00147425"/>
    <w:rsid w:val="0015266D"/>
    <w:rsid w:val="0015288A"/>
    <w:rsid w:val="00155999"/>
    <w:rsid w:val="00157249"/>
    <w:rsid w:val="00160F47"/>
    <w:rsid w:val="00170B12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26E3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78B9"/>
    <w:rsid w:val="00213640"/>
    <w:rsid w:val="00214EDE"/>
    <w:rsid w:val="00215F7C"/>
    <w:rsid w:val="00220C0F"/>
    <w:rsid w:val="00221547"/>
    <w:rsid w:val="002216FC"/>
    <w:rsid w:val="00222533"/>
    <w:rsid w:val="00222F30"/>
    <w:rsid w:val="00224EE2"/>
    <w:rsid w:val="00227E63"/>
    <w:rsid w:val="00227EC7"/>
    <w:rsid w:val="00237168"/>
    <w:rsid w:val="00244AD1"/>
    <w:rsid w:val="002463BC"/>
    <w:rsid w:val="002465CE"/>
    <w:rsid w:val="0025734A"/>
    <w:rsid w:val="00263255"/>
    <w:rsid w:val="0027014F"/>
    <w:rsid w:val="0027089A"/>
    <w:rsid w:val="00276494"/>
    <w:rsid w:val="00277B0C"/>
    <w:rsid w:val="002B1A2C"/>
    <w:rsid w:val="002B6533"/>
    <w:rsid w:val="002C34F2"/>
    <w:rsid w:val="002C58FF"/>
    <w:rsid w:val="002C7AFE"/>
    <w:rsid w:val="002D05D2"/>
    <w:rsid w:val="002E0D61"/>
    <w:rsid w:val="002E4C7B"/>
    <w:rsid w:val="0030616C"/>
    <w:rsid w:val="0030740C"/>
    <w:rsid w:val="00307775"/>
    <w:rsid w:val="00312362"/>
    <w:rsid w:val="00315833"/>
    <w:rsid w:val="003215EE"/>
    <w:rsid w:val="003224BF"/>
    <w:rsid w:val="003241A8"/>
    <w:rsid w:val="003253F0"/>
    <w:rsid w:val="00330CBD"/>
    <w:rsid w:val="003337DA"/>
    <w:rsid w:val="00334EFB"/>
    <w:rsid w:val="00335615"/>
    <w:rsid w:val="00335CDE"/>
    <w:rsid w:val="00335D02"/>
    <w:rsid w:val="003365A5"/>
    <w:rsid w:val="00336DD3"/>
    <w:rsid w:val="00347192"/>
    <w:rsid w:val="0034744C"/>
    <w:rsid w:val="00351FE0"/>
    <w:rsid w:val="00352615"/>
    <w:rsid w:val="0035412B"/>
    <w:rsid w:val="003567A8"/>
    <w:rsid w:val="00357DDB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7C5B"/>
    <w:rsid w:val="004030BC"/>
    <w:rsid w:val="00403F7D"/>
    <w:rsid w:val="00406785"/>
    <w:rsid w:val="004079B4"/>
    <w:rsid w:val="00407F39"/>
    <w:rsid w:val="004124A6"/>
    <w:rsid w:val="00417A56"/>
    <w:rsid w:val="00420957"/>
    <w:rsid w:val="00422A10"/>
    <w:rsid w:val="00430179"/>
    <w:rsid w:val="00435630"/>
    <w:rsid w:val="004414B5"/>
    <w:rsid w:val="00444482"/>
    <w:rsid w:val="0044462F"/>
    <w:rsid w:val="00444B42"/>
    <w:rsid w:val="00445E44"/>
    <w:rsid w:val="004509E2"/>
    <w:rsid w:val="004515EE"/>
    <w:rsid w:val="004529F0"/>
    <w:rsid w:val="0045301F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2B86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549E"/>
    <w:rsid w:val="004D6D68"/>
    <w:rsid w:val="004E4AAE"/>
    <w:rsid w:val="004E5EDD"/>
    <w:rsid w:val="004F448A"/>
    <w:rsid w:val="004F493D"/>
    <w:rsid w:val="004F65E8"/>
    <w:rsid w:val="004F67E7"/>
    <w:rsid w:val="004F68E9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0E3A"/>
    <w:rsid w:val="00551BD8"/>
    <w:rsid w:val="00567382"/>
    <w:rsid w:val="00574ADF"/>
    <w:rsid w:val="00581055"/>
    <w:rsid w:val="00591E0A"/>
    <w:rsid w:val="00591E38"/>
    <w:rsid w:val="00596813"/>
    <w:rsid w:val="005A19C5"/>
    <w:rsid w:val="005A3034"/>
    <w:rsid w:val="005A40DE"/>
    <w:rsid w:val="005A462D"/>
    <w:rsid w:val="005B253B"/>
    <w:rsid w:val="005B771D"/>
    <w:rsid w:val="005C24F2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0AA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6626"/>
    <w:rsid w:val="006C67CA"/>
    <w:rsid w:val="006D79EA"/>
    <w:rsid w:val="006E5D05"/>
    <w:rsid w:val="00701053"/>
    <w:rsid w:val="00701507"/>
    <w:rsid w:val="00714021"/>
    <w:rsid w:val="00716A0F"/>
    <w:rsid w:val="00717D45"/>
    <w:rsid w:val="0072003E"/>
    <w:rsid w:val="007208F7"/>
    <w:rsid w:val="007218AF"/>
    <w:rsid w:val="007365D1"/>
    <w:rsid w:val="00740E0E"/>
    <w:rsid w:val="0074122E"/>
    <w:rsid w:val="00750212"/>
    <w:rsid w:val="00753467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3AC7"/>
    <w:rsid w:val="0079509C"/>
    <w:rsid w:val="00796708"/>
    <w:rsid w:val="007B1B42"/>
    <w:rsid w:val="007C30EB"/>
    <w:rsid w:val="007D60C1"/>
    <w:rsid w:val="007E063C"/>
    <w:rsid w:val="007E2A4B"/>
    <w:rsid w:val="007E307D"/>
    <w:rsid w:val="007E6A4E"/>
    <w:rsid w:val="007E6C94"/>
    <w:rsid w:val="007F1005"/>
    <w:rsid w:val="007F25E0"/>
    <w:rsid w:val="007F5328"/>
    <w:rsid w:val="00801D19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0A77"/>
    <w:rsid w:val="0087182F"/>
    <w:rsid w:val="00871CD5"/>
    <w:rsid w:val="008745A2"/>
    <w:rsid w:val="008768A8"/>
    <w:rsid w:val="008854A5"/>
    <w:rsid w:val="0088798F"/>
    <w:rsid w:val="00887E4B"/>
    <w:rsid w:val="008915C8"/>
    <w:rsid w:val="008A36CF"/>
    <w:rsid w:val="008A3BC4"/>
    <w:rsid w:val="008B403C"/>
    <w:rsid w:val="008B7983"/>
    <w:rsid w:val="008C1D79"/>
    <w:rsid w:val="008C2511"/>
    <w:rsid w:val="008C4BF5"/>
    <w:rsid w:val="008D026D"/>
    <w:rsid w:val="008D23AB"/>
    <w:rsid w:val="008D4B8B"/>
    <w:rsid w:val="008D5A78"/>
    <w:rsid w:val="008E4F1F"/>
    <w:rsid w:val="008E7B64"/>
    <w:rsid w:val="008F5DCD"/>
    <w:rsid w:val="008F7514"/>
    <w:rsid w:val="00900951"/>
    <w:rsid w:val="009118A6"/>
    <w:rsid w:val="00916909"/>
    <w:rsid w:val="00916EC0"/>
    <w:rsid w:val="00920467"/>
    <w:rsid w:val="00921DE7"/>
    <w:rsid w:val="0093034C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541F"/>
    <w:rsid w:val="009575FC"/>
    <w:rsid w:val="009578DD"/>
    <w:rsid w:val="00961124"/>
    <w:rsid w:val="009621B6"/>
    <w:rsid w:val="00966EB1"/>
    <w:rsid w:val="00974F2D"/>
    <w:rsid w:val="00977524"/>
    <w:rsid w:val="00977E88"/>
    <w:rsid w:val="00984920"/>
    <w:rsid w:val="0099303A"/>
    <w:rsid w:val="0099459C"/>
    <w:rsid w:val="009971C2"/>
    <w:rsid w:val="009A1254"/>
    <w:rsid w:val="009A4683"/>
    <w:rsid w:val="009A5076"/>
    <w:rsid w:val="009B2173"/>
    <w:rsid w:val="009B2FF2"/>
    <w:rsid w:val="009B380C"/>
    <w:rsid w:val="009B4843"/>
    <w:rsid w:val="009B6543"/>
    <w:rsid w:val="009B76C4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3A80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443"/>
    <w:rsid w:val="00A357BA"/>
    <w:rsid w:val="00A35ADC"/>
    <w:rsid w:val="00A402A3"/>
    <w:rsid w:val="00A41118"/>
    <w:rsid w:val="00A4176B"/>
    <w:rsid w:val="00A53681"/>
    <w:rsid w:val="00A62EC3"/>
    <w:rsid w:val="00A633D4"/>
    <w:rsid w:val="00A6461A"/>
    <w:rsid w:val="00A72B8E"/>
    <w:rsid w:val="00A73C66"/>
    <w:rsid w:val="00A816CA"/>
    <w:rsid w:val="00A84504"/>
    <w:rsid w:val="00A8672F"/>
    <w:rsid w:val="00A93057"/>
    <w:rsid w:val="00A968B0"/>
    <w:rsid w:val="00AB2672"/>
    <w:rsid w:val="00AB2817"/>
    <w:rsid w:val="00AB43C4"/>
    <w:rsid w:val="00AB443C"/>
    <w:rsid w:val="00AB7C13"/>
    <w:rsid w:val="00AC32E7"/>
    <w:rsid w:val="00AC3A9F"/>
    <w:rsid w:val="00AC6536"/>
    <w:rsid w:val="00AC6D2F"/>
    <w:rsid w:val="00AE2745"/>
    <w:rsid w:val="00AE2F64"/>
    <w:rsid w:val="00AE3F4E"/>
    <w:rsid w:val="00AF42CB"/>
    <w:rsid w:val="00AF483F"/>
    <w:rsid w:val="00AF5E07"/>
    <w:rsid w:val="00AF5F06"/>
    <w:rsid w:val="00B00A25"/>
    <w:rsid w:val="00B0359F"/>
    <w:rsid w:val="00B1422A"/>
    <w:rsid w:val="00B1765C"/>
    <w:rsid w:val="00B213C4"/>
    <w:rsid w:val="00B21529"/>
    <w:rsid w:val="00B40C60"/>
    <w:rsid w:val="00B45F68"/>
    <w:rsid w:val="00B46B88"/>
    <w:rsid w:val="00B479A9"/>
    <w:rsid w:val="00B52EDF"/>
    <w:rsid w:val="00B71188"/>
    <w:rsid w:val="00B73E4B"/>
    <w:rsid w:val="00B76A41"/>
    <w:rsid w:val="00B76A9B"/>
    <w:rsid w:val="00B87D4C"/>
    <w:rsid w:val="00B93646"/>
    <w:rsid w:val="00BA0B38"/>
    <w:rsid w:val="00BA1DBB"/>
    <w:rsid w:val="00BA3C24"/>
    <w:rsid w:val="00BA43CB"/>
    <w:rsid w:val="00BA4510"/>
    <w:rsid w:val="00BA529A"/>
    <w:rsid w:val="00BB612A"/>
    <w:rsid w:val="00BB7021"/>
    <w:rsid w:val="00BD499F"/>
    <w:rsid w:val="00BD56DE"/>
    <w:rsid w:val="00BE5503"/>
    <w:rsid w:val="00BE62E3"/>
    <w:rsid w:val="00BE6CD1"/>
    <w:rsid w:val="00BF2406"/>
    <w:rsid w:val="00C06E43"/>
    <w:rsid w:val="00C16315"/>
    <w:rsid w:val="00C3091E"/>
    <w:rsid w:val="00C31AD5"/>
    <w:rsid w:val="00C35620"/>
    <w:rsid w:val="00C40FF1"/>
    <w:rsid w:val="00C419E2"/>
    <w:rsid w:val="00C5020E"/>
    <w:rsid w:val="00C56AFC"/>
    <w:rsid w:val="00C57452"/>
    <w:rsid w:val="00C61EDF"/>
    <w:rsid w:val="00C6239D"/>
    <w:rsid w:val="00C6594B"/>
    <w:rsid w:val="00C65ECE"/>
    <w:rsid w:val="00C67FFB"/>
    <w:rsid w:val="00C7155E"/>
    <w:rsid w:val="00C71D1E"/>
    <w:rsid w:val="00C71D7D"/>
    <w:rsid w:val="00C74833"/>
    <w:rsid w:val="00C75017"/>
    <w:rsid w:val="00C850A0"/>
    <w:rsid w:val="00C85A86"/>
    <w:rsid w:val="00C86C30"/>
    <w:rsid w:val="00C906C2"/>
    <w:rsid w:val="00C94542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62BB"/>
    <w:rsid w:val="00CE78EF"/>
    <w:rsid w:val="00D00317"/>
    <w:rsid w:val="00D048F7"/>
    <w:rsid w:val="00D0517E"/>
    <w:rsid w:val="00D140FC"/>
    <w:rsid w:val="00D21D8C"/>
    <w:rsid w:val="00D272C9"/>
    <w:rsid w:val="00D31357"/>
    <w:rsid w:val="00D33220"/>
    <w:rsid w:val="00D334D1"/>
    <w:rsid w:val="00D4174F"/>
    <w:rsid w:val="00D44C89"/>
    <w:rsid w:val="00D516CD"/>
    <w:rsid w:val="00D668E6"/>
    <w:rsid w:val="00D70670"/>
    <w:rsid w:val="00D74D80"/>
    <w:rsid w:val="00D75181"/>
    <w:rsid w:val="00D76624"/>
    <w:rsid w:val="00D865D0"/>
    <w:rsid w:val="00D87570"/>
    <w:rsid w:val="00D91CB9"/>
    <w:rsid w:val="00D97989"/>
    <w:rsid w:val="00D97D8D"/>
    <w:rsid w:val="00DA352E"/>
    <w:rsid w:val="00DA642E"/>
    <w:rsid w:val="00DB0983"/>
    <w:rsid w:val="00DC7694"/>
    <w:rsid w:val="00DD1BF6"/>
    <w:rsid w:val="00DD2F9B"/>
    <w:rsid w:val="00DE2513"/>
    <w:rsid w:val="00DE26E8"/>
    <w:rsid w:val="00DF09B5"/>
    <w:rsid w:val="00DF6F36"/>
    <w:rsid w:val="00DF7526"/>
    <w:rsid w:val="00E0084C"/>
    <w:rsid w:val="00E025AB"/>
    <w:rsid w:val="00E02B23"/>
    <w:rsid w:val="00E06F40"/>
    <w:rsid w:val="00E07CE8"/>
    <w:rsid w:val="00E1172D"/>
    <w:rsid w:val="00E16C95"/>
    <w:rsid w:val="00E26A07"/>
    <w:rsid w:val="00E32595"/>
    <w:rsid w:val="00E37CFD"/>
    <w:rsid w:val="00E41A26"/>
    <w:rsid w:val="00E46BCB"/>
    <w:rsid w:val="00E51CAF"/>
    <w:rsid w:val="00E57B80"/>
    <w:rsid w:val="00E6027D"/>
    <w:rsid w:val="00E60F04"/>
    <w:rsid w:val="00E62AAC"/>
    <w:rsid w:val="00E67C2F"/>
    <w:rsid w:val="00E67EF5"/>
    <w:rsid w:val="00E804EA"/>
    <w:rsid w:val="00E80A71"/>
    <w:rsid w:val="00E80AC4"/>
    <w:rsid w:val="00E82337"/>
    <w:rsid w:val="00E92499"/>
    <w:rsid w:val="00E949AF"/>
    <w:rsid w:val="00E94C7D"/>
    <w:rsid w:val="00E96077"/>
    <w:rsid w:val="00EA0A06"/>
    <w:rsid w:val="00EA6243"/>
    <w:rsid w:val="00EA74AB"/>
    <w:rsid w:val="00EB3D1B"/>
    <w:rsid w:val="00ED1D89"/>
    <w:rsid w:val="00ED57DA"/>
    <w:rsid w:val="00ED66BC"/>
    <w:rsid w:val="00EF160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534E"/>
    <w:rsid w:val="00F43AD5"/>
    <w:rsid w:val="00F4402E"/>
    <w:rsid w:val="00F56DD0"/>
    <w:rsid w:val="00F6491C"/>
    <w:rsid w:val="00F64FEC"/>
    <w:rsid w:val="00F67BBB"/>
    <w:rsid w:val="00F72CBE"/>
    <w:rsid w:val="00F7312D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2C"/>
    <w:rsid w:val="00FB755A"/>
    <w:rsid w:val="00FC60A2"/>
    <w:rsid w:val="00FD1871"/>
    <w:rsid w:val="00FD3110"/>
    <w:rsid w:val="00FE60D9"/>
    <w:rsid w:val="00FF38E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25DB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E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EC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EC3"/>
    <w:rPr>
      <w:b/>
      <w:bCs/>
      <w:szCs w:val="20"/>
    </w:rPr>
  </w:style>
  <w:style w:type="paragraph" w:styleId="Revision">
    <w:name w:val="Revision"/>
    <w:hidden/>
    <w:uiPriority w:val="99"/>
    <w:semiHidden/>
    <w:rsid w:val="00BE6CD1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0C1F5A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gih.org/tlv-bei-guidelines/policies-procedures-present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AE580D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2261E"/>
    <w:rsid w:val="00347D16"/>
    <w:rsid w:val="003E0149"/>
    <w:rsid w:val="006A4B37"/>
    <w:rsid w:val="006E0499"/>
    <w:rsid w:val="00755FBF"/>
    <w:rsid w:val="00AE580D"/>
    <w:rsid w:val="00B16840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80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FC2452AC9EAA4D80929AF77A9D7AB3CC">
    <w:name w:val="FC2452AC9EAA4D80929AF77A9D7AB3CC"/>
    <w:rsid w:val="00AE580D"/>
    <w:rPr>
      <w:lang w:val="en-US" w:eastAsia="en-US"/>
    </w:rPr>
  </w:style>
  <w:style w:type="paragraph" w:customStyle="1" w:styleId="4AFB18DE35704D819C5DBCEAD56E7F01">
    <w:name w:val="4AFB18DE35704D819C5DBCEAD56E7F01"/>
    <w:rsid w:val="00AE580D"/>
    <w:rPr>
      <w:lang w:val="en-US" w:eastAsia="en-US"/>
    </w:rPr>
  </w:style>
  <w:style w:type="paragraph" w:customStyle="1" w:styleId="81E25F69D94642669781EBC33826D7D0">
    <w:name w:val="81E25F69D94642669781EBC33826D7D0"/>
    <w:rsid w:val="00AE580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FBEA-9E90-4342-BAC8-48DCC2A5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6BB55-8B5E-49E2-841E-681168214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DF394-03EB-4378-B24D-03908218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2020-05-18T06:34:00Z</dcterms:created>
  <dcterms:modified xsi:type="dcterms:W3CDTF">2020-07-21T01:12:00Z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