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D1693B7" w14:textId="77777777" w:rsidR="00BD499F" w:rsidRPr="004C23F4" w:rsidRDefault="000B774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parathion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66A5D441" w14:textId="77777777" w:rsidTr="00B76A41">
        <w:trPr>
          <w:cantSplit/>
          <w:tblHeader/>
        </w:trPr>
        <w:tc>
          <w:tcPr>
            <w:tcW w:w="4077" w:type="dxa"/>
          </w:tcPr>
          <w:p w14:paraId="162DB2B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22DEB39" w14:textId="77777777" w:rsidR="00F43AD5" w:rsidRPr="00717D45" w:rsidRDefault="000B774A" w:rsidP="00B76A41">
            <w:pPr>
              <w:pStyle w:val="Tablefont"/>
            </w:pPr>
            <w:r>
              <w:t>56-38-2</w:t>
            </w:r>
          </w:p>
        </w:tc>
      </w:tr>
      <w:tr w:rsidR="00F43AD5" w:rsidRPr="004C23F4" w14:paraId="509A1E56" w14:textId="77777777" w:rsidTr="00B76A41">
        <w:trPr>
          <w:cantSplit/>
        </w:trPr>
        <w:tc>
          <w:tcPr>
            <w:tcW w:w="4077" w:type="dxa"/>
          </w:tcPr>
          <w:p w14:paraId="02CCA6D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0296F29" w14:textId="4D6A871D" w:rsidR="00F43AD5" w:rsidRPr="00717D45" w:rsidRDefault="00793774" w:rsidP="00B76A41">
            <w:pPr>
              <w:pStyle w:val="Tablefont"/>
            </w:pPr>
            <w:proofErr w:type="spellStart"/>
            <w:r>
              <w:t>Bladan</w:t>
            </w:r>
            <w:proofErr w:type="spellEnd"/>
            <w:r>
              <w:t xml:space="preserve">, </w:t>
            </w:r>
            <w:r w:rsidR="0020575B">
              <w:t xml:space="preserve">ethyl parathion, </w:t>
            </w:r>
            <w:proofErr w:type="gramStart"/>
            <w:r>
              <w:t>O,O</w:t>
            </w:r>
            <w:proofErr w:type="gramEnd"/>
            <w:r>
              <w:t>-Diethyl O-p-nitro</w:t>
            </w:r>
            <w:r w:rsidR="0020575B">
              <w:t xml:space="preserve">phenyl </w:t>
            </w:r>
            <w:proofErr w:type="spellStart"/>
            <w:r w:rsidR="0020575B">
              <w:t>phosphorothioate</w:t>
            </w:r>
            <w:proofErr w:type="spellEnd"/>
            <w:r w:rsidR="0020575B">
              <w:t xml:space="preserve">, DNTP, </w:t>
            </w:r>
            <w:proofErr w:type="spellStart"/>
            <w:r>
              <w:t>paraphos</w:t>
            </w:r>
            <w:proofErr w:type="spellEnd"/>
            <w:r>
              <w:t xml:space="preserve">, </w:t>
            </w:r>
            <w:proofErr w:type="spellStart"/>
            <w:r>
              <w:t>alkron</w:t>
            </w:r>
            <w:proofErr w:type="spellEnd"/>
            <w:r>
              <w:t xml:space="preserve">, </w:t>
            </w:r>
            <w:proofErr w:type="spellStart"/>
            <w:r>
              <w:t>alleron</w:t>
            </w:r>
            <w:proofErr w:type="spellEnd"/>
            <w:r>
              <w:t xml:space="preserve">, </w:t>
            </w:r>
            <w:proofErr w:type="spellStart"/>
            <w:r>
              <w:t>niram</w:t>
            </w:r>
            <w:proofErr w:type="spellEnd"/>
          </w:p>
        </w:tc>
      </w:tr>
      <w:tr w:rsidR="00F43AD5" w:rsidRPr="004C23F4" w14:paraId="06C243E4" w14:textId="77777777" w:rsidTr="00B76A41">
        <w:trPr>
          <w:cantSplit/>
        </w:trPr>
        <w:tc>
          <w:tcPr>
            <w:tcW w:w="4077" w:type="dxa"/>
          </w:tcPr>
          <w:p w14:paraId="438A9AA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75D062A" w14:textId="77777777" w:rsidR="00F43AD5" w:rsidRPr="00717D45" w:rsidRDefault="00793774" w:rsidP="00B76A41">
            <w:pPr>
              <w:pStyle w:val="Tablefont"/>
            </w:pPr>
            <w:r>
              <w:t>C</w:t>
            </w:r>
            <w:r w:rsidRPr="00793774">
              <w:rPr>
                <w:vertAlign w:val="subscript"/>
              </w:rPr>
              <w:t>10</w:t>
            </w:r>
            <w:r>
              <w:t>H</w:t>
            </w:r>
            <w:r w:rsidRPr="00793774">
              <w:rPr>
                <w:vertAlign w:val="subscript"/>
              </w:rPr>
              <w:t>14</w:t>
            </w:r>
            <w:r>
              <w:t>NO</w:t>
            </w:r>
            <w:r w:rsidRPr="00793774">
              <w:rPr>
                <w:vertAlign w:val="subscript"/>
              </w:rPr>
              <w:t>5</w:t>
            </w:r>
            <w:r>
              <w:t>PS</w:t>
            </w:r>
          </w:p>
        </w:tc>
      </w:tr>
      <w:tr w:rsidR="00F43AD5" w:rsidRPr="004C23F4" w14:paraId="54FBC9ED" w14:textId="77777777" w:rsidTr="00B76A41">
        <w:trPr>
          <w:cantSplit/>
        </w:trPr>
        <w:tc>
          <w:tcPr>
            <w:tcW w:w="4077" w:type="dxa"/>
          </w:tcPr>
          <w:p w14:paraId="65B3320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69248B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A7E6D33" w14:textId="1D29C18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33FD8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67979611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3F30312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6DA1655" w14:textId="24EBCB64" w:rsidR="002C7AFE" w:rsidRPr="00A54B5D" w:rsidRDefault="00E7755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</w:t>
            </w:r>
            <w:r w:rsidR="00533FD8">
              <w:rPr>
                <w:b/>
              </w:rPr>
              <w:t>1</w:t>
            </w:r>
            <w:r>
              <w:rPr>
                <w:b/>
              </w:rPr>
              <w:t xml:space="preserve"> mg/m</w:t>
            </w:r>
            <w:r>
              <w:rPr>
                <w:b/>
                <w:vertAlign w:val="superscript"/>
              </w:rPr>
              <w:t>3</w:t>
            </w:r>
            <w:r w:rsidR="00A54B5D">
              <w:rPr>
                <w:b/>
              </w:rPr>
              <w:t xml:space="preserve"> (inhalable)</w:t>
            </w:r>
          </w:p>
        </w:tc>
      </w:tr>
      <w:tr w:rsidR="00037E52" w:rsidRPr="004C23F4" w14:paraId="375886D8" w14:textId="77777777" w:rsidTr="00037E52">
        <w:trPr>
          <w:cantSplit/>
        </w:trPr>
        <w:tc>
          <w:tcPr>
            <w:tcW w:w="4010" w:type="dxa"/>
            <w:vAlign w:val="center"/>
          </w:tcPr>
          <w:p w14:paraId="3D64E630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2DF9B5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D8390FE" w14:textId="77777777" w:rsidTr="00037E52">
        <w:trPr>
          <w:cantSplit/>
        </w:trPr>
        <w:tc>
          <w:tcPr>
            <w:tcW w:w="4010" w:type="dxa"/>
            <w:vAlign w:val="center"/>
          </w:tcPr>
          <w:p w14:paraId="5A39E58F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A2877A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D14DCD7" w14:textId="77777777" w:rsidTr="00037E52">
        <w:trPr>
          <w:cantSplit/>
        </w:trPr>
        <w:tc>
          <w:tcPr>
            <w:tcW w:w="4010" w:type="dxa"/>
          </w:tcPr>
          <w:p w14:paraId="3B5E5131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C5D9473" w14:textId="77777777" w:rsidR="00037E52" w:rsidRPr="00EB3D1B" w:rsidRDefault="00E7755C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A31DCE">
              <w:rPr>
                <w:b/>
              </w:rPr>
              <w:t>.</w:t>
            </w:r>
          </w:p>
        </w:tc>
      </w:tr>
      <w:tr w:rsidR="00037E52" w:rsidRPr="004C23F4" w14:paraId="04A46469" w14:textId="77777777" w:rsidTr="00037E52">
        <w:trPr>
          <w:cantSplit/>
        </w:trPr>
        <w:tc>
          <w:tcPr>
            <w:tcW w:w="4010" w:type="dxa"/>
            <w:vAlign w:val="center"/>
          </w:tcPr>
          <w:p w14:paraId="4468EE82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892D93B" w14:textId="77777777" w:rsidR="00037E52" w:rsidRPr="00EB3D1B" w:rsidRDefault="00233998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 w:rsidRPr="00233998">
              <w:rPr>
                <w:b/>
                <w:vertAlign w:val="superscript"/>
              </w:rPr>
              <w:t>3</w:t>
            </w:r>
          </w:p>
        </w:tc>
      </w:tr>
      <w:tr w:rsidR="00AA785F" w:rsidRPr="004C23F4" w14:paraId="4A0AB141" w14:textId="77777777" w:rsidTr="000D0C54">
        <w:trPr>
          <w:cantSplit/>
        </w:trPr>
        <w:tc>
          <w:tcPr>
            <w:tcW w:w="9026" w:type="dxa"/>
            <w:gridSpan w:val="2"/>
            <w:vAlign w:val="center"/>
          </w:tcPr>
          <w:p w14:paraId="31ACB78F" w14:textId="77777777" w:rsidR="00AA785F" w:rsidRPr="00EB3D1B" w:rsidRDefault="00AA785F" w:rsidP="00037E5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EFFCC13113141A5930D6C54777FBFF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73EEF5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6FD50F" w14:textId="04E68237" w:rsidR="000D0C54" w:rsidRDefault="00E7755C" w:rsidP="000C139A">
      <w:pPr>
        <w:rPr>
          <w:rFonts w:cs="Arial"/>
        </w:rPr>
      </w:pPr>
      <w:r w:rsidRPr="00E7755C">
        <w:rPr>
          <w:rFonts w:cs="Arial"/>
        </w:rPr>
        <w:t xml:space="preserve">A TWA of </w:t>
      </w:r>
      <w:r>
        <w:rPr>
          <w:rFonts w:cs="Arial"/>
        </w:rPr>
        <w:t>0.</w:t>
      </w:r>
      <w:r w:rsidR="00533FD8">
        <w:rPr>
          <w:rFonts w:cs="Arial"/>
        </w:rPr>
        <w:t>1</w:t>
      </w:r>
      <w:r w:rsidRPr="00E7755C">
        <w:rPr>
          <w:rFonts w:cs="Arial"/>
        </w:rPr>
        <w:t xml:space="preserve"> mg/m</w:t>
      </w:r>
      <w:r w:rsidRPr="00E7755C">
        <w:rPr>
          <w:rFonts w:cs="Arial"/>
          <w:vertAlign w:val="superscript"/>
        </w:rPr>
        <w:t>3</w:t>
      </w:r>
      <w:r>
        <w:rPr>
          <w:rFonts w:cs="Arial"/>
        </w:rPr>
        <w:t xml:space="preserve"> is</w:t>
      </w:r>
      <w:r w:rsidRPr="00E7755C">
        <w:rPr>
          <w:rFonts w:cs="Arial"/>
        </w:rPr>
        <w:t xml:space="preserve"> </w:t>
      </w:r>
      <w:r>
        <w:rPr>
          <w:rFonts w:cs="Arial"/>
        </w:rPr>
        <w:t xml:space="preserve">recommended </w:t>
      </w:r>
      <w:r w:rsidRPr="00E7755C">
        <w:rPr>
          <w:rFonts w:cs="Arial"/>
        </w:rPr>
        <w:t xml:space="preserve">to protect for </w:t>
      </w:r>
      <w:r>
        <w:rPr>
          <w:rFonts w:cs="Arial"/>
        </w:rPr>
        <w:t xml:space="preserve">cholinergic </w:t>
      </w:r>
      <w:r w:rsidRPr="00E7755C">
        <w:rPr>
          <w:rFonts w:cs="Arial"/>
        </w:rPr>
        <w:t>effects in exposed workers</w:t>
      </w:r>
      <w:r w:rsidR="000D0C54">
        <w:rPr>
          <w:rFonts w:cs="Arial"/>
        </w:rPr>
        <w:t>.</w:t>
      </w:r>
    </w:p>
    <w:p w14:paraId="4A0523BF" w14:textId="53A7CCA8" w:rsidR="00533FD8" w:rsidRPr="004C23F4" w:rsidRDefault="00533FD8" w:rsidP="000C139A">
      <w:pPr>
        <w:rPr>
          <w:rFonts w:cs="Arial"/>
        </w:rPr>
      </w:pPr>
      <w:r w:rsidRPr="00533FD8">
        <w:rPr>
          <w:rFonts w:cs="Arial"/>
        </w:rPr>
        <w:t>Given the limited data available from the primary sources, it is recommended that a review of additional sources be conducted at the next scheduled review</w:t>
      </w:r>
      <w:r w:rsidR="000E3B95">
        <w:rPr>
          <w:rFonts w:cs="Arial"/>
        </w:rPr>
        <w:t>.</w:t>
      </w:r>
    </w:p>
    <w:p w14:paraId="314D8A1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398B8DF" w14:textId="0077896A" w:rsidR="0032765F" w:rsidRDefault="00293B4D" w:rsidP="006639B4">
      <w:pPr>
        <w:rPr>
          <w:rFonts w:cs="Arial"/>
        </w:rPr>
      </w:pPr>
      <w:r>
        <w:rPr>
          <w:rFonts w:cs="Arial"/>
        </w:rPr>
        <w:t>Parathion is a broad-spectrum pesticide</w:t>
      </w:r>
      <w:r w:rsidR="00F12624">
        <w:rPr>
          <w:rFonts w:cs="Arial"/>
        </w:rPr>
        <w:t>. However, its</w:t>
      </w:r>
      <w:r>
        <w:rPr>
          <w:rFonts w:cs="Arial"/>
        </w:rPr>
        <w:t xml:space="preserve"> use</w:t>
      </w:r>
      <w:r w:rsidR="0020575B">
        <w:rPr>
          <w:rFonts w:cs="Arial"/>
        </w:rPr>
        <w:t xml:space="preserve"> </w:t>
      </w:r>
      <w:r w:rsidR="00F12624">
        <w:rPr>
          <w:rFonts w:cs="Arial"/>
        </w:rPr>
        <w:t xml:space="preserve">is </w:t>
      </w:r>
      <w:r w:rsidR="0020575B">
        <w:rPr>
          <w:rFonts w:cs="Arial"/>
        </w:rPr>
        <w:t>now banned</w:t>
      </w:r>
      <w:r>
        <w:rPr>
          <w:rFonts w:cs="Arial"/>
        </w:rPr>
        <w:t xml:space="preserve"> in </w:t>
      </w:r>
      <w:r w:rsidR="00A31DCE">
        <w:rPr>
          <w:rFonts w:cs="Arial"/>
        </w:rPr>
        <w:t>Australia</w:t>
      </w:r>
      <w:r w:rsidR="0032765F">
        <w:rPr>
          <w:rFonts w:cs="Arial"/>
        </w:rPr>
        <w:t>.</w:t>
      </w:r>
      <w:r w:rsidR="00E269B5">
        <w:rPr>
          <w:rFonts w:cs="Arial"/>
        </w:rPr>
        <w:t xml:space="preserve"> </w:t>
      </w:r>
      <w:r w:rsidR="0032765F">
        <w:rPr>
          <w:rFonts w:cs="Arial"/>
        </w:rPr>
        <w:t>The</w:t>
      </w:r>
      <w:r w:rsidR="00B2772B">
        <w:rPr>
          <w:rFonts w:cs="Arial"/>
        </w:rPr>
        <w:t xml:space="preserve"> related methyl parathion</w:t>
      </w:r>
      <w:r w:rsidR="0020575B">
        <w:rPr>
          <w:rFonts w:cs="Arial"/>
        </w:rPr>
        <w:t xml:space="preserve"> (CAS 298-00-0)</w:t>
      </w:r>
      <w:r w:rsidR="00B2772B">
        <w:rPr>
          <w:rFonts w:cs="Arial"/>
        </w:rPr>
        <w:t xml:space="preserve"> </w:t>
      </w:r>
      <w:r w:rsidR="0020575B">
        <w:rPr>
          <w:rFonts w:cs="Arial"/>
        </w:rPr>
        <w:t>remains</w:t>
      </w:r>
      <w:r w:rsidR="00B2772B">
        <w:rPr>
          <w:rFonts w:cs="Arial"/>
        </w:rPr>
        <w:t xml:space="preserve"> in </w:t>
      </w:r>
      <w:r w:rsidR="0020575B">
        <w:rPr>
          <w:rFonts w:cs="Arial"/>
        </w:rPr>
        <w:t>restricted</w:t>
      </w:r>
      <w:r w:rsidR="00B2772B">
        <w:rPr>
          <w:rFonts w:cs="Arial"/>
        </w:rPr>
        <w:t xml:space="preserve"> use</w:t>
      </w:r>
      <w:r>
        <w:rPr>
          <w:rFonts w:cs="Arial"/>
        </w:rPr>
        <w:t xml:space="preserve">. </w:t>
      </w:r>
    </w:p>
    <w:p w14:paraId="06B7BF45" w14:textId="6F8B030F" w:rsidR="006639B4" w:rsidRDefault="00293B4D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32765F">
        <w:rPr>
          <w:rFonts w:cs="Arial"/>
        </w:rPr>
        <w:t xml:space="preserve">of exposure </w:t>
      </w:r>
      <w:r>
        <w:rPr>
          <w:rFonts w:cs="Arial"/>
        </w:rPr>
        <w:t>relate to cholinesterase (</w:t>
      </w:r>
      <w:proofErr w:type="spellStart"/>
      <w:r>
        <w:rPr>
          <w:rFonts w:cs="Arial"/>
        </w:rPr>
        <w:t>ChE</w:t>
      </w:r>
      <w:proofErr w:type="spellEnd"/>
      <w:r>
        <w:rPr>
          <w:rFonts w:cs="Arial"/>
        </w:rPr>
        <w:t>) inhibition</w:t>
      </w:r>
      <w:r w:rsidR="003B006D">
        <w:rPr>
          <w:rFonts w:cs="Arial"/>
        </w:rPr>
        <w:t>,</w:t>
      </w:r>
      <w:r>
        <w:rPr>
          <w:rFonts w:cs="Arial"/>
        </w:rPr>
        <w:t xml:space="preserve"> measured by red blood cell (RB</w:t>
      </w:r>
      <w:r w:rsidR="00EE57F4">
        <w:rPr>
          <w:rFonts w:cs="Arial"/>
        </w:rPr>
        <w:t xml:space="preserve">C) </w:t>
      </w:r>
      <w:proofErr w:type="spellStart"/>
      <w:r w:rsidR="00EE57F4">
        <w:rPr>
          <w:rFonts w:cs="Arial"/>
        </w:rPr>
        <w:t>ChE</w:t>
      </w:r>
      <w:proofErr w:type="spellEnd"/>
      <w:r w:rsidR="00EE57F4">
        <w:rPr>
          <w:rFonts w:cs="Arial"/>
        </w:rPr>
        <w:t xml:space="preserve"> activity</w:t>
      </w:r>
      <w:r w:rsidR="003B006D">
        <w:rPr>
          <w:rFonts w:cs="Arial"/>
        </w:rPr>
        <w:t>; and</w:t>
      </w:r>
      <w:r>
        <w:rPr>
          <w:rFonts w:cs="Arial"/>
        </w:rPr>
        <w:t xml:space="preserve"> include</w:t>
      </w:r>
      <w:r w:rsidR="00956EEB">
        <w:rPr>
          <w:rFonts w:cs="Arial"/>
        </w:rPr>
        <w:t>s</w:t>
      </w:r>
      <w:r>
        <w:rPr>
          <w:rFonts w:cs="Arial"/>
        </w:rPr>
        <w:t xml:space="preserve"> typical cholinergic </w:t>
      </w:r>
      <w:r w:rsidR="00956EEB">
        <w:rPr>
          <w:rFonts w:cs="Arial"/>
        </w:rPr>
        <w:t xml:space="preserve">inhibition </w:t>
      </w:r>
      <w:r>
        <w:rPr>
          <w:rFonts w:cs="Arial"/>
        </w:rPr>
        <w:t xml:space="preserve">symptoms such as headache, nausea, muscular fibrillations and coma (ACGIH, 2018). </w:t>
      </w:r>
    </w:p>
    <w:p w14:paraId="523179E8" w14:textId="034E876F" w:rsidR="00293B4D" w:rsidRPr="00265787" w:rsidRDefault="00293B4D" w:rsidP="006639B4">
      <w:pPr>
        <w:rPr>
          <w:rFonts w:cs="Arial"/>
        </w:rPr>
      </w:pPr>
      <w:r>
        <w:rPr>
          <w:rFonts w:cs="Arial"/>
        </w:rPr>
        <w:t>Inhalational exposure</w:t>
      </w:r>
      <w:r w:rsidR="00AA785F">
        <w:rPr>
          <w:rFonts w:cs="Arial"/>
        </w:rPr>
        <w:t xml:space="preserve"> data</w:t>
      </w:r>
      <w:r>
        <w:rPr>
          <w:rFonts w:cs="Arial"/>
        </w:rPr>
        <w:t xml:space="preserve"> for both humans and animals are limited. </w:t>
      </w:r>
      <w:r w:rsidR="00EE14F0">
        <w:rPr>
          <w:rFonts w:cs="Arial"/>
        </w:rPr>
        <w:t>A NOAEL of 0.05 mg/kg</w:t>
      </w:r>
      <w:r w:rsidR="00A54B5D">
        <w:rPr>
          <w:rFonts w:cs="Arial"/>
        </w:rPr>
        <w:t>/day</w:t>
      </w:r>
      <w:r w:rsidR="00EE14F0">
        <w:rPr>
          <w:rFonts w:cs="Arial"/>
        </w:rPr>
        <w:t xml:space="preserve"> for RBC </w:t>
      </w:r>
      <w:proofErr w:type="spellStart"/>
      <w:r w:rsidR="00EE14F0">
        <w:rPr>
          <w:rFonts w:cs="Arial"/>
        </w:rPr>
        <w:t>ChE</w:t>
      </w:r>
      <w:proofErr w:type="spellEnd"/>
      <w:r w:rsidR="00EE14F0">
        <w:rPr>
          <w:rFonts w:cs="Arial"/>
        </w:rPr>
        <w:t xml:space="preserve"> depression was reported in repeat oral dose study</w:t>
      </w:r>
      <w:r w:rsidR="00E269B5">
        <w:rPr>
          <w:rFonts w:cs="Arial"/>
        </w:rPr>
        <w:t xml:space="preserve"> (one volunteer)</w:t>
      </w:r>
      <w:r w:rsidR="00EE14F0">
        <w:rPr>
          <w:rFonts w:cs="Arial"/>
        </w:rPr>
        <w:t xml:space="preserve">, which is consistent with oral dose data obtained from animal </w:t>
      </w:r>
      <w:r w:rsidR="00E7755C">
        <w:rPr>
          <w:rFonts w:cs="Arial"/>
        </w:rPr>
        <w:t xml:space="preserve">feeding </w:t>
      </w:r>
      <w:r w:rsidR="00EE14F0">
        <w:rPr>
          <w:rFonts w:cs="Arial"/>
        </w:rPr>
        <w:t xml:space="preserve">studies (ACGIH, 2018). </w:t>
      </w:r>
      <w:r w:rsidR="00AA785F">
        <w:rPr>
          <w:rFonts w:cs="Arial"/>
        </w:rPr>
        <w:t>An inhalational equivalent of this NOAEL in humans is 0.35 mg/m</w:t>
      </w:r>
      <w:r w:rsidR="00AA785F">
        <w:rPr>
          <w:rFonts w:cs="Arial"/>
          <w:vertAlign w:val="superscript"/>
        </w:rPr>
        <w:t>3</w:t>
      </w:r>
      <w:r w:rsidR="00AA785F">
        <w:rPr>
          <w:rFonts w:cs="Arial"/>
        </w:rPr>
        <w:t>. However, air concentrations between 0.2 and 0.8 mg/m</w:t>
      </w:r>
      <w:r w:rsidR="00AA785F">
        <w:rPr>
          <w:rFonts w:cs="Arial"/>
          <w:vertAlign w:val="superscript"/>
        </w:rPr>
        <w:t>3</w:t>
      </w:r>
      <w:r w:rsidR="00AA785F">
        <w:rPr>
          <w:rFonts w:cs="Arial"/>
        </w:rPr>
        <w:t xml:space="preserve"> </w:t>
      </w:r>
      <w:r w:rsidR="00A54B5D">
        <w:rPr>
          <w:rFonts w:cs="Arial"/>
        </w:rPr>
        <w:t>at</w:t>
      </w:r>
      <w:r w:rsidR="00AA785F">
        <w:rPr>
          <w:rFonts w:cs="Arial"/>
        </w:rPr>
        <w:t xml:space="preserve"> the workplace are associated with RBC </w:t>
      </w:r>
      <w:proofErr w:type="spellStart"/>
      <w:r w:rsidR="00AA785F">
        <w:rPr>
          <w:rFonts w:cs="Arial"/>
        </w:rPr>
        <w:t>ChE</w:t>
      </w:r>
      <w:proofErr w:type="spellEnd"/>
      <w:r w:rsidR="00AA785F">
        <w:rPr>
          <w:rFonts w:cs="Arial"/>
        </w:rPr>
        <w:t xml:space="preserve"> depression (ACGIH, 2018).</w:t>
      </w:r>
      <w:r w:rsidR="00265787">
        <w:rPr>
          <w:rFonts w:cs="Arial"/>
        </w:rPr>
        <w:t xml:space="preserve"> </w:t>
      </w:r>
      <w:r w:rsidR="003475BA">
        <w:rPr>
          <w:rFonts w:cs="Arial"/>
        </w:rPr>
        <w:t>Increase</w:t>
      </w:r>
      <w:r w:rsidR="004D4E77">
        <w:rPr>
          <w:rFonts w:cs="Arial"/>
        </w:rPr>
        <w:t>d</w:t>
      </w:r>
      <w:r w:rsidR="003475BA">
        <w:rPr>
          <w:rFonts w:cs="Arial"/>
        </w:rPr>
        <w:t xml:space="preserve"> incidence of a</w:t>
      </w:r>
      <w:r w:rsidR="00265787">
        <w:rPr>
          <w:rFonts w:cs="Arial"/>
        </w:rPr>
        <w:t xml:space="preserve">drenal adenomas and carcinomas is </w:t>
      </w:r>
      <w:r w:rsidR="00CD52D3">
        <w:rPr>
          <w:rFonts w:cs="Arial"/>
        </w:rPr>
        <w:t>observed in</w:t>
      </w:r>
      <w:r w:rsidR="00265787">
        <w:rPr>
          <w:rFonts w:cs="Arial"/>
        </w:rPr>
        <w:t xml:space="preserve"> chronically fed rats (ACGIH, 2018); </w:t>
      </w:r>
      <w:proofErr w:type="spellStart"/>
      <w:r w:rsidR="00265787">
        <w:rPr>
          <w:rFonts w:cs="Arial"/>
        </w:rPr>
        <w:t>clastogenicity</w:t>
      </w:r>
      <w:proofErr w:type="spellEnd"/>
      <w:r w:rsidR="00265787">
        <w:rPr>
          <w:rFonts w:cs="Arial"/>
        </w:rPr>
        <w:t xml:space="preserve"> and mutagenicity are evidenced in occupationally exposed workers and human cell cultures, respectively (IARC, 2012).</w:t>
      </w:r>
    </w:p>
    <w:p w14:paraId="4F1E89D4" w14:textId="4F3EF76E" w:rsidR="00AA785F" w:rsidRDefault="00A873C6" w:rsidP="006639B4">
      <w:pPr>
        <w:rPr>
          <w:rFonts w:cs="Arial"/>
        </w:rPr>
      </w:pPr>
      <w:r>
        <w:rPr>
          <w:rFonts w:cs="Arial"/>
        </w:rPr>
        <w:t xml:space="preserve">Noting the insufficient inhalation data and </w:t>
      </w:r>
      <w:r w:rsidRPr="00A873C6">
        <w:rPr>
          <w:rFonts w:cs="Arial"/>
        </w:rPr>
        <w:t>inconsistencies in the primary sources regarding the occupational exposure limits</w:t>
      </w:r>
      <w:r w:rsidR="00533FD8">
        <w:rPr>
          <w:rFonts w:cs="Arial"/>
        </w:rPr>
        <w:t>, the</w:t>
      </w:r>
      <w:r w:rsidR="00AA785F">
        <w:rPr>
          <w:rFonts w:cs="Arial"/>
        </w:rPr>
        <w:t xml:space="preserve"> TWA of 0.</w:t>
      </w:r>
      <w:r w:rsidR="00533FD8">
        <w:rPr>
          <w:rFonts w:cs="Arial"/>
        </w:rPr>
        <w:t>1</w:t>
      </w:r>
      <w:r w:rsidR="00AA785F">
        <w:rPr>
          <w:rFonts w:cs="Arial"/>
        </w:rPr>
        <w:t xml:space="preserve"> mg/m</w:t>
      </w:r>
      <w:r w:rsidR="00AA785F">
        <w:rPr>
          <w:rFonts w:cs="Arial"/>
          <w:vertAlign w:val="superscript"/>
        </w:rPr>
        <w:t>3</w:t>
      </w:r>
      <w:r w:rsidR="00AA785F">
        <w:rPr>
          <w:rFonts w:cs="Arial"/>
        </w:rPr>
        <w:t xml:space="preserve"> </w:t>
      </w:r>
      <w:r w:rsidR="00533FD8">
        <w:rPr>
          <w:rFonts w:cs="Arial"/>
        </w:rPr>
        <w:t>is recommended to be retained. Th</w:t>
      </w:r>
      <w:r w:rsidR="003B006D">
        <w:rPr>
          <w:rFonts w:cs="Arial"/>
        </w:rPr>
        <w:t>e recommended</w:t>
      </w:r>
      <w:r w:rsidR="00533FD8">
        <w:rPr>
          <w:rFonts w:cs="Arial"/>
        </w:rPr>
        <w:t xml:space="preserve"> TWA is expected to</w:t>
      </w:r>
      <w:r w:rsidR="00AA785F">
        <w:rPr>
          <w:rFonts w:cs="Arial"/>
        </w:rPr>
        <w:t xml:space="preserve"> </w:t>
      </w:r>
      <w:r w:rsidR="00533FD8">
        <w:rPr>
          <w:rFonts w:cs="Arial"/>
        </w:rPr>
        <w:t>minimise the risk</w:t>
      </w:r>
      <w:r w:rsidR="00AA785F">
        <w:rPr>
          <w:rFonts w:cs="Arial"/>
        </w:rPr>
        <w:t xml:space="preserve"> </w:t>
      </w:r>
      <w:r w:rsidR="00EE57F4">
        <w:rPr>
          <w:rFonts w:cs="Arial"/>
        </w:rPr>
        <w:t>for</w:t>
      </w:r>
      <w:r w:rsidR="00AA785F">
        <w:rPr>
          <w:rFonts w:cs="Arial"/>
        </w:rPr>
        <w:t xml:space="preserve"> RBC </w:t>
      </w:r>
      <w:proofErr w:type="spellStart"/>
      <w:r w:rsidR="00AA785F">
        <w:rPr>
          <w:rFonts w:cs="Arial"/>
        </w:rPr>
        <w:t>ChE</w:t>
      </w:r>
      <w:proofErr w:type="spellEnd"/>
      <w:r w:rsidR="00AA785F">
        <w:rPr>
          <w:rFonts w:cs="Arial"/>
        </w:rPr>
        <w:t xml:space="preserve"> depression and all subsequent </w:t>
      </w:r>
      <w:r w:rsidR="00AA785F">
        <w:rPr>
          <w:rFonts w:cs="Arial"/>
        </w:rPr>
        <w:lastRenderedPageBreak/>
        <w:t>cholinergic symptoms</w:t>
      </w:r>
      <w:r>
        <w:rPr>
          <w:rFonts w:cs="Arial"/>
        </w:rPr>
        <w:t>. H</w:t>
      </w:r>
      <w:r w:rsidR="00533FD8">
        <w:rPr>
          <w:rFonts w:cs="Arial"/>
        </w:rPr>
        <w:t>owever, due to the limited data it</w:t>
      </w:r>
      <w:r w:rsidR="000E3B95">
        <w:rPr>
          <w:rFonts w:cs="Arial"/>
        </w:rPr>
        <w:t xml:space="preserve"> </w:t>
      </w:r>
      <w:r w:rsidR="00533FD8" w:rsidRPr="00533FD8">
        <w:rPr>
          <w:rFonts w:cs="Arial"/>
        </w:rPr>
        <w:t>is recommended that a review of additional sources be conducted at the next scheduled review</w:t>
      </w:r>
      <w:r w:rsidR="000E3B95">
        <w:rPr>
          <w:rFonts w:cs="Arial"/>
        </w:rPr>
        <w:t>.</w:t>
      </w:r>
    </w:p>
    <w:p w14:paraId="7C79A8C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24C7A10" w14:textId="4255D263" w:rsidR="008E4F1F" w:rsidRPr="00E7755C" w:rsidRDefault="008E4F1F" w:rsidP="008E4F1F">
      <w:pPr>
        <w:rPr>
          <w:rFonts w:cs="Arial"/>
        </w:rPr>
      </w:pPr>
      <w:r w:rsidRPr="00E7755C">
        <w:rPr>
          <w:rFonts w:cs="Arial"/>
        </w:rPr>
        <w:t>Not classified as a carcinogen according to the Globally Harmonized System of</w:t>
      </w:r>
      <w:r w:rsidR="00A31DCE">
        <w:rPr>
          <w:rFonts w:cs="Arial"/>
        </w:rPr>
        <w:t xml:space="preserve"> Classification and Labelling of</w:t>
      </w:r>
      <w:r w:rsidRPr="00E7755C">
        <w:rPr>
          <w:rFonts w:cs="Arial"/>
        </w:rPr>
        <w:t xml:space="preserve"> Chemicals (GHS). </w:t>
      </w:r>
      <w:r w:rsidR="00A54B5D">
        <w:rPr>
          <w:rFonts w:cs="Arial"/>
        </w:rPr>
        <w:t xml:space="preserve">Inconsistencies in carcinogenicity notations exist in the available source material. Parathion is not classifiable as a human carcinogen according to ACGIH (2018) based on the weight of evidence of available chronic animal feeding studies. IARC (2017) evaluated the compound as a possible human carcinogen based on evidence for carcinogenicity in animals in additional studies and evidence for genotoxicity in humans and animals. A review of the available carcinogenicity classification is recommended. </w:t>
      </w:r>
    </w:p>
    <w:p w14:paraId="2AF39241" w14:textId="77777777" w:rsidR="008E4F1F" w:rsidRPr="00E7755C" w:rsidRDefault="008E4F1F" w:rsidP="008E4F1F">
      <w:pPr>
        <w:rPr>
          <w:rFonts w:cs="Arial"/>
        </w:rPr>
      </w:pPr>
      <w:r w:rsidRPr="00E7755C">
        <w:rPr>
          <w:rFonts w:cs="Arial"/>
        </w:rPr>
        <w:t xml:space="preserve">Not classified as a skin </w:t>
      </w:r>
      <w:r w:rsidR="00A31DCE" w:rsidRPr="00E7755C">
        <w:rPr>
          <w:rFonts w:cs="Arial"/>
        </w:rPr>
        <w:t xml:space="preserve">sensitiser </w:t>
      </w:r>
      <w:r w:rsidRPr="00E7755C">
        <w:rPr>
          <w:rFonts w:cs="Arial"/>
        </w:rPr>
        <w:t>or respiratory sensitiser according to the GHS.</w:t>
      </w:r>
    </w:p>
    <w:p w14:paraId="5D3E844E" w14:textId="144A871C" w:rsidR="0025734A" w:rsidRPr="00E7755C" w:rsidRDefault="00E7755C">
      <w:pPr>
        <w:rPr>
          <w:rFonts w:cs="Arial"/>
        </w:rPr>
      </w:pPr>
      <w:r w:rsidRPr="00E7755C">
        <w:rPr>
          <w:rFonts w:cs="Arial"/>
        </w:rPr>
        <w:t xml:space="preserve">A skin notation is </w:t>
      </w:r>
      <w:r w:rsidR="00A54B5D">
        <w:rPr>
          <w:rFonts w:cs="Arial"/>
        </w:rPr>
        <w:t>recommend</w:t>
      </w:r>
      <w:r w:rsidRPr="00E7755C">
        <w:rPr>
          <w:rFonts w:cs="Arial"/>
        </w:rPr>
        <w:t xml:space="preserve">ed based on evidence for rapid dermal absorption and reports of acute poisonings </w:t>
      </w:r>
      <w:r w:rsidR="00A54B5D">
        <w:rPr>
          <w:rFonts w:cs="Arial"/>
        </w:rPr>
        <w:t>at</w:t>
      </w:r>
      <w:r w:rsidRPr="00E7755C">
        <w:rPr>
          <w:rFonts w:cs="Arial"/>
        </w:rPr>
        <w:t xml:space="preserve"> the workplace.</w:t>
      </w:r>
    </w:p>
    <w:p w14:paraId="4266831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C10D7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62F23F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C5FD2A9" w14:textId="77777777" w:rsidTr="00E93F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0" w:type="pct"/>
            <w:shd w:val="clear" w:color="auto" w:fill="BFBFBF" w:themeFill="background1" w:themeFillShade="BF"/>
            <w:vAlign w:val="center"/>
          </w:tcPr>
          <w:p w14:paraId="298487F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660C50A" w14:textId="77777777" w:rsidTr="00E93F3F">
        <w:tc>
          <w:tcPr>
            <w:tcW w:w="4990" w:type="pct"/>
            <w:gridSpan w:val="2"/>
            <w:shd w:val="clear" w:color="auto" w:fill="F2F2F2" w:themeFill="background1" w:themeFillShade="F2"/>
          </w:tcPr>
          <w:p w14:paraId="63217A61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9377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93774">
                  <w:t>TWA: 0.1 mg/m</w:t>
                </w:r>
                <w:r w:rsidR="00793774" w:rsidRPr="0079377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BF4984B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1973D66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E76619F" w14:textId="77777777" w:rsidTr="00E93F3F">
        <w:trPr>
          <w:gridAfter w:val="1"/>
          <w:wAfter w:w="8" w:type="pct"/>
        </w:trPr>
        <w:tc>
          <w:tcPr>
            <w:tcW w:w="4990" w:type="pct"/>
            <w:shd w:val="clear" w:color="auto" w:fill="F2F2F2" w:themeFill="background1" w:themeFillShade="F2"/>
          </w:tcPr>
          <w:p w14:paraId="4183202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93774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054966832"/>
                    <w:placeholder>
                      <w:docPart w:val="5842CEA8320E468EAB78636D84F1A620"/>
                    </w:placeholder>
                  </w:sdtPr>
                  <w:sdtEndPr/>
                  <w:sdtContent>
                    <w:r w:rsidR="00793774">
                      <w:t>TLV-TWA: 0.05 mg/m</w:t>
                    </w:r>
                    <w:r w:rsidR="00793774" w:rsidRPr="00793774">
                      <w:rPr>
                        <w:vertAlign w:val="superscript"/>
                      </w:rPr>
                      <w:t>3</w:t>
                    </w:r>
                    <w:r w:rsidR="006C0076">
                      <w:rPr>
                        <w:vertAlign w:val="superscript"/>
                      </w:rPr>
                      <w:t xml:space="preserve"> </w:t>
                    </w:r>
                    <w:r w:rsidR="006C0076">
                      <w:t>(Inhalable aerosol and vapor)</w:t>
                    </w:r>
                  </w:sdtContent>
                </w:sdt>
              </w:sdtContent>
            </w:sdt>
          </w:p>
        </w:tc>
      </w:tr>
      <w:tr w:rsidR="00C978F0" w:rsidRPr="00DA352E" w14:paraId="5BAB711A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7753351E" w14:textId="77777777" w:rsidR="00A54B5D" w:rsidRDefault="00C85DE3" w:rsidP="003365A5">
            <w:pPr>
              <w:pStyle w:val="Tabletextprimarysource"/>
            </w:pPr>
            <w:r>
              <w:t xml:space="preserve">TLV-TWA intended to protect for cholinergic effects. </w:t>
            </w:r>
          </w:p>
          <w:p w14:paraId="5A0CD819" w14:textId="77777777" w:rsidR="00C85DE3" w:rsidRDefault="00C85DE3" w:rsidP="003365A5">
            <w:pPr>
              <w:pStyle w:val="Tabletextprimarysource"/>
            </w:pPr>
            <w:r>
              <w:t>Summary of data:</w:t>
            </w:r>
          </w:p>
          <w:p w14:paraId="39CB14D1" w14:textId="43014977" w:rsidR="00EF354A" w:rsidRPr="00F74E44" w:rsidRDefault="003C3838" w:rsidP="003365A5">
            <w:pPr>
              <w:pStyle w:val="Tabletextprimarysource"/>
            </w:pPr>
            <w:r>
              <w:t xml:space="preserve">TLV-TWA derived from </w:t>
            </w:r>
            <w:r w:rsidR="00F74E44">
              <w:t>NOAEL of 0.05 mg/kg/d and L</w:t>
            </w:r>
            <w:r>
              <w:t xml:space="preserve">OAEL </w:t>
            </w:r>
            <w:r w:rsidR="00F74E44">
              <w:t xml:space="preserve">of 0.1 mg/kg/d for RBC </w:t>
            </w:r>
            <w:proofErr w:type="spellStart"/>
            <w:r w:rsidR="00F74E44">
              <w:t>ChE</w:t>
            </w:r>
            <w:proofErr w:type="spellEnd"/>
            <w:r w:rsidR="00F74E44">
              <w:t xml:space="preserve"> inhibition reported in volunteer oral dose studies. Conversion of the 0.05 mg/kg/d oral dose to an inhalational equivalent affords 0.35 mg/m</w:t>
            </w:r>
            <w:r w:rsidR="00F74E44">
              <w:rPr>
                <w:vertAlign w:val="superscript"/>
              </w:rPr>
              <w:t>3</w:t>
            </w:r>
            <w:r w:rsidR="00F74E44">
              <w:t xml:space="preserve">. </w:t>
            </w:r>
            <w:r w:rsidR="00A54B5D">
              <w:t>W</w:t>
            </w:r>
            <w:r w:rsidR="00F74E44">
              <w:t>orkplace exposures at 0.2–0.8 mg/m</w:t>
            </w:r>
            <w:r w:rsidR="00F74E44">
              <w:rPr>
                <w:vertAlign w:val="superscript"/>
              </w:rPr>
              <w:t>3</w:t>
            </w:r>
            <w:r w:rsidR="00F74E44">
              <w:t xml:space="preserve"> were associated with RBC </w:t>
            </w:r>
            <w:proofErr w:type="spellStart"/>
            <w:r w:rsidR="00F74E44">
              <w:t>ChE</w:t>
            </w:r>
            <w:proofErr w:type="spellEnd"/>
            <w:r w:rsidR="00F74E44">
              <w:t xml:space="preserve"> inhibition; TLV-TWA of 0.05 mg/m</w:t>
            </w:r>
            <w:r w:rsidR="00F74E44">
              <w:rPr>
                <w:vertAlign w:val="superscript"/>
              </w:rPr>
              <w:t>3</w:t>
            </w:r>
            <w:r w:rsidR="00F74E44">
              <w:t xml:space="preserve"> therefore</w:t>
            </w:r>
            <w:r w:rsidR="003B006D">
              <w:t>,</w:t>
            </w:r>
            <w:r w:rsidR="00F74E44">
              <w:t xml:space="preserve"> considered protective.</w:t>
            </w:r>
          </w:p>
          <w:p w14:paraId="3EEA78AF" w14:textId="77777777" w:rsidR="00456580" w:rsidRDefault="00456580" w:rsidP="003365A5">
            <w:pPr>
              <w:pStyle w:val="Tabletextprimarysource"/>
            </w:pPr>
            <w:r>
              <w:t>Human data:</w:t>
            </w:r>
          </w:p>
          <w:p w14:paraId="45FE6C8D" w14:textId="5CEF3A97" w:rsidR="00A54B5D" w:rsidRDefault="004A42ED" w:rsidP="000D0C54">
            <w:pPr>
              <w:pStyle w:val="Tabletextprimarysource"/>
              <w:numPr>
                <w:ilvl w:val="0"/>
                <w:numId w:val="2"/>
              </w:numPr>
            </w:pPr>
            <w:r>
              <w:t>Oral and dermal p</w:t>
            </w:r>
            <w:r w:rsidR="000A29CC">
              <w:t>oisoning results in typical cholinergic symptoms progressing from hea</w:t>
            </w:r>
            <w:r w:rsidR="00BD6E0A">
              <w:t>dache, nausea, abdominal pain, miosis, hyperactive bowels</w:t>
            </w:r>
            <w:r w:rsidR="00A54B5D">
              <w:t xml:space="preserve"> and </w:t>
            </w:r>
            <w:r w:rsidR="00BD6E0A">
              <w:t>convulsions, to coma</w:t>
            </w:r>
            <w:r w:rsidR="00C23E43">
              <w:t>:</w:t>
            </w:r>
          </w:p>
          <w:p w14:paraId="72E7B1FE" w14:textId="77777777" w:rsidR="00A54B5D" w:rsidRDefault="00BD6E0A" w:rsidP="00A54B5D">
            <w:pPr>
              <w:pStyle w:val="Tabletextprimarysource"/>
              <w:numPr>
                <w:ilvl w:val="0"/>
                <w:numId w:val="4"/>
              </w:numPr>
            </w:pPr>
            <w:r>
              <w:t>death occurs from respiratory arrest</w:t>
            </w:r>
          </w:p>
          <w:p w14:paraId="4424947C" w14:textId="575941A9" w:rsidR="000A29CC" w:rsidRDefault="00BD6E0A" w:rsidP="00A54B5D">
            <w:pPr>
              <w:pStyle w:val="Tabletextprimarysource"/>
              <w:numPr>
                <w:ilvl w:val="0"/>
                <w:numId w:val="4"/>
              </w:numPr>
            </w:pPr>
            <w:r>
              <w:t>high oral doses cause death in &lt;5 min</w:t>
            </w:r>
          </w:p>
          <w:p w14:paraId="4A613AC1" w14:textId="77777777" w:rsidR="00456580" w:rsidRDefault="00D47C04" w:rsidP="0045658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46% </w:t>
            </w:r>
            <w:r w:rsidR="00B17F56">
              <w:t>of iv dose (amount not specified) excreted in urine in 120 h, elimination half-life: 8 h</w:t>
            </w:r>
          </w:p>
          <w:p w14:paraId="0F17D290" w14:textId="27D38AAF" w:rsidR="00B17F56" w:rsidRDefault="004B6128" w:rsidP="00456580">
            <w:pPr>
              <w:pStyle w:val="Tabletextprimarysource"/>
              <w:numPr>
                <w:ilvl w:val="0"/>
                <w:numId w:val="2"/>
              </w:numPr>
            </w:pPr>
            <w:r>
              <w:t>Dermal doses absorbed 20–30% from emulsion, 0.1–0.2% from absorbent pad, and 10% from acetone solution in volunteer study (300 min)</w:t>
            </w:r>
          </w:p>
          <w:p w14:paraId="1FF586A0" w14:textId="77777777" w:rsidR="004B6128" w:rsidRDefault="00BD6E0A" w:rsidP="0045658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Depressed RBC </w:t>
            </w:r>
            <w:proofErr w:type="spellStart"/>
            <w:r>
              <w:t>ChE</w:t>
            </w:r>
            <w:proofErr w:type="spellEnd"/>
            <w:r>
              <w:t xml:space="preserve"> activity </w:t>
            </w:r>
            <w:r w:rsidR="004A42ED">
              <w:t xml:space="preserve">in </w:t>
            </w:r>
            <w:r>
              <w:t>production workers (n=13) at 0.2–0.8 mg/m</w:t>
            </w:r>
            <w:r>
              <w:rPr>
                <w:vertAlign w:val="superscript"/>
              </w:rPr>
              <w:t>3</w:t>
            </w:r>
            <w:r>
              <w:t xml:space="preserve">, RBC </w:t>
            </w:r>
            <w:proofErr w:type="spellStart"/>
            <w:r>
              <w:t>ChE</w:t>
            </w:r>
            <w:proofErr w:type="spellEnd"/>
            <w:r>
              <w:t xml:space="preserve"> levels reverted within 5 </w:t>
            </w:r>
            <w:proofErr w:type="spellStart"/>
            <w:r>
              <w:t>mo</w:t>
            </w:r>
            <w:proofErr w:type="spellEnd"/>
            <w:r>
              <w:t xml:space="preserve"> of cessation</w:t>
            </w:r>
          </w:p>
          <w:p w14:paraId="293A7753" w14:textId="77777777" w:rsidR="00BD6E0A" w:rsidRDefault="00BD6E0A" w:rsidP="0045658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RBC </w:t>
            </w:r>
            <w:proofErr w:type="spellStart"/>
            <w:r>
              <w:t>ChE</w:t>
            </w:r>
            <w:proofErr w:type="spellEnd"/>
            <w:r>
              <w:t xml:space="preserve"> activity reduced to 30–50% of baseline levels in exposed pilots and field workers</w:t>
            </w:r>
          </w:p>
          <w:p w14:paraId="430084C4" w14:textId="20417CAD" w:rsidR="003C3838" w:rsidRDefault="003C3838" w:rsidP="0045658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clinical cholinergic symptoms but </w:t>
            </w:r>
            <w:proofErr w:type="spellStart"/>
            <w:r>
              <w:t>ChE</w:t>
            </w:r>
            <w:proofErr w:type="spellEnd"/>
            <w:r>
              <w:t xml:space="preserve"> inhibition reported in several repeat oral dose studies with volunteers</w:t>
            </w:r>
            <w:r w:rsidR="00EE57F4">
              <w:t>:</w:t>
            </w:r>
          </w:p>
          <w:p w14:paraId="05F23656" w14:textId="77777777" w:rsidR="003C3838" w:rsidRDefault="003C3838" w:rsidP="00A54B5D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 xml:space="preserve">no decreases in </w:t>
            </w:r>
            <w:proofErr w:type="spellStart"/>
            <w:r>
              <w:t>ChE</w:t>
            </w:r>
            <w:proofErr w:type="spellEnd"/>
            <w:r>
              <w:t xml:space="preserve"> activity at 0.003–0.05 mg/kg/d (males, n=10, 3 d)</w:t>
            </w:r>
          </w:p>
          <w:p w14:paraId="381B40A2" w14:textId="77777777" w:rsidR="003C3838" w:rsidRDefault="003C3838" w:rsidP="00A54B5D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50% (plasma) decrease reported at 0.1 mg/kg/d with 15 d (males, n=5, 30 d)</w:t>
            </w:r>
          </w:p>
          <w:p w14:paraId="088B53F5" w14:textId="77777777" w:rsidR="003C3838" w:rsidRDefault="003C3838" w:rsidP="00A54B5D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16% (RBC) and 27% (plasma) decrease at 0.1 mg/kg/d (females, 5 d/</w:t>
            </w:r>
            <w:proofErr w:type="spellStart"/>
            <w:r>
              <w:t>wk</w:t>
            </w:r>
            <w:proofErr w:type="spellEnd"/>
            <w:r>
              <w:t xml:space="preserve">, 6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64208DF5" w14:textId="14A6FCD7" w:rsidR="003C3838" w:rsidRDefault="003C3838" w:rsidP="00456580">
            <w:pPr>
              <w:pStyle w:val="Tabletextprimarysource"/>
              <w:numPr>
                <w:ilvl w:val="0"/>
                <w:numId w:val="2"/>
              </w:numPr>
            </w:pPr>
            <w:r>
              <w:t>No signs of toxicity, but 70% (RBC) and 71% (plasma) o</w:t>
            </w:r>
            <w:r w:rsidR="006513BF">
              <w:t xml:space="preserve">f baseline </w:t>
            </w:r>
            <w:proofErr w:type="spellStart"/>
            <w:r w:rsidR="006513BF">
              <w:t>ChE</w:t>
            </w:r>
            <w:proofErr w:type="spellEnd"/>
            <w:r w:rsidR="006513BF">
              <w:t xml:space="preserve"> activity at 0.04 </w:t>
            </w:r>
            <w:r>
              <w:t xml:space="preserve">mg/kg/d from inhaled vapour in </w:t>
            </w:r>
            <w:r w:rsidR="00E269B5">
              <w:t xml:space="preserve">inhalation study </w:t>
            </w:r>
            <w:r w:rsidR="006513BF">
              <w:t>(</w:t>
            </w:r>
            <w:r w:rsidR="00E269B5">
              <w:t>one volunteer</w:t>
            </w:r>
            <w:r w:rsidR="006513BF">
              <w:t>, 0.5 h/d, 4 d).</w:t>
            </w:r>
          </w:p>
          <w:p w14:paraId="4FF2D36F" w14:textId="77777777" w:rsidR="00373923" w:rsidRDefault="00B26B60" w:rsidP="003365A5">
            <w:pPr>
              <w:pStyle w:val="Tabletextprimarysource"/>
            </w:pPr>
            <w:r>
              <w:t>Animal data:</w:t>
            </w:r>
          </w:p>
          <w:p w14:paraId="31A62497" w14:textId="77777777" w:rsidR="00B26B60" w:rsidRDefault="00B26B60" w:rsidP="00B26B60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3–6 mg/kg (female rats), 7–30 mg/kg (male rats), 14–32 mg/kg (mice)</w:t>
            </w:r>
            <w:r w:rsidR="0094418D">
              <w:t>:</w:t>
            </w:r>
          </w:p>
          <w:p w14:paraId="4DD67179" w14:textId="77777777" w:rsidR="00456580" w:rsidRDefault="00456580" w:rsidP="00A54B5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comparison of 90-d LD</w:t>
            </w:r>
            <w:r>
              <w:rPr>
                <w:vertAlign w:val="subscript"/>
              </w:rPr>
              <w:t>50</w:t>
            </w:r>
            <w:r>
              <w:t xml:space="preserve"> with single dose LD</w:t>
            </w:r>
            <w:r>
              <w:rPr>
                <w:vertAlign w:val="subscript"/>
              </w:rPr>
              <w:t>50</w:t>
            </w:r>
            <w:r>
              <w:t xml:space="preserve"> indicates no bioaccumulation (rats)</w:t>
            </w:r>
          </w:p>
          <w:p w14:paraId="36CC06C6" w14:textId="77777777" w:rsidR="00B26B60" w:rsidRDefault="00216D99" w:rsidP="00B26B60">
            <w:pPr>
              <w:pStyle w:val="Tabletextprimarysource"/>
              <w:numPr>
                <w:ilvl w:val="0"/>
                <w:numId w:val="1"/>
              </w:numPr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>: 7 mg/kg (female rats), 21 mg/kg (male rats), 150–2,800 mg/kg (rabbits)</w:t>
            </w:r>
            <w:r w:rsidR="0094418D">
              <w:t>:</w:t>
            </w:r>
          </w:p>
          <w:p w14:paraId="4C2CAF46" w14:textId="77777777" w:rsidR="000A29CC" w:rsidRDefault="000A29CC" w:rsidP="00A54B5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0A29CC">
              <w:rPr>
                <w:i/>
              </w:rPr>
              <w:t>in</w:t>
            </w:r>
            <w:r>
              <w:t xml:space="preserve"> </w:t>
            </w:r>
            <w:r w:rsidRPr="000A29CC">
              <w:rPr>
                <w:i/>
              </w:rPr>
              <w:t>vivo</w:t>
            </w:r>
            <w:r>
              <w:t xml:space="preserve"> dermal penetration rate: 0.33 (males) and 0.49 µg/cm</w:t>
            </w:r>
            <w:r>
              <w:rPr>
                <w:vertAlign w:val="superscript"/>
              </w:rPr>
              <w:t>2</w:t>
            </w:r>
            <w:r>
              <w:t>/h (females)</w:t>
            </w:r>
          </w:p>
          <w:p w14:paraId="694CE5FF" w14:textId="77777777" w:rsidR="00216D99" w:rsidRDefault="00216D99" w:rsidP="00B26B60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32–84 mg/m</w:t>
            </w:r>
            <w:r>
              <w:rPr>
                <w:vertAlign w:val="superscript"/>
              </w:rPr>
              <w:t>3</w:t>
            </w:r>
            <w:r w:rsidR="00AC43DB">
              <w:t xml:space="preserve"> (rats, 4 h)</w:t>
            </w:r>
          </w:p>
          <w:p w14:paraId="4620521C" w14:textId="35CAD47F" w:rsidR="00EE14F0" w:rsidRDefault="00EE14F0" w:rsidP="00B26B6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cholinergic effects but decreased RBC </w:t>
            </w:r>
            <w:proofErr w:type="spellStart"/>
            <w:r>
              <w:t>ChE</w:t>
            </w:r>
            <w:proofErr w:type="spellEnd"/>
            <w:r>
              <w:t xml:space="preserve"> activity above 0.05 mg/kg/d reported in 2 separate sub</w:t>
            </w:r>
            <w:r w:rsidR="00E269B5">
              <w:t>-</w:t>
            </w:r>
            <w:r>
              <w:t>chronic feeding studies (rats, 84 d)</w:t>
            </w:r>
          </w:p>
          <w:p w14:paraId="60FADA48" w14:textId="298C2E1D" w:rsidR="004A42ED" w:rsidRDefault="00F74E44" w:rsidP="004A42ED">
            <w:pPr>
              <w:pStyle w:val="Tabletextprimarysource"/>
              <w:numPr>
                <w:ilvl w:val="0"/>
                <w:numId w:val="1"/>
              </w:numPr>
            </w:pPr>
            <w:r>
              <w:t>No evidenc</w:t>
            </w:r>
            <w:r w:rsidR="004A42ED">
              <w:t xml:space="preserve">e for carcinogenicity at up to 2.6 mg/kg/d in several chronic feeding studies (rats, mice, dogs, 0.5–2 </w:t>
            </w:r>
            <w:proofErr w:type="spellStart"/>
            <w:r w:rsidR="004A42ED">
              <w:t>yr</w:t>
            </w:r>
            <w:proofErr w:type="spellEnd"/>
            <w:r w:rsidR="004A42ED">
              <w:t>)</w:t>
            </w:r>
            <w:r w:rsidR="0094418D">
              <w:t>:</w:t>
            </w:r>
          </w:p>
          <w:p w14:paraId="1294DB65" w14:textId="01D1D4BF" w:rsidR="004A42ED" w:rsidRDefault="004A42ED" w:rsidP="00A54B5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adrenal adenomas and carcinomas at 2.6 mg/kg/d only in rats in 1 study (mice, rats, 1</w:t>
            </w:r>
            <w:r w:rsidR="0094418D">
              <w:t> </w:t>
            </w:r>
            <w:proofErr w:type="spellStart"/>
            <w:r>
              <w:t>yr</w:t>
            </w:r>
            <w:proofErr w:type="spellEnd"/>
            <w:r>
              <w:t>); regarded as equivocal evidence for carcinogenicity in rats (US NCI) and inadequate evidence to evaluate carcinogenicity (IARC</w:t>
            </w:r>
            <w:r w:rsidR="00EE14F0">
              <w:t>, 1983</w:t>
            </w:r>
            <w:r>
              <w:t>)</w:t>
            </w:r>
          </w:p>
          <w:p w14:paraId="73B15FFF" w14:textId="77777777" w:rsidR="004B6128" w:rsidRDefault="00F74E44" w:rsidP="004A42ED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Non-genotoxic </w:t>
            </w:r>
            <w:r w:rsidR="00EE14F0">
              <w:t xml:space="preserve">in </w:t>
            </w:r>
            <w:r>
              <w:t xml:space="preserve">several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 studies</w:t>
            </w:r>
          </w:p>
          <w:p w14:paraId="76BC9D37" w14:textId="77777777" w:rsidR="0094418D" w:rsidRDefault="0094418D" w:rsidP="003365A5">
            <w:pPr>
              <w:pStyle w:val="Tabletextprimarysource"/>
            </w:pPr>
          </w:p>
          <w:p w14:paraId="6320A4BF" w14:textId="77777777" w:rsidR="00A041B9" w:rsidRDefault="00C85DE3" w:rsidP="00A041B9">
            <w:pPr>
              <w:pStyle w:val="Tabletextprimarysource"/>
            </w:pPr>
            <w:r>
              <w:t>Insufficient data to recommend a TLV-STEL or sensitiser notation.</w:t>
            </w:r>
            <w:r w:rsidR="00A041B9">
              <w:t xml:space="preserve"> </w:t>
            </w:r>
          </w:p>
          <w:p w14:paraId="6D29EC09" w14:textId="2B4DCF91" w:rsidR="00A041B9" w:rsidRDefault="00A041B9" w:rsidP="00A041B9">
            <w:pPr>
              <w:pStyle w:val="Tabletextprimarysource"/>
            </w:pPr>
            <w:r>
              <w:t xml:space="preserve">Not classifiable as human carcinogen (A4) based on negative results in chronic animal carcinogenicity studies. </w:t>
            </w:r>
          </w:p>
          <w:p w14:paraId="3CE83041" w14:textId="7C510CC7" w:rsidR="00C85DE3" w:rsidRDefault="00A041B9" w:rsidP="00A041B9">
            <w:pPr>
              <w:pStyle w:val="Tabletextprimarysource"/>
            </w:pPr>
            <w:r>
              <w:t>Skin notation recommended based on reports of fatal poisoning from dermal absorption.</w:t>
            </w:r>
          </w:p>
          <w:p w14:paraId="32900F65" w14:textId="77777777" w:rsidR="0094418D" w:rsidRPr="00DA352E" w:rsidRDefault="0094418D" w:rsidP="003365A5">
            <w:pPr>
              <w:pStyle w:val="Tabletextprimarysource"/>
            </w:pPr>
          </w:p>
        </w:tc>
      </w:tr>
      <w:tr w:rsidR="00C978F0" w:rsidRPr="00DA352E" w14:paraId="4B05365C" w14:textId="77777777" w:rsidTr="00E93F3F">
        <w:trPr>
          <w:gridAfter w:val="1"/>
          <w:wAfter w:w="8" w:type="pct"/>
        </w:trPr>
        <w:tc>
          <w:tcPr>
            <w:tcW w:w="4990" w:type="pct"/>
            <w:shd w:val="clear" w:color="auto" w:fill="F2F2F2" w:themeFill="background1" w:themeFillShade="F2"/>
          </w:tcPr>
          <w:p w14:paraId="5B1EE35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0002C">
                  <w:t>1958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F629D">
                  <w:t>MAK: 0.1 mg/m</w:t>
                </w:r>
                <w:r w:rsidR="002F629D" w:rsidRPr="002F629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917094F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22033D84" w14:textId="77777777" w:rsidR="00BD02C4" w:rsidRDefault="00BD02C4" w:rsidP="003365A5">
            <w:pPr>
              <w:pStyle w:val="Tabletextprimarysource"/>
            </w:pPr>
            <w:r>
              <w:t>Summary of additional data:</w:t>
            </w:r>
          </w:p>
          <w:p w14:paraId="715BBF7A" w14:textId="15D1D6DA" w:rsidR="00BD02C4" w:rsidRDefault="00BD02C4" w:rsidP="003365A5">
            <w:pPr>
              <w:pStyle w:val="Tabletextprimarysource"/>
            </w:pPr>
            <w:r>
              <w:t xml:space="preserve">Exposure durations in available human and animal studies are too short for definitive MAK assessment. </w:t>
            </w:r>
            <w:r w:rsidR="00FA20A1">
              <w:t>D</w:t>
            </w:r>
            <w:r>
              <w:t>ue to lack of evidence for bioaccumulation, MAK of 0.1 mg/m</w:t>
            </w:r>
            <w:r>
              <w:rPr>
                <w:vertAlign w:val="superscript"/>
              </w:rPr>
              <w:t>3</w:t>
            </w:r>
            <w:r>
              <w:t xml:space="preserve"> expected to be protective of cholinergic effects and is supported by the recommended threshold limit of </w:t>
            </w:r>
            <w:r w:rsidR="00C8285F">
              <w:br/>
            </w:r>
            <w:r>
              <w:t>0.05–0.1 mg/m</w:t>
            </w:r>
            <w:r>
              <w:rPr>
                <w:vertAlign w:val="superscript"/>
              </w:rPr>
              <w:t>3</w:t>
            </w:r>
            <w:r>
              <w:t xml:space="preserve"> provided by the W</w:t>
            </w:r>
            <w:r w:rsidR="00FA20A1">
              <w:t>HO</w:t>
            </w:r>
            <w:r>
              <w:t xml:space="preserve">; derivation not </w:t>
            </w:r>
            <w:r w:rsidR="00BF58EE">
              <w:t>provided</w:t>
            </w:r>
            <w:r>
              <w:t>.</w:t>
            </w:r>
          </w:p>
          <w:p w14:paraId="67CD92F2" w14:textId="77777777" w:rsidR="00BD02C4" w:rsidRDefault="00BD02C4" w:rsidP="003365A5">
            <w:pPr>
              <w:pStyle w:val="Tabletextprimarysource"/>
            </w:pPr>
            <w:r>
              <w:t>Skin notation recommended based on rapid dermal absorption.</w:t>
            </w:r>
          </w:p>
          <w:p w14:paraId="548B2FD8" w14:textId="77777777" w:rsidR="00BD02C4" w:rsidRDefault="00BD02C4" w:rsidP="003365A5">
            <w:pPr>
              <w:pStyle w:val="Tabletextprimarysource"/>
            </w:pPr>
            <w:r>
              <w:t>Human data:</w:t>
            </w:r>
          </w:p>
          <w:p w14:paraId="7AB75AD1" w14:textId="71BBC0C0" w:rsidR="00BD02C4" w:rsidRDefault="008417C6" w:rsidP="008417C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Low level of </w:t>
            </w:r>
            <w:proofErr w:type="spellStart"/>
            <w:r>
              <w:t>ChE</w:t>
            </w:r>
            <w:proofErr w:type="spellEnd"/>
            <w:r>
              <w:t xml:space="preserve"> inhibition in production workers exposed at 0.1–0.8 mg/m</w:t>
            </w:r>
            <w:r>
              <w:rPr>
                <w:vertAlign w:val="superscript"/>
              </w:rPr>
              <w:t>3</w:t>
            </w:r>
            <w:r>
              <w:t xml:space="preserve">, average: </w:t>
            </w:r>
            <w:r w:rsidR="0094418D">
              <w:br/>
            </w:r>
            <w:r>
              <w:t>0.2–0.3 mg/m</w:t>
            </w:r>
            <w:r>
              <w:rPr>
                <w:vertAlign w:val="superscript"/>
              </w:rPr>
              <w:t>3</w:t>
            </w:r>
            <w:r>
              <w:t xml:space="preserve"> (n=12, also cited in ACGIH, 20</w:t>
            </w:r>
            <w:r w:rsidR="0094418D">
              <w:t>03</w:t>
            </w:r>
            <w:r>
              <w:t>)</w:t>
            </w:r>
          </w:p>
          <w:p w14:paraId="6723EC99" w14:textId="62F48D28" w:rsidR="00FE2B96" w:rsidRDefault="00FE2B96" w:rsidP="008417C6">
            <w:pPr>
              <w:pStyle w:val="Tabletextprimarysource"/>
              <w:numPr>
                <w:ilvl w:val="0"/>
                <w:numId w:val="1"/>
              </w:numPr>
            </w:pPr>
            <w:r>
              <w:t>Air concentrations during crop spraying operations typically between 0.05–0.5 mg/m</w:t>
            </w:r>
            <w:r>
              <w:rPr>
                <w:vertAlign w:val="superscript"/>
              </w:rPr>
              <w:t>3</w:t>
            </w:r>
            <w:r w:rsidR="00FA20A1">
              <w:t>.</w:t>
            </w:r>
          </w:p>
          <w:p w14:paraId="6838A057" w14:textId="77777777" w:rsidR="00BD02C4" w:rsidRDefault="00BD02C4" w:rsidP="003365A5">
            <w:pPr>
              <w:pStyle w:val="Tabletextprimarysource"/>
            </w:pPr>
            <w:r>
              <w:t>Animal data:</w:t>
            </w:r>
          </w:p>
          <w:p w14:paraId="5F6C25FC" w14:textId="77777777" w:rsidR="00BD02C4" w:rsidRDefault="00BD02C4" w:rsidP="00BD02C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75–90% of iv dose excreted in urine </w:t>
            </w:r>
            <w:r w:rsidR="008417C6">
              <w:t>in 6–24 h (monkeys)</w:t>
            </w:r>
          </w:p>
          <w:p w14:paraId="52FA2277" w14:textId="4ADE66EF" w:rsidR="008417C6" w:rsidRDefault="008417C6" w:rsidP="00BD02C4">
            <w:pPr>
              <w:pStyle w:val="Tabletextprimarysource"/>
              <w:numPr>
                <w:ilvl w:val="0"/>
                <w:numId w:val="1"/>
              </w:numPr>
            </w:pPr>
            <w:r>
              <w:t>Embryotoxic in rats at acutely toxic maternal doses</w:t>
            </w:r>
            <w:r w:rsidR="00BE6E4A">
              <w:t>; available reproductive/developmental studies are inadequate for MAK assessment due to exposure routes and documentation</w:t>
            </w:r>
            <w:r w:rsidR="0094418D">
              <w:t>:</w:t>
            </w:r>
          </w:p>
          <w:p w14:paraId="61091AFA" w14:textId="77777777" w:rsidR="00BE6E4A" w:rsidRDefault="00BE6E4A" w:rsidP="006513BF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increased mortality at 0.63–0.98 mg/kg </w:t>
            </w:r>
            <w:proofErr w:type="spellStart"/>
            <w:r w:rsidR="00EC25A9">
              <w:t>ip</w:t>
            </w:r>
            <w:proofErr w:type="spellEnd"/>
            <w:r w:rsidR="00EC25A9">
              <w:t xml:space="preserve"> injection </w:t>
            </w:r>
            <w:r>
              <w:t>(rats, GD 9–15)</w:t>
            </w:r>
          </w:p>
          <w:p w14:paraId="355CCA4E" w14:textId="77777777" w:rsidR="00BE6E4A" w:rsidRDefault="00EC25A9" w:rsidP="006513BF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mor</w:t>
            </w:r>
            <w:r w:rsidR="00066141">
              <w:t>t</w:t>
            </w:r>
            <w:r>
              <w:t>ality and reduced average birth weight at 1.5</w:t>
            </w:r>
            <w:bookmarkStart w:id="0" w:name="_GoBack"/>
            <w:bookmarkEnd w:id="0"/>
            <w:r>
              <w:t xml:space="preserve"> and 2.0 mg/kg subcutaneous injection (rats, GD 1, 7, or 13); doses were maternally toxic</w:t>
            </w:r>
          </w:p>
          <w:p w14:paraId="43C9D1E0" w14:textId="511FA8ED" w:rsidR="00FE2B96" w:rsidRDefault="00FE2B96" w:rsidP="00BD02C4">
            <w:pPr>
              <w:pStyle w:val="Tabletextprimarysource"/>
              <w:numPr>
                <w:ilvl w:val="0"/>
                <w:numId w:val="1"/>
              </w:numPr>
            </w:pPr>
            <w:r>
              <w:t>No histologically detectable organ damage in chronic feeding studies with rats and dogs (studies also cited in ACGIH, 20</w:t>
            </w:r>
            <w:r w:rsidR="0094418D">
              <w:t>03</w:t>
            </w:r>
            <w:r>
              <w:t>)</w:t>
            </w:r>
          </w:p>
          <w:p w14:paraId="3085596A" w14:textId="08CC36E9" w:rsidR="00FE2B96" w:rsidRDefault="0018059B" w:rsidP="00BD02C4">
            <w:pPr>
              <w:pStyle w:val="Tabletextprimarysource"/>
              <w:numPr>
                <w:ilvl w:val="0"/>
                <w:numId w:val="1"/>
              </w:numPr>
            </w:pPr>
            <w:r>
              <w:t>NOAEL: 0.4 mg/m</w:t>
            </w:r>
            <w:r>
              <w:rPr>
                <w:vertAlign w:val="superscript"/>
              </w:rPr>
              <w:t>3</w:t>
            </w:r>
            <w:r>
              <w:t xml:space="preserve"> for RBC </w:t>
            </w:r>
            <w:proofErr w:type="spellStart"/>
            <w:r>
              <w:t>ChE</w:t>
            </w:r>
            <w:proofErr w:type="spellEnd"/>
            <w:r>
              <w:t xml:space="preserve"> inhibition in sub</w:t>
            </w:r>
            <w:r w:rsidR="00E269B5">
              <w:t>-</w:t>
            </w:r>
            <w:r>
              <w:t>chronic inhalation study (rats, 6 h/d, 4</w:t>
            </w:r>
            <w:r w:rsidR="006513BF">
              <w:t> </w:t>
            </w:r>
            <w:proofErr w:type="spellStart"/>
            <w:r>
              <w:t>mo</w:t>
            </w:r>
            <w:proofErr w:type="spellEnd"/>
            <w:r>
              <w:t>)</w:t>
            </w:r>
            <w:r w:rsidR="006513BF">
              <w:t>.</w:t>
            </w:r>
          </w:p>
          <w:p w14:paraId="06C40596" w14:textId="77777777" w:rsidR="0094418D" w:rsidRPr="00BD02C4" w:rsidRDefault="0094418D" w:rsidP="00FA20A1">
            <w:pPr>
              <w:pStyle w:val="Tabletextprimarysource"/>
            </w:pPr>
          </w:p>
        </w:tc>
      </w:tr>
      <w:tr w:rsidR="00C978F0" w:rsidRPr="00DA352E" w14:paraId="181CEA82" w14:textId="77777777" w:rsidTr="00E93F3F">
        <w:trPr>
          <w:gridAfter w:val="1"/>
          <w:wAfter w:w="8" w:type="pct"/>
        </w:trPr>
        <w:tc>
          <w:tcPr>
            <w:tcW w:w="4990" w:type="pct"/>
            <w:shd w:val="clear" w:color="auto" w:fill="F2F2F2" w:themeFill="background1" w:themeFillShade="F2"/>
          </w:tcPr>
          <w:p w14:paraId="73CCEFE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D66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D6675">
                  <w:t>NA</w:t>
                </w:r>
              </w:sdtContent>
            </w:sdt>
          </w:p>
        </w:tc>
      </w:tr>
      <w:tr w:rsidR="00C978F0" w:rsidRPr="00DA352E" w14:paraId="1A6737F6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285D3281" w14:textId="77777777" w:rsidR="00C978F0" w:rsidRPr="00DA352E" w:rsidRDefault="00CD6675" w:rsidP="003365A5">
            <w:pPr>
              <w:pStyle w:val="Tabletextprimarysource"/>
            </w:pPr>
            <w:r>
              <w:t>No report</w:t>
            </w:r>
            <w:r w:rsidR="006513BF">
              <w:t>.</w:t>
            </w:r>
          </w:p>
        </w:tc>
      </w:tr>
      <w:tr w:rsidR="00DA352E" w:rsidRPr="00DA352E" w14:paraId="518F53FB" w14:textId="77777777" w:rsidTr="00E93F3F">
        <w:trPr>
          <w:gridAfter w:val="1"/>
          <w:wAfter w:w="8" w:type="pct"/>
        </w:trPr>
        <w:tc>
          <w:tcPr>
            <w:tcW w:w="4990" w:type="pct"/>
            <w:shd w:val="clear" w:color="auto" w:fill="F2F2F2" w:themeFill="background1" w:themeFillShade="F2"/>
          </w:tcPr>
          <w:p w14:paraId="04DA9B9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D66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CD6675">
                  <w:t>NA</w:t>
                </w:r>
              </w:sdtContent>
            </w:sdt>
          </w:p>
        </w:tc>
      </w:tr>
      <w:tr w:rsidR="00DA352E" w:rsidRPr="00DA352E" w14:paraId="43548166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0295AE83" w14:textId="77777777" w:rsidR="00DA352E" w:rsidRPr="00DA352E" w:rsidRDefault="00CD6675" w:rsidP="003365A5">
            <w:pPr>
              <w:pStyle w:val="Tabletextprimarysource"/>
            </w:pPr>
            <w:r>
              <w:t>No report</w:t>
            </w:r>
            <w:r w:rsidR="006513BF">
              <w:t>.</w:t>
            </w:r>
          </w:p>
        </w:tc>
      </w:tr>
      <w:tr w:rsidR="00DA352E" w:rsidRPr="00DA352E" w14:paraId="23150555" w14:textId="77777777" w:rsidTr="00E93F3F">
        <w:trPr>
          <w:gridAfter w:val="1"/>
          <w:wAfter w:w="8" w:type="pct"/>
        </w:trPr>
        <w:tc>
          <w:tcPr>
            <w:tcW w:w="4990" w:type="pct"/>
            <w:shd w:val="clear" w:color="auto" w:fill="F2F2F2" w:themeFill="background1" w:themeFillShade="F2"/>
          </w:tcPr>
          <w:p w14:paraId="1BF50D8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D66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D6675">
                  <w:t>NA</w:t>
                </w:r>
              </w:sdtContent>
            </w:sdt>
          </w:p>
        </w:tc>
      </w:tr>
      <w:tr w:rsidR="00DA352E" w:rsidRPr="00DA352E" w14:paraId="0652246A" w14:textId="77777777" w:rsidTr="00E93F3F">
        <w:trPr>
          <w:gridAfter w:val="1"/>
          <w:wAfter w:w="8" w:type="pct"/>
        </w:trPr>
        <w:tc>
          <w:tcPr>
            <w:tcW w:w="4990" w:type="pct"/>
          </w:tcPr>
          <w:p w14:paraId="787A4912" w14:textId="77777777" w:rsidR="00DA352E" w:rsidRPr="00DA352E" w:rsidRDefault="00CD6675" w:rsidP="003365A5">
            <w:pPr>
              <w:pStyle w:val="Tabletextprimarysource"/>
            </w:pPr>
            <w:r>
              <w:t>No report</w:t>
            </w:r>
            <w:r w:rsidR="006513BF">
              <w:t>.</w:t>
            </w:r>
          </w:p>
        </w:tc>
      </w:tr>
    </w:tbl>
    <w:p w14:paraId="184BA724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917"/>
        <w:gridCol w:w="374"/>
        <w:gridCol w:w="661"/>
        <w:gridCol w:w="6452"/>
      </w:tblGrid>
      <w:tr w:rsidR="004966BF" w:rsidRPr="00263255" w14:paraId="325774DC" w14:textId="77777777" w:rsidTr="00E9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2957BF2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374" w:type="dxa"/>
            <w:shd w:val="clear" w:color="auto" w:fill="BFBFBF" w:themeFill="background1" w:themeFillShade="BF"/>
            <w:vAlign w:val="center"/>
          </w:tcPr>
          <w:p w14:paraId="264C57E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9D485D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491E816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5BCC6B8" w14:textId="77777777" w:rsidTr="00E93F3F">
        <w:tc>
          <w:tcPr>
            <w:tcW w:w="917" w:type="dxa"/>
          </w:tcPr>
          <w:p w14:paraId="602ADBFC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374" w:type="dxa"/>
          </w:tcPr>
          <w:p w14:paraId="674637FF" w14:textId="77777777" w:rsidR="004966BF" w:rsidRPr="00CE617F" w:rsidRDefault="00E93F3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513B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BDF2F98" w14:textId="77777777" w:rsidR="004966BF" w:rsidRPr="004C23F4" w:rsidRDefault="006513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2000</w:t>
            </w:r>
          </w:p>
        </w:tc>
        <w:tc>
          <w:tcPr>
            <w:tcW w:w="6452" w:type="dxa"/>
          </w:tcPr>
          <w:p w14:paraId="0C319AA9" w14:textId="675074A3" w:rsidR="004966BF" w:rsidRPr="005C6B72" w:rsidRDefault="006513BF" w:rsidP="00FA20A1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5C6B72">
              <w:rPr>
                <w:rStyle w:val="checkbox"/>
                <w:rFonts w:ascii="Arial" w:hAnsi="Arial" w:cs="Arial"/>
              </w:rPr>
              <w:t xml:space="preserve">Studies in human volunteers indicate </w:t>
            </w:r>
            <w:r w:rsidR="00B2772B" w:rsidRPr="005C6B72">
              <w:rPr>
                <w:rStyle w:val="checkbox"/>
                <w:rFonts w:ascii="Arial" w:hAnsi="Arial" w:cs="Arial"/>
              </w:rPr>
              <w:t>~</w:t>
            </w:r>
            <w:r w:rsidRPr="005C6B72">
              <w:rPr>
                <w:rStyle w:val="checkbox"/>
                <w:rFonts w:ascii="Arial" w:hAnsi="Arial" w:cs="Arial"/>
              </w:rPr>
              <w:t xml:space="preserve">10% dose applied to human skin is absorbed, with ~5-fold difference between </w:t>
            </w:r>
            <w:r w:rsidR="0020575B" w:rsidRPr="005C6B72">
              <w:rPr>
                <w:rStyle w:val="checkbox"/>
                <w:rFonts w:ascii="Arial" w:hAnsi="Arial" w:cs="Arial"/>
              </w:rPr>
              <w:t>individuals (no further information)</w:t>
            </w:r>
          </w:p>
          <w:p w14:paraId="660700F6" w14:textId="77777777" w:rsidR="0020575B" w:rsidRPr="006513BF" w:rsidRDefault="0020575B" w:rsidP="00FA20A1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C6B72">
              <w:rPr>
                <w:rFonts w:cs="Arial"/>
                <w:szCs w:val="20"/>
                <w:shd w:val="clear" w:color="auto" w:fill="FFFFFF"/>
              </w:rPr>
              <w:lastRenderedPageBreak/>
              <w:t>Continued use of parathion products would pose an undue hazard to humans.</w:t>
            </w:r>
          </w:p>
        </w:tc>
      </w:tr>
      <w:tr w:rsidR="004966BF" w:rsidRPr="004C23F4" w14:paraId="31405D41" w14:textId="77777777" w:rsidTr="00E93F3F">
        <w:tc>
          <w:tcPr>
            <w:tcW w:w="917" w:type="dxa"/>
          </w:tcPr>
          <w:p w14:paraId="26204328" w14:textId="77777777" w:rsidR="004966BF" w:rsidRPr="004C23F4" w:rsidRDefault="004966BF" w:rsidP="00224EE2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374" w:type="dxa"/>
          </w:tcPr>
          <w:p w14:paraId="3EBD25DB" w14:textId="77777777" w:rsidR="004966BF" w:rsidRPr="00CE617F" w:rsidRDefault="00E93F3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93B4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962119B" w14:textId="77777777" w:rsidR="004966BF" w:rsidRPr="004C23F4" w:rsidRDefault="005937D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52" w:type="dxa"/>
          </w:tcPr>
          <w:p w14:paraId="424A595A" w14:textId="77777777" w:rsidR="004966BF" w:rsidRDefault="00E36AA6" w:rsidP="00E7755C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proofErr w:type="gramStart"/>
            <w:r>
              <w:rPr>
                <w:rStyle w:val="checkbox"/>
                <w:rFonts w:ascii="Arial" w:hAnsi="Arial" w:cs="Arial"/>
              </w:rPr>
              <w:t>Sufficient</w:t>
            </w:r>
            <w:proofErr w:type="gramEnd"/>
            <w:r>
              <w:rPr>
                <w:rStyle w:val="checkbox"/>
                <w:rFonts w:ascii="Arial" w:hAnsi="Arial" w:cs="Arial"/>
              </w:rPr>
              <w:t xml:space="preserve"> evidence for carcinogenicity in animals</w:t>
            </w:r>
            <w:r w:rsidR="0094418D">
              <w:rPr>
                <w:rStyle w:val="checkbox"/>
                <w:rFonts w:ascii="Arial" w:hAnsi="Arial" w:cs="Arial"/>
              </w:rPr>
              <w:t>:</w:t>
            </w:r>
          </w:p>
          <w:p w14:paraId="395296DB" w14:textId="77777777" w:rsidR="000D0C54" w:rsidRDefault="000D0C54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dose-dependent bronchioalveolar adenoma and carcinoma (males) and increased malignant lymphoma (females) at 60–140 ppm of diet reported in chronic feeding study (mice, 18 </w:t>
            </w:r>
            <w:proofErr w:type="spellStart"/>
            <w:r>
              <w:rPr>
                <w:rStyle w:val="checkbox"/>
                <w:rFonts w:ascii="Arial" w:hAnsi="Arial" w:cs="Arial"/>
              </w:rPr>
              <w:t>mo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</w:p>
          <w:p w14:paraId="30721C23" w14:textId="77777777" w:rsidR="000D0C54" w:rsidRDefault="000D0C54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evidence for increased tumour incidence in similar studies with rats</w:t>
            </w:r>
          </w:p>
          <w:p w14:paraId="24AE369F" w14:textId="096EB459" w:rsidR="00FF0CB1" w:rsidRDefault="00FF0CB1" w:rsidP="00FA2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Inadequate evidence for carcinogenicity in humans</w:t>
            </w:r>
            <w:r w:rsidR="00400344">
              <w:rPr>
                <w:rStyle w:val="checkbox"/>
                <w:rFonts w:ascii="Arial" w:hAnsi="Arial" w:cs="Arial"/>
              </w:rPr>
              <w:t>:</w:t>
            </w:r>
          </w:p>
          <w:p w14:paraId="4A722550" w14:textId="77777777" w:rsidR="000D0C54" w:rsidRDefault="002A3C7C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available e</w:t>
            </w:r>
            <w:r w:rsidR="00FB330B">
              <w:rPr>
                <w:rStyle w:val="checkbox"/>
                <w:rFonts w:ascii="Arial" w:hAnsi="Arial" w:cs="Arial"/>
              </w:rPr>
              <w:t xml:space="preserve">pidemiological </w:t>
            </w:r>
            <w:r>
              <w:rPr>
                <w:rStyle w:val="checkbox"/>
                <w:rFonts w:ascii="Arial" w:hAnsi="Arial" w:cs="Arial"/>
              </w:rPr>
              <w:t>studies are inconclusive due to confounding by mixed exposures or inconsistencies in results</w:t>
            </w:r>
          </w:p>
          <w:p w14:paraId="180E46B5" w14:textId="77777777" w:rsidR="002A3C7C" w:rsidRDefault="002A3C7C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proofErr w:type="spellStart"/>
            <w:r>
              <w:rPr>
                <w:rStyle w:val="checkbox"/>
                <w:rFonts w:ascii="Arial" w:hAnsi="Arial" w:cs="Arial"/>
              </w:rPr>
              <w:t>clastogenicity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in peripheral lymphocytes in exposed vegetable sprayers (n=25)</w:t>
            </w:r>
          </w:p>
          <w:p w14:paraId="76BB3CA8" w14:textId="77777777" w:rsidR="002A3C7C" w:rsidRDefault="002A3C7C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DNA damage evidenced in comet assay of human liver HepG2 cells</w:t>
            </w:r>
          </w:p>
          <w:p w14:paraId="0812EE00" w14:textId="77777777" w:rsidR="002A3C7C" w:rsidRDefault="002A3C7C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metabolite, paraoxon, induced DNA strand breaks in human blood lymphocyte cultures</w:t>
            </w:r>
          </w:p>
          <w:p w14:paraId="594117F1" w14:textId="77777777" w:rsidR="002A3C7C" w:rsidRPr="004C23F4" w:rsidRDefault="002A3C7C" w:rsidP="00FA20A1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evidence for genotoxicity overall is “moderate”</w:t>
            </w:r>
            <w:r w:rsidR="006513B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2C12A68" w14:textId="77777777" w:rsidTr="00E93F3F">
        <w:tc>
          <w:tcPr>
            <w:tcW w:w="917" w:type="dxa"/>
          </w:tcPr>
          <w:p w14:paraId="0D466540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374" w:type="dxa"/>
          </w:tcPr>
          <w:p w14:paraId="60A70B89" w14:textId="77777777" w:rsidR="004966BF" w:rsidRPr="00CE617F" w:rsidRDefault="00E93F3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937D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37264F5" w14:textId="77777777" w:rsidR="004966BF" w:rsidRPr="004C23F4" w:rsidRDefault="005937D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52" w:type="dxa"/>
          </w:tcPr>
          <w:p w14:paraId="5697CAD7" w14:textId="77777777" w:rsidR="004966BF" w:rsidRDefault="005937D2" w:rsidP="00FA2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Possible human carcinogen based on adrenal adenomas and carcinomas in rats reported in US NCI chronic feeding study (also cited in ACGIH, 2018)</w:t>
            </w:r>
          </w:p>
          <w:p w14:paraId="184D9105" w14:textId="77777777" w:rsidR="005937D2" w:rsidRPr="004C23F4" w:rsidRDefault="005937D2" w:rsidP="00FA2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Carcinogenicity supported by positive unscheduled DNA</w:t>
            </w:r>
            <w:r w:rsidR="006513BF">
              <w:rPr>
                <w:rStyle w:val="checkbox"/>
                <w:rFonts w:ascii="Arial" w:hAnsi="Arial" w:cs="Arial"/>
              </w:rPr>
              <w:t xml:space="preserve"> synthesis in human WI-38 cells.</w:t>
            </w:r>
          </w:p>
        </w:tc>
      </w:tr>
      <w:tr w:rsidR="004966BF" w:rsidRPr="004C23F4" w14:paraId="47C19BFE" w14:textId="77777777" w:rsidTr="00E93F3F">
        <w:tc>
          <w:tcPr>
            <w:tcW w:w="917" w:type="dxa"/>
          </w:tcPr>
          <w:p w14:paraId="7784BD75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374" w:type="dxa"/>
          </w:tcPr>
          <w:p w14:paraId="3A651E13" w14:textId="77777777" w:rsidR="004966BF" w:rsidRDefault="00E93F3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93B4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3FA062" w14:textId="77777777" w:rsidR="004966BF" w:rsidRPr="004C23F4" w:rsidRDefault="00293B4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2" w:type="dxa"/>
          </w:tcPr>
          <w:p w14:paraId="27F8B581" w14:textId="77777777" w:rsidR="004966BF" w:rsidRDefault="00293B4D" w:rsidP="00FA2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293B4D">
              <w:rPr>
                <w:rStyle w:val="checkbox"/>
                <w:rFonts w:ascii="Arial" w:hAnsi="Arial" w:cs="Arial"/>
                <w:i/>
              </w:rPr>
              <w:t>In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93B4D">
              <w:rPr>
                <w:rStyle w:val="checkbox"/>
                <w:rFonts w:ascii="Arial" w:hAnsi="Arial" w:cs="Arial"/>
                <w:i/>
              </w:rPr>
              <w:t>vitro</w:t>
            </w:r>
            <w:r>
              <w:rPr>
                <w:rStyle w:val="checkbox"/>
                <w:rFonts w:ascii="Arial" w:hAnsi="Arial" w:cs="Arial"/>
              </w:rPr>
              <w:t xml:space="preserve"> penetration rate for human skin: 78.6%</w:t>
            </w:r>
          </w:p>
          <w:p w14:paraId="0B57F0E8" w14:textId="77777777" w:rsidR="00293B4D" w:rsidRPr="004C23F4" w:rsidRDefault="00293B4D" w:rsidP="00FA2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Several cases of poisoning from dermal contact and acute dermal toxicity studies support SK:SYS (Fatal) classification</w:t>
            </w:r>
            <w:r w:rsidR="006513B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784A8D5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3FE932A" w14:textId="77777777" w:rsidTr="00345A13">
        <w:trPr>
          <w:trHeight w:val="454"/>
          <w:tblHeader/>
        </w:trPr>
        <w:tc>
          <w:tcPr>
            <w:tcW w:w="6597" w:type="dxa"/>
            <w:vAlign w:val="center"/>
          </w:tcPr>
          <w:p w14:paraId="5F1DE28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8893D3A" w14:textId="77777777" w:rsidR="002E0D61" w:rsidRDefault="002A3C7C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A7ADE8A" w14:textId="77777777" w:rsidTr="00345A13">
        <w:trPr>
          <w:trHeight w:val="454"/>
        </w:trPr>
        <w:tc>
          <w:tcPr>
            <w:tcW w:w="6597" w:type="dxa"/>
            <w:vAlign w:val="center"/>
          </w:tcPr>
          <w:p w14:paraId="38609BD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D471198" w14:textId="77777777" w:rsidR="008A36CF" w:rsidRDefault="00345A1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7B74BB" w14:paraId="59C75064" w14:textId="77777777" w:rsidTr="003A003A">
        <w:trPr>
          <w:trHeight w:val="454"/>
        </w:trPr>
        <w:sdt>
          <w:sdtPr>
            <w:rPr>
              <w:b/>
            </w:rPr>
            <w:id w:val="1830936485"/>
            <w:placeholder>
              <w:docPart w:val="1833E4B1EC894E22975BDB9B9317897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7184977" w14:textId="7A1A1321" w:rsidR="007B74BB" w:rsidRDefault="007B74B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4E63F75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4513"/>
        <w:gridCol w:w="4513"/>
      </w:tblGrid>
      <w:tr w:rsidR="00687890" w:rsidRPr="004C23F4" w14:paraId="16A71107" w14:textId="77777777" w:rsidTr="008B7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shd w:val="clear" w:color="auto" w:fill="BFBFBF" w:themeFill="background1" w:themeFillShade="BF"/>
            <w:vAlign w:val="center"/>
          </w:tcPr>
          <w:p w14:paraId="6C1413AD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0" w:type="dxa"/>
            <w:shd w:val="clear" w:color="auto" w:fill="BFBFBF" w:themeFill="background1" w:themeFillShade="BF"/>
            <w:vAlign w:val="center"/>
          </w:tcPr>
          <w:p w14:paraId="5943BC9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716F638" w14:textId="77777777" w:rsidTr="008B776D">
        <w:trPr>
          <w:cantSplit/>
        </w:trPr>
        <w:tc>
          <w:tcPr>
            <w:tcW w:w="0" w:type="dxa"/>
          </w:tcPr>
          <w:p w14:paraId="2244EC0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0" w:type="dxa"/>
          </w:tcPr>
          <w:p w14:paraId="49204C2B" w14:textId="77777777" w:rsidR="00687890" w:rsidRPr="00DD2F9B" w:rsidRDefault="00E7755C" w:rsidP="00DD2F9B">
            <w:pPr>
              <w:pStyle w:val="Tablefont"/>
            </w:pPr>
            <w:r>
              <w:t>Sk</w:t>
            </w:r>
            <w:r w:rsidR="006513BF">
              <w:t>in</w:t>
            </w:r>
          </w:p>
        </w:tc>
      </w:tr>
      <w:tr w:rsidR="007925F0" w:rsidRPr="004C23F4" w14:paraId="667288B8" w14:textId="77777777" w:rsidTr="008B776D">
        <w:trPr>
          <w:cantSplit/>
        </w:trPr>
        <w:tc>
          <w:tcPr>
            <w:tcW w:w="0" w:type="dxa"/>
          </w:tcPr>
          <w:p w14:paraId="46F0B21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0" w:type="dxa"/>
          </w:tcPr>
          <w:p w14:paraId="1AEBE30F" w14:textId="77777777" w:rsidR="007925F0" w:rsidRPr="00DD2F9B" w:rsidRDefault="0006614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6F063890" w14:textId="77777777" w:rsidTr="008B776D">
        <w:trPr>
          <w:cantSplit/>
        </w:trPr>
        <w:tc>
          <w:tcPr>
            <w:tcW w:w="0" w:type="dxa"/>
          </w:tcPr>
          <w:p w14:paraId="52F3E59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0" w:type="dxa"/>
          </w:tcPr>
          <w:p w14:paraId="71BCB204" w14:textId="77777777" w:rsidR="00AF483F" w:rsidRPr="00DD2F9B" w:rsidRDefault="00066141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0FCAB9A3" w14:textId="77777777" w:rsidTr="008B776D">
        <w:trPr>
          <w:cantSplit/>
        </w:trPr>
        <w:tc>
          <w:tcPr>
            <w:tcW w:w="0" w:type="dxa"/>
          </w:tcPr>
          <w:p w14:paraId="5CB4E8E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0" w:type="dxa"/>
          </w:tcPr>
          <w:p w14:paraId="23585BE9" w14:textId="77777777" w:rsidR="00687890" w:rsidRPr="00DD2F9B" w:rsidRDefault="00066141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7B82711" w14:textId="77777777" w:rsidTr="008B776D">
        <w:trPr>
          <w:cantSplit/>
        </w:trPr>
        <w:tc>
          <w:tcPr>
            <w:tcW w:w="0" w:type="dxa"/>
          </w:tcPr>
          <w:p w14:paraId="6F405A55" w14:textId="77777777" w:rsidR="00E41A26" w:rsidRDefault="00E41A26" w:rsidP="00F4402E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0" w:type="dxa"/>
          </w:tcPr>
          <w:p w14:paraId="12D670F5" w14:textId="77777777" w:rsidR="00E41A26" w:rsidRPr="00DD2F9B" w:rsidRDefault="008C0E0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2EB7A24" w14:textId="77777777" w:rsidTr="008B776D">
        <w:trPr>
          <w:cantSplit/>
        </w:trPr>
        <w:tc>
          <w:tcPr>
            <w:tcW w:w="0" w:type="dxa"/>
          </w:tcPr>
          <w:p w14:paraId="7EBF9CA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0" w:type="dxa"/>
          </w:tcPr>
          <w:p w14:paraId="17E8A415" w14:textId="77777777" w:rsidR="002E0D61" w:rsidRPr="00DD2F9B" w:rsidRDefault="00E95E3A" w:rsidP="00DD2F9B">
            <w:pPr>
              <w:pStyle w:val="Tablefont"/>
            </w:pPr>
            <w:r w:rsidRPr="00E95E3A">
              <w:t>Carcinogenicity – A4</w:t>
            </w:r>
            <w:r>
              <w:t>, Skin</w:t>
            </w:r>
          </w:p>
        </w:tc>
      </w:tr>
      <w:tr w:rsidR="002E0D61" w:rsidRPr="004C23F4" w14:paraId="5122F868" w14:textId="77777777" w:rsidTr="008B776D">
        <w:trPr>
          <w:cantSplit/>
        </w:trPr>
        <w:tc>
          <w:tcPr>
            <w:tcW w:w="0" w:type="dxa"/>
          </w:tcPr>
          <w:p w14:paraId="2EB99FF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0" w:type="dxa"/>
          </w:tcPr>
          <w:p w14:paraId="223B1F0D" w14:textId="77777777" w:rsidR="002E0D61" w:rsidRPr="00DD2F9B" w:rsidRDefault="00A54835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68983AC1" w14:textId="77777777" w:rsidTr="008B776D">
        <w:trPr>
          <w:cantSplit/>
        </w:trPr>
        <w:tc>
          <w:tcPr>
            <w:tcW w:w="0" w:type="dxa"/>
          </w:tcPr>
          <w:p w14:paraId="45A0A0F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0" w:type="dxa"/>
          </w:tcPr>
          <w:p w14:paraId="3E4B44B9" w14:textId="77777777" w:rsidR="002E0D61" w:rsidRPr="00DD2F9B" w:rsidRDefault="00CD66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AA89D94" w14:textId="77777777" w:rsidTr="008B776D">
        <w:trPr>
          <w:cantSplit/>
        </w:trPr>
        <w:tc>
          <w:tcPr>
            <w:tcW w:w="0" w:type="dxa"/>
          </w:tcPr>
          <w:p w14:paraId="3312FE3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0" w:type="dxa"/>
          </w:tcPr>
          <w:p w14:paraId="7AB05B39" w14:textId="77777777" w:rsidR="002E0D61" w:rsidRPr="00DD2F9B" w:rsidRDefault="008C0E0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C5C9F16" w14:textId="77777777" w:rsidTr="008B776D">
        <w:trPr>
          <w:cantSplit/>
        </w:trPr>
        <w:tc>
          <w:tcPr>
            <w:tcW w:w="0" w:type="dxa"/>
          </w:tcPr>
          <w:p w14:paraId="11B22AF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0" w:type="dxa"/>
          </w:tcPr>
          <w:p w14:paraId="7B27AE74" w14:textId="77777777" w:rsidR="00386093" w:rsidRPr="00DD2F9B" w:rsidRDefault="00405067" w:rsidP="00DD2F9B">
            <w:pPr>
              <w:pStyle w:val="Tablefont"/>
            </w:pPr>
            <w:r w:rsidRPr="00405067">
              <w:t>Carcinogenicity – Group 2B</w:t>
            </w:r>
          </w:p>
        </w:tc>
      </w:tr>
      <w:tr w:rsidR="00386093" w:rsidRPr="004C23F4" w14:paraId="22A39176" w14:textId="77777777" w:rsidTr="008B776D">
        <w:trPr>
          <w:cantSplit/>
        </w:trPr>
        <w:tc>
          <w:tcPr>
            <w:tcW w:w="0" w:type="dxa"/>
          </w:tcPr>
          <w:p w14:paraId="484FEE1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0" w:type="dxa"/>
          </w:tcPr>
          <w:p w14:paraId="3D6D3C00" w14:textId="77777777" w:rsidR="00386093" w:rsidRPr="00DD2F9B" w:rsidRDefault="00066141" w:rsidP="00D87570">
            <w:pPr>
              <w:pStyle w:val="Tablefont"/>
              <w:keepNext/>
            </w:pPr>
            <w:r>
              <w:t>SK:SYS (Fatal)</w:t>
            </w:r>
          </w:p>
        </w:tc>
      </w:tr>
    </w:tbl>
    <w:bookmarkEnd w:id="3"/>
    <w:p w14:paraId="78101DF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D59FB6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3263FB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00F39B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BDCC5B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74" w:type="dxa"/>
              <w:tblLook w:val="04A0" w:firstRow="1" w:lastRow="0" w:firstColumn="1" w:lastColumn="0" w:noHBand="0" w:noVBand="1"/>
            </w:tblPr>
            <w:tblGrid>
              <w:gridCol w:w="3822"/>
              <w:gridCol w:w="1132"/>
              <w:gridCol w:w="1132"/>
              <w:gridCol w:w="2724"/>
            </w:tblGrid>
            <w:tr w:rsidR="000A29CC" w:rsidRPr="000A29CC" w14:paraId="313DDBD3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67B462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E80106F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035468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C9EAB4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2872B065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6FEBA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C06ED93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D50F99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C42956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02155995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E5D899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B3517A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49A4BD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41C451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7996CEFA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1A49E0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0D850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C75FE7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B6EC5E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5A3CC64A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8F3E57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7574A45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C941E2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F16F04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5B389C70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8FFCEA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6E69CC2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18B312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9A5EEE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29CC" w:rsidRPr="000A29CC" w14:paraId="6951D0BF" w14:textId="77777777" w:rsidTr="000A29CC">
              <w:trPr>
                <w:trHeight w:val="231"/>
              </w:trPr>
              <w:tc>
                <w:tcPr>
                  <w:tcW w:w="3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D65592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9D968F" w14:textId="77777777" w:rsidR="000A29CC" w:rsidRPr="000A29CC" w:rsidRDefault="000A29CC" w:rsidP="000A2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5C197" w14:textId="77777777" w:rsidR="000A29CC" w:rsidRPr="000A29CC" w:rsidRDefault="000A29CC" w:rsidP="000A29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1.25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00AF4C" w14:textId="77777777" w:rsidR="000A29CC" w:rsidRPr="000A29CC" w:rsidRDefault="000A29CC" w:rsidP="000A29C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29C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2C21CF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F9A66A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F73A6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161362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966C742" w14:textId="77777777" w:rsidR="00EB3D1B" w:rsidRDefault="00233998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588F61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4AE40B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254798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DC75FAD" w14:textId="77777777" w:rsidR="001B79E5" w:rsidRDefault="00233998" w:rsidP="001B79E5">
                <w:pPr>
                  <w:pStyle w:val="Tablefont"/>
                </w:pPr>
                <w:r>
                  <w:t>291.27</w:t>
                </w:r>
              </w:p>
            </w:tc>
          </w:sdtContent>
        </w:sdt>
      </w:tr>
      <w:tr w:rsidR="00A31D99" w:rsidRPr="004C23F4" w14:paraId="177093B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BF4C62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861B52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36D27E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DF531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684102C" w14:textId="77777777" w:rsidR="00687890" w:rsidRPr="004C23F4" w:rsidRDefault="00EC25A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280F6A3" w14:textId="77777777" w:rsidTr="00EA6243">
        <w:trPr>
          <w:cantSplit/>
        </w:trPr>
        <w:tc>
          <w:tcPr>
            <w:tcW w:w="4077" w:type="dxa"/>
            <w:vAlign w:val="center"/>
          </w:tcPr>
          <w:p w14:paraId="6DA07A1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077E45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6D9809D" w14:textId="77777777" w:rsidTr="00EA6243">
        <w:trPr>
          <w:cantSplit/>
        </w:trPr>
        <w:tc>
          <w:tcPr>
            <w:tcW w:w="4077" w:type="dxa"/>
            <w:vAlign w:val="center"/>
          </w:tcPr>
          <w:p w14:paraId="3882BB2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52D59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AE0245E" w14:textId="77777777" w:rsidTr="00EA6243">
        <w:trPr>
          <w:cantSplit/>
        </w:trPr>
        <w:tc>
          <w:tcPr>
            <w:tcW w:w="4077" w:type="dxa"/>
            <w:vAlign w:val="center"/>
          </w:tcPr>
          <w:p w14:paraId="0127D0B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F7DDEFB" w14:textId="77777777" w:rsidR="00E06F40" w:rsidRPr="00A006A0" w:rsidRDefault="00E93F3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3D3D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25F6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DFFFC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9806C3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364D9D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F054DA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1D7F34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EC33E9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344CF7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49DC078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22ED79D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B68C497" w14:textId="77777777" w:rsidR="0020575B" w:rsidRDefault="0020575B" w:rsidP="00084859">
      <w:r>
        <w:t>Australian Pesticides and Veterinary Medicines Authority (APVMA)</w:t>
      </w:r>
      <w:r w:rsidRPr="000D2FDF">
        <w:t xml:space="preserve"> </w:t>
      </w:r>
      <w:r>
        <w:t>Final Report: Parathion; Existing Chemicals Review Program NRA 00.2. Canberra (2010).</w:t>
      </w:r>
    </w:p>
    <w:p w14:paraId="4D4A9C43" w14:textId="77777777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354B46">
        <w:t>2007</w:t>
      </w:r>
      <w:r>
        <w:t xml:space="preserve">) </w:t>
      </w:r>
      <w:r w:rsidR="00354B46">
        <w:t>Parathion</w:t>
      </w:r>
      <w:r>
        <w:t xml:space="preserve"> – MAK value documentation</w:t>
      </w:r>
      <w:r w:rsidR="00EC25A9">
        <w:t>, German language edition</w:t>
      </w:r>
      <w:r>
        <w:t>.</w:t>
      </w:r>
    </w:p>
    <w:p w14:paraId="42599426" w14:textId="77777777" w:rsidR="00EC25A9" w:rsidRDefault="00EC25A9" w:rsidP="00EC25A9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Parathion – MAK value documentation, German language edition.</w:t>
      </w:r>
    </w:p>
    <w:p w14:paraId="01955F88" w14:textId="77777777" w:rsidR="00EC25A9" w:rsidRDefault="00EC25A9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(1973) Parathion – MAK value documentation, German language edition.</w:t>
      </w:r>
    </w:p>
    <w:p w14:paraId="5A7EA332" w14:textId="77777777" w:rsidR="003C18B0" w:rsidRDefault="003C18B0" w:rsidP="008E4F1F">
      <w:r w:rsidRPr="00DB0A36">
        <w:t xml:space="preserve">International Agency for Research on Cancer (IARC) </w:t>
      </w:r>
      <w:r>
        <w:t>Volume 112, S</w:t>
      </w:r>
      <w:r w:rsidRPr="005937D2">
        <w:t>ome Organophosphate Insecticides and Herbicide</w:t>
      </w:r>
      <w:r>
        <w:t>s. IARC Monographs</w:t>
      </w:r>
      <w:r w:rsidRPr="00DB0A36">
        <w:t>.</w:t>
      </w:r>
    </w:p>
    <w:p w14:paraId="4747973F" w14:textId="77777777" w:rsidR="006513BF" w:rsidRDefault="006513BF" w:rsidP="006513BF"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0822847" w14:textId="77777777" w:rsidR="003C18B0" w:rsidRDefault="003C18B0" w:rsidP="008E4F1F">
      <w:r>
        <w:t xml:space="preserve">US Environmental Protection Authority (US EPA) (1988)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Parathion.</w:t>
      </w:r>
    </w:p>
    <w:p w14:paraId="3C4FDDD8" w14:textId="77777777" w:rsidR="008E4F1F" w:rsidRPr="00E7755C" w:rsidRDefault="008E4F1F" w:rsidP="00084859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354B46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r w:rsidR="00354B46">
        <w:t>parathion</w:t>
      </w:r>
      <w:r>
        <w:t>.</w:t>
      </w:r>
    </w:p>
    <w:sectPr w:rsidR="008E4F1F" w:rsidRPr="00E7755C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DB840" w14:textId="77777777" w:rsidR="0025200C" w:rsidRDefault="0025200C" w:rsidP="00F43AD5">
      <w:pPr>
        <w:spacing w:after="0" w:line="240" w:lineRule="auto"/>
      </w:pPr>
      <w:r>
        <w:separator/>
      </w:r>
    </w:p>
  </w:endnote>
  <w:endnote w:type="continuationSeparator" w:id="0">
    <w:p w14:paraId="2A8EF46E" w14:textId="77777777" w:rsidR="0025200C" w:rsidRDefault="0025200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61B4" w14:textId="77777777" w:rsidR="007F6554" w:rsidRDefault="007F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1B43F38" w14:textId="77777777" w:rsidR="000D0C54" w:rsidRDefault="000D0C54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Parathion (56-38-2)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A31DCE">
          <w:rPr>
            <w:sz w:val="18"/>
            <w:szCs w:val="18"/>
          </w:rPr>
          <w:t>20</w:t>
        </w:r>
      </w:p>
      <w:p w14:paraId="4AE9F6A0" w14:textId="5A2C2652" w:rsidR="000D0C54" w:rsidRPr="00F43AD5" w:rsidRDefault="000D0C5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33FD8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A4D5" w14:textId="77777777" w:rsidR="007F6554" w:rsidRDefault="007F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3CE1" w14:textId="77777777" w:rsidR="0025200C" w:rsidRDefault="0025200C" w:rsidP="00F43AD5">
      <w:pPr>
        <w:spacing w:after="0" w:line="240" w:lineRule="auto"/>
      </w:pPr>
      <w:r>
        <w:separator/>
      </w:r>
    </w:p>
  </w:footnote>
  <w:footnote w:type="continuationSeparator" w:id="0">
    <w:p w14:paraId="18D17EB3" w14:textId="77777777" w:rsidR="0025200C" w:rsidRDefault="0025200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2153" w14:textId="77777777" w:rsidR="007F6554" w:rsidRDefault="007F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BB572" w14:textId="68A27AD5" w:rsidR="000D0C54" w:rsidRPr="00D11C4D" w:rsidRDefault="00E93F3F" w:rsidP="00D11C4D">
    <w:pPr>
      <w:pStyle w:val="Header"/>
      <w:jc w:val="right"/>
    </w:pPr>
    <w:r>
      <w:pict w14:anchorId="43172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2291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11C4D">
      <w:rPr>
        <w:noProof/>
        <w:lang w:eastAsia="en-AU"/>
      </w:rPr>
      <w:drawing>
        <wp:inline distT="0" distB="0" distL="0" distR="0" wp14:anchorId="69A2FB91" wp14:editId="435B429F">
          <wp:extent cx="2943225" cy="590550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791A" w14:textId="77777777" w:rsidR="007F6554" w:rsidRDefault="007F65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90CA" w14:textId="160359D0" w:rsidR="00D11C4D" w:rsidRDefault="00E93F3F" w:rsidP="00D11C4D">
    <w:pPr>
      <w:pStyle w:val="Header"/>
      <w:jc w:val="right"/>
    </w:pPr>
    <w:r>
      <w:pict w14:anchorId="6EF875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2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11C4D">
      <w:rPr>
        <w:noProof/>
        <w:lang w:eastAsia="en-AU"/>
      </w:rPr>
      <w:drawing>
        <wp:inline distT="0" distB="0" distL="0" distR="0" wp14:anchorId="4CCC72EB" wp14:editId="12385436">
          <wp:extent cx="2943225" cy="590550"/>
          <wp:effectExtent l="0" t="0" r="0" b="0"/>
          <wp:docPr id="5" name="Picture 5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C730A" w14:textId="77777777" w:rsidR="00D11C4D" w:rsidRDefault="00D11C4D" w:rsidP="00D11C4D">
    <w:pPr>
      <w:pStyle w:val="Header"/>
    </w:pPr>
  </w:p>
  <w:p w14:paraId="02FE5BE2" w14:textId="77777777" w:rsidR="000D0C54" w:rsidRDefault="000D0C5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783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D0A6E"/>
    <w:multiLevelType w:val="hybridMultilevel"/>
    <w:tmpl w:val="7A848EE4"/>
    <w:lvl w:ilvl="0" w:tplc="BA8E60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0D04"/>
    <w:multiLevelType w:val="hybridMultilevel"/>
    <w:tmpl w:val="1A2A40D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734F1"/>
    <w:multiLevelType w:val="hybridMultilevel"/>
    <w:tmpl w:val="98D834A4"/>
    <w:lvl w:ilvl="0" w:tplc="4754C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05C0"/>
    <w:multiLevelType w:val="hybridMultilevel"/>
    <w:tmpl w:val="749614E6"/>
    <w:lvl w:ilvl="0" w:tplc="E1ECAB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36A7"/>
    <w:rsid w:val="00046DF5"/>
    <w:rsid w:val="00052060"/>
    <w:rsid w:val="0005574A"/>
    <w:rsid w:val="00055FE1"/>
    <w:rsid w:val="00056EC2"/>
    <w:rsid w:val="00060B48"/>
    <w:rsid w:val="00066141"/>
    <w:rsid w:val="00067F32"/>
    <w:rsid w:val="00071807"/>
    <w:rsid w:val="000803E1"/>
    <w:rsid w:val="00084513"/>
    <w:rsid w:val="00084859"/>
    <w:rsid w:val="00092D94"/>
    <w:rsid w:val="000A29CC"/>
    <w:rsid w:val="000B0868"/>
    <w:rsid w:val="000B3E12"/>
    <w:rsid w:val="000B3E78"/>
    <w:rsid w:val="000B774A"/>
    <w:rsid w:val="000B7B48"/>
    <w:rsid w:val="000C096D"/>
    <w:rsid w:val="000C139A"/>
    <w:rsid w:val="000C2053"/>
    <w:rsid w:val="000C248C"/>
    <w:rsid w:val="000D0C54"/>
    <w:rsid w:val="000D291C"/>
    <w:rsid w:val="000E3B95"/>
    <w:rsid w:val="000E5A54"/>
    <w:rsid w:val="000E63D3"/>
    <w:rsid w:val="000E67CF"/>
    <w:rsid w:val="000E7CC7"/>
    <w:rsid w:val="0010461E"/>
    <w:rsid w:val="00106FAA"/>
    <w:rsid w:val="00113443"/>
    <w:rsid w:val="001269A7"/>
    <w:rsid w:val="00131092"/>
    <w:rsid w:val="0013745A"/>
    <w:rsid w:val="00140E6A"/>
    <w:rsid w:val="00146545"/>
    <w:rsid w:val="00146B75"/>
    <w:rsid w:val="0015266D"/>
    <w:rsid w:val="0015288A"/>
    <w:rsid w:val="00160F47"/>
    <w:rsid w:val="00163A7E"/>
    <w:rsid w:val="00177CA1"/>
    <w:rsid w:val="0018059B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3D3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75B"/>
    <w:rsid w:val="00213640"/>
    <w:rsid w:val="00216D99"/>
    <w:rsid w:val="00221547"/>
    <w:rsid w:val="002216FC"/>
    <w:rsid w:val="00222533"/>
    <w:rsid w:val="00222F30"/>
    <w:rsid w:val="00224EE2"/>
    <w:rsid w:val="00227EC7"/>
    <w:rsid w:val="00230755"/>
    <w:rsid w:val="00232703"/>
    <w:rsid w:val="00233998"/>
    <w:rsid w:val="00234C7B"/>
    <w:rsid w:val="00244AD1"/>
    <w:rsid w:val="002463BC"/>
    <w:rsid w:val="002465CE"/>
    <w:rsid w:val="0025200C"/>
    <w:rsid w:val="0025734A"/>
    <w:rsid w:val="00263255"/>
    <w:rsid w:val="00265787"/>
    <w:rsid w:val="00276494"/>
    <w:rsid w:val="00277B0C"/>
    <w:rsid w:val="00292F6D"/>
    <w:rsid w:val="00293B4D"/>
    <w:rsid w:val="002A3C7C"/>
    <w:rsid w:val="002B1A2C"/>
    <w:rsid w:val="002C34F2"/>
    <w:rsid w:val="002C58FF"/>
    <w:rsid w:val="002C7AFE"/>
    <w:rsid w:val="002D05D2"/>
    <w:rsid w:val="002E0D61"/>
    <w:rsid w:val="002E4C7B"/>
    <w:rsid w:val="002F629D"/>
    <w:rsid w:val="0030740C"/>
    <w:rsid w:val="00315833"/>
    <w:rsid w:val="003215EE"/>
    <w:rsid w:val="003224BF"/>
    <w:rsid w:val="003241A8"/>
    <w:rsid w:val="003253F0"/>
    <w:rsid w:val="0032765F"/>
    <w:rsid w:val="003337DA"/>
    <w:rsid w:val="00334EFB"/>
    <w:rsid w:val="00335CDE"/>
    <w:rsid w:val="003365A5"/>
    <w:rsid w:val="00345A13"/>
    <w:rsid w:val="00347192"/>
    <w:rsid w:val="0034744C"/>
    <w:rsid w:val="003475BA"/>
    <w:rsid w:val="00350846"/>
    <w:rsid w:val="00351FE0"/>
    <w:rsid w:val="00352615"/>
    <w:rsid w:val="0035412B"/>
    <w:rsid w:val="00354B46"/>
    <w:rsid w:val="003567A8"/>
    <w:rsid w:val="00362895"/>
    <w:rsid w:val="00370DBF"/>
    <w:rsid w:val="00373923"/>
    <w:rsid w:val="00386093"/>
    <w:rsid w:val="003904A4"/>
    <w:rsid w:val="00391841"/>
    <w:rsid w:val="00391B6D"/>
    <w:rsid w:val="00394922"/>
    <w:rsid w:val="003A0E32"/>
    <w:rsid w:val="003A27D2"/>
    <w:rsid w:val="003A2B94"/>
    <w:rsid w:val="003B006D"/>
    <w:rsid w:val="003B387D"/>
    <w:rsid w:val="003C0D58"/>
    <w:rsid w:val="003C18B0"/>
    <w:rsid w:val="003C3838"/>
    <w:rsid w:val="003D0086"/>
    <w:rsid w:val="003D4FA3"/>
    <w:rsid w:val="003E0807"/>
    <w:rsid w:val="003E51FB"/>
    <w:rsid w:val="003E6B39"/>
    <w:rsid w:val="003F07E1"/>
    <w:rsid w:val="00400344"/>
    <w:rsid w:val="00402DE4"/>
    <w:rsid w:val="004030BC"/>
    <w:rsid w:val="00403F7D"/>
    <w:rsid w:val="00405067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658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42ED"/>
    <w:rsid w:val="004A5088"/>
    <w:rsid w:val="004B6128"/>
    <w:rsid w:val="004C09C1"/>
    <w:rsid w:val="004C1E3F"/>
    <w:rsid w:val="004C23F4"/>
    <w:rsid w:val="004C3475"/>
    <w:rsid w:val="004C58B6"/>
    <w:rsid w:val="004D16A3"/>
    <w:rsid w:val="004D4AA1"/>
    <w:rsid w:val="004D4E77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3FD8"/>
    <w:rsid w:val="00534B10"/>
    <w:rsid w:val="005446A2"/>
    <w:rsid w:val="00544D2F"/>
    <w:rsid w:val="00551BD8"/>
    <w:rsid w:val="005725F6"/>
    <w:rsid w:val="00581055"/>
    <w:rsid w:val="00591E38"/>
    <w:rsid w:val="005937D2"/>
    <w:rsid w:val="005A19C5"/>
    <w:rsid w:val="005A3034"/>
    <w:rsid w:val="005A462D"/>
    <w:rsid w:val="005B253B"/>
    <w:rsid w:val="005B771D"/>
    <w:rsid w:val="005C5D16"/>
    <w:rsid w:val="005C6B72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368"/>
    <w:rsid w:val="00650905"/>
    <w:rsid w:val="006513BF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07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774"/>
    <w:rsid w:val="007939B3"/>
    <w:rsid w:val="0079509C"/>
    <w:rsid w:val="00796708"/>
    <w:rsid w:val="007B1B42"/>
    <w:rsid w:val="007B74BB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6554"/>
    <w:rsid w:val="00804F5A"/>
    <w:rsid w:val="00810A40"/>
    <w:rsid w:val="00810C6D"/>
    <w:rsid w:val="00812887"/>
    <w:rsid w:val="00815F01"/>
    <w:rsid w:val="00826F21"/>
    <w:rsid w:val="00834CC8"/>
    <w:rsid w:val="00835E00"/>
    <w:rsid w:val="00837113"/>
    <w:rsid w:val="008414E4"/>
    <w:rsid w:val="008417C6"/>
    <w:rsid w:val="00843E21"/>
    <w:rsid w:val="0084446F"/>
    <w:rsid w:val="0084508E"/>
    <w:rsid w:val="00857A8A"/>
    <w:rsid w:val="008630EE"/>
    <w:rsid w:val="00864D13"/>
    <w:rsid w:val="00867D19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76D"/>
    <w:rsid w:val="008B7983"/>
    <w:rsid w:val="008C00BB"/>
    <w:rsid w:val="008C0E0F"/>
    <w:rsid w:val="008C2511"/>
    <w:rsid w:val="008D026D"/>
    <w:rsid w:val="008D23AB"/>
    <w:rsid w:val="008D4B8B"/>
    <w:rsid w:val="008D5A78"/>
    <w:rsid w:val="008E4F1F"/>
    <w:rsid w:val="008E7B64"/>
    <w:rsid w:val="008F18A3"/>
    <w:rsid w:val="008F5DCD"/>
    <w:rsid w:val="00900951"/>
    <w:rsid w:val="009118A6"/>
    <w:rsid w:val="00916909"/>
    <w:rsid w:val="00916EC0"/>
    <w:rsid w:val="00920467"/>
    <w:rsid w:val="00921DE7"/>
    <w:rsid w:val="00923DE6"/>
    <w:rsid w:val="0093041A"/>
    <w:rsid w:val="00930714"/>
    <w:rsid w:val="00931B03"/>
    <w:rsid w:val="009323B9"/>
    <w:rsid w:val="00932DCE"/>
    <w:rsid w:val="0093327E"/>
    <w:rsid w:val="00934028"/>
    <w:rsid w:val="0093760E"/>
    <w:rsid w:val="0094418D"/>
    <w:rsid w:val="00946044"/>
    <w:rsid w:val="0094660B"/>
    <w:rsid w:val="00946A33"/>
    <w:rsid w:val="0095260E"/>
    <w:rsid w:val="00956EEB"/>
    <w:rsid w:val="009578DD"/>
    <w:rsid w:val="00961124"/>
    <w:rsid w:val="009621B6"/>
    <w:rsid w:val="00974F2D"/>
    <w:rsid w:val="00977524"/>
    <w:rsid w:val="00977E88"/>
    <w:rsid w:val="00981E6C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1B9"/>
    <w:rsid w:val="00A047EF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1DCE"/>
    <w:rsid w:val="00A357BA"/>
    <w:rsid w:val="00A35ADC"/>
    <w:rsid w:val="00A378A0"/>
    <w:rsid w:val="00A402A3"/>
    <w:rsid w:val="00A53681"/>
    <w:rsid w:val="00A54835"/>
    <w:rsid w:val="00A54B5D"/>
    <w:rsid w:val="00A633D4"/>
    <w:rsid w:val="00A6461A"/>
    <w:rsid w:val="00A64F6F"/>
    <w:rsid w:val="00A84504"/>
    <w:rsid w:val="00A8672F"/>
    <w:rsid w:val="00A873C6"/>
    <w:rsid w:val="00A93057"/>
    <w:rsid w:val="00A968B0"/>
    <w:rsid w:val="00AA785F"/>
    <w:rsid w:val="00AB2672"/>
    <w:rsid w:val="00AB2817"/>
    <w:rsid w:val="00AB43C4"/>
    <w:rsid w:val="00AC32E7"/>
    <w:rsid w:val="00AC3A9F"/>
    <w:rsid w:val="00AC43DB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17F56"/>
    <w:rsid w:val="00B213C4"/>
    <w:rsid w:val="00B230B8"/>
    <w:rsid w:val="00B26B60"/>
    <w:rsid w:val="00B2772B"/>
    <w:rsid w:val="00B40C60"/>
    <w:rsid w:val="00B479A9"/>
    <w:rsid w:val="00B52EDF"/>
    <w:rsid w:val="00B71188"/>
    <w:rsid w:val="00B76A41"/>
    <w:rsid w:val="00B87D4C"/>
    <w:rsid w:val="00B93646"/>
    <w:rsid w:val="00BA0B38"/>
    <w:rsid w:val="00BA119D"/>
    <w:rsid w:val="00BA1DBB"/>
    <w:rsid w:val="00BA4510"/>
    <w:rsid w:val="00BA529A"/>
    <w:rsid w:val="00BB612A"/>
    <w:rsid w:val="00BD02C4"/>
    <w:rsid w:val="00BD499F"/>
    <w:rsid w:val="00BD56DE"/>
    <w:rsid w:val="00BD6E0A"/>
    <w:rsid w:val="00BE6E4A"/>
    <w:rsid w:val="00BF2406"/>
    <w:rsid w:val="00BF58EE"/>
    <w:rsid w:val="00C06E43"/>
    <w:rsid w:val="00C16315"/>
    <w:rsid w:val="00C23E43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8B9"/>
    <w:rsid w:val="00C71D1E"/>
    <w:rsid w:val="00C71D7D"/>
    <w:rsid w:val="00C74833"/>
    <w:rsid w:val="00C8285F"/>
    <w:rsid w:val="00C850A0"/>
    <w:rsid w:val="00C85A86"/>
    <w:rsid w:val="00C85DE3"/>
    <w:rsid w:val="00C926B3"/>
    <w:rsid w:val="00C978F0"/>
    <w:rsid w:val="00CA58FE"/>
    <w:rsid w:val="00CB1CB1"/>
    <w:rsid w:val="00CB5D12"/>
    <w:rsid w:val="00CB6BC1"/>
    <w:rsid w:val="00CB6CB8"/>
    <w:rsid w:val="00CC1A68"/>
    <w:rsid w:val="00CC2123"/>
    <w:rsid w:val="00CD2BFD"/>
    <w:rsid w:val="00CD52D3"/>
    <w:rsid w:val="00CD6675"/>
    <w:rsid w:val="00CE5AD6"/>
    <w:rsid w:val="00CE617F"/>
    <w:rsid w:val="00CE78EF"/>
    <w:rsid w:val="00D0002C"/>
    <w:rsid w:val="00D048F7"/>
    <w:rsid w:val="00D0517E"/>
    <w:rsid w:val="00D11C4D"/>
    <w:rsid w:val="00D140FC"/>
    <w:rsid w:val="00D21D8C"/>
    <w:rsid w:val="00D27110"/>
    <w:rsid w:val="00D31357"/>
    <w:rsid w:val="00D33220"/>
    <w:rsid w:val="00D334D1"/>
    <w:rsid w:val="00D44C89"/>
    <w:rsid w:val="00D47C04"/>
    <w:rsid w:val="00D516CD"/>
    <w:rsid w:val="00D668E6"/>
    <w:rsid w:val="00D70670"/>
    <w:rsid w:val="00D74D80"/>
    <w:rsid w:val="00D76624"/>
    <w:rsid w:val="00D87570"/>
    <w:rsid w:val="00D90843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9B5"/>
    <w:rsid w:val="00E26A07"/>
    <w:rsid w:val="00E32595"/>
    <w:rsid w:val="00E36AA6"/>
    <w:rsid w:val="00E37CFD"/>
    <w:rsid w:val="00E41A26"/>
    <w:rsid w:val="00E46BCB"/>
    <w:rsid w:val="00E51CAF"/>
    <w:rsid w:val="00E60F04"/>
    <w:rsid w:val="00E62AAC"/>
    <w:rsid w:val="00E67C2F"/>
    <w:rsid w:val="00E67EF5"/>
    <w:rsid w:val="00E7755C"/>
    <w:rsid w:val="00E804EA"/>
    <w:rsid w:val="00E80A71"/>
    <w:rsid w:val="00E82337"/>
    <w:rsid w:val="00E92499"/>
    <w:rsid w:val="00E93F3F"/>
    <w:rsid w:val="00E949AF"/>
    <w:rsid w:val="00E95E3A"/>
    <w:rsid w:val="00E96077"/>
    <w:rsid w:val="00EA0A06"/>
    <w:rsid w:val="00EA28F1"/>
    <w:rsid w:val="00EA6243"/>
    <w:rsid w:val="00EA74AB"/>
    <w:rsid w:val="00EB3D1B"/>
    <w:rsid w:val="00EB60A2"/>
    <w:rsid w:val="00EC25A9"/>
    <w:rsid w:val="00ED1D89"/>
    <w:rsid w:val="00ED66BC"/>
    <w:rsid w:val="00EE14F0"/>
    <w:rsid w:val="00EE57F4"/>
    <w:rsid w:val="00EF233A"/>
    <w:rsid w:val="00EF303E"/>
    <w:rsid w:val="00EF354A"/>
    <w:rsid w:val="00EF3A40"/>
    <w:rsid w:val="00EF7F78"/>
    <w:rsid w:val="00F01B08"/>
    <w:rsid w:val="00F01C4D"/>
    <w:rsid w:val="00F053FA"/>
    <w:rsid w:val="00F10C97"/>
    <w:rsid w:val="00F11C71"/>
    <w:rsid w:val="00F12624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4E44"/>
    <w:rsid w:val="00F87D92"/>
    <w:rsid w:val="00F90AA7"/>
    <w:rsid w:val="00F92498"/>
    <w:rsid w:val="00F9496B"/>
    <w:rsid w:val="00F970C9"/>
    <w:rsid w:val="00FA06A8"/>
    <w:rsid w:val="00FA20A1"/>
    <w:rsid w:val="00FA3DF5"/>
    <w:rsid w:val="00FA741F"/>
    <w:rsid w:val="00FB330B"/>
    <w:rsid w:val="00FB4E07"/>
    <w:rsid w:val="00FB755A"/>
    <w:rsid w:val="00FC60A2"/>
    <w:rsid w:val="00FD1871"/>
    <w:rsid w:val="00FD3110"/>
    <w:rsid w:val="00FE2B96"/>
    <w:rsid w:val="00FF0CB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264D1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77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5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55C"/>
    <w:rPr>
      <w:szCs w:val="20"/>
    </w:rPr>
  </w:style>
  <w:style w:type="paragraph" w:styleId="ListBullet">
    <w:name w:val="List Bullet"/>
    <w:basedOn w:val="Normal"/>
    <w:uiPriority w:val="99"/>
    <w:unhideWhenUsed/>
    <w:rsid w:val="006513BF"/>
    <w:pPr>
      <w:numPr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7F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B757BC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5842CEA8320E468EAB78636D84F1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BF36-12CF-45EC-9DB0-A15957E25A80}"/>
      </w:docPartPr>
      <w:docPartBody>
        <w:p w:rsidR="00B91AEA" w:rsidRDefault="00B757BC" w:rsidP="00B757BC">
          <w:pPr>
            <w:pStyle w:val="5842CEA8320E468EAB78636D84F1A62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EFFCC13113141A5930D6C54777F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902D-5AEF-42B8-BCFA-93D017C48095}"/>
      </w:docPartPr>
      <w:docPartBody>
        <w:p w:rsidR="00B91AEA" w:rsidRDefault="00B91AEA" w:rsidP="00B91AEA">
          <w:pPr>
            <w:pStyle w:val="DEFFCC13113141A5930D6C54777FBFF5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833E4B1EC894E22975BDB9B9317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1684-DF7E-4DD2-9F7E-F5C9E84B100E}"/>
      </w:docPartPr>
      <w:docPartBody>
        <w:p w:rsidR="009F3DF1" w:rsidRDefault="00AC2FEC" w:rsidP="00AC2FEC">
          <w:pPr>
            <w:pStyle w:val="1833E4B1EC894E22975BDB9B9317897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434B4E"/>
    <w:rsid w:val="00536172"/>
    <w:rsid w:val="009F3DF1"/>
    <w:rsid w:val="00AC2FEC"/>
    <w:rsid w:val="00B757BC"/>
    <w:rsid w:val="00B91AE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E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5842CEA8320E468EAB78636D84F1A620">
    <w:name w:val="5842CEA8320E468EAB78636D84F1A620"/>
    <w:rsid w:val="00B757BC"/>
    <w:rPr>
      <w:lang w:val="en-US" w:eastAsia="en-US"/>
    </w:rPr>
  </w:style>
  <w:style w:type="paragraph" w:customStyle="1" w:styleId="DEFFCC13113141A5930D6C54777FBFF5">
    <w:name w:val="DEFFCC13113141A5930D6C54777FBFF5"/>
    <w:rsid w:val="00B91AEA"/>
  </w:style>
  <w:style w:type="paragraph" w:customStyle="1" w:styleId="1833E4B1EC894E22975BDB9B9317897F">
    <w:name w:val="1833E4B1EC894E22975BDB9B9317897F"/>
    <w:rsid w:val="00AC2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63B5-6413-4558-92A1-5281543D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18778-8E6C-4CB7-96F7-1DBF43068B1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bf54d604-3e62-4e70-ba33-9e9084b96a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5BA406-3CBA-4AAD-A553-1D2C503FD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6543B-5E60-4320-95ED-67042BB6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2020-02-25T04:11:00Z</dcterms:created>
  <dcterms:modified xsi:type="dcterms:W3CDTF">2020-07-22T01:18:00Z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