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BD4D7FD" w14:textId="2CA42168" w:rsidR="00BD499F" w:rsidRPr="004C23F4" w:rsidRDefault="00663CF4" w:rsidP="00663CF4">
          <w:pPr>
            <w:pStyle w:val="Heading1"/>
            <w:jc w:val="center"/>
            <w:rPr>
              <w:rFonts w:ascii="Arial" w:hAnsi="Arial" w:cs="Arial"/>
            </w:rPr>
          </w:pPr>
          <w:r w:rsidRPr="00663CF4">
            <w:rPr>
              <w:rFonts w:ascii="Arial" w:hAnsi="Arial" w:cs="Arial"/>
            </w:rPr>
            <w:t>Perfluoroisobutylene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2"/>
        <w:gridCol w:w="5054"/>
      </w:tblGrid>
      <w:tr w:rsidR="00F43AD5" w:rsidRPr="004C23F4" w14:paraId="1D4E3AD5" w14:textId="77777777" w:rsidTr="00B76A41">
        <w:trPr>
          <w:cantSplit/>
          <w:tblHeader/>
        </w:trPr>
        <w:tc>
          <w:tcPr>
            <w:tcW w:w="4077" w:type="dxa"/>
          </w:tcPr>
          <w:p w14:paraId="0F6EFED2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0328612" w14:textId="39A2BE07" w:rsidR="00F43AD5" w:rsidRPr="00717D45" w:rsidRDefault="00663CF4" w:rsidP="00B76A41">
            <w:pPr>
              <w:pStyle w:val="Tablefont"/>
            </w:pPr>
            <w:r w:rsidRPr="00663CF4">
              <w:t>382-21-8</w:t>
            </w:r>
          </w:p>
        </w:tc>
      </w:tr>
      <w:tr w:rsidR="00F43AD5" w:rsidRPr="004C23F4" w14:paraId="440D08B6" w14:textId="77777777" w:rsidTr="00B76A41">
        <w:trPr>
          <w:cantSplit/>
        </w:trPr>
        <w:tc>
          <w:tcPr>
            <w:tcW w:w="4077" w:type="dxa"/>
          </w:tcPr>
          <w:p w14:paraId="5D33AC2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25F7B61" w14:textId="22EB0AC6" w:rsidR="00F43AD5" w:rsidRPr="00717D45" w:rsidRDefault="00663CF4" w:rsidP="00B76A41">
            <w:pPr>
              <w:pStyle w:val="Tablefont"/>
            </w:pPr>
            <w:proofErr w:type="spellStart"/>
            <w:r>
              <w:t>Octafluoroisobutylene</w:t>
            </w:r>
            <w:proofErr w:type="spellEnd"/>
            <w:r>
              <w:t xml:space="preserve">, </w:t>
            </w:r>
            <w:proofErr w:type="spellStart"/>
            <w:r>
              <w:t>octafluoro</w:t>
            </w:r>
            <w:proofErr w:type="spellEnd"/>
            <w:r>
              <w:t>-sec-butene, PFIB</w:t>
            </w:r>
          </w:p>
        </w:tc>
      </w:tr>
      <w:tr w:rsidR="00F43AD5" w:rsidRPr="004C23F4" w14:paraId="1AC70CA6" w14:textId="77777777" w:rsidTr="00B76A41">
        <w:trPr>
          <w:cantSplit/>
        </w:trPr>
        <w:tc>
          <w:tcPr>
            <w:tcW w:w="4077" w:type="dxa"/>
          </w:tcPr>
          <w:p w14:paraId="43140B1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72FACE3E" w14:textId="37D3E4E1" w:rsidR="00F43AD5" w:rsidRPr="00717D45" w:rsidRDefault="00063D81" w:rsidP="00B76A41">
            <w:pPr>
              <w:pStyle w:val="Tablefont"/>
            </w:pPr>
            <w:r>
              <w:t>C</w:t>
            </w:r>
            <w:r w:rsidRPr="00063D81">
              <w:rPr>
                <w:vertAlign w:val="subscript"/>
              </w:rPr>
              <w:t>4</w:t>
            </w:r>
            <w:r>
              <w:t>F</w:t>
            </w:r>
            <w:r w:rsidRPr="00063D81">
              <w:rPr>
                <w:vertAlign w:val="subscript"/>
              </w:rPr>
              <w:t>8</w:t>
            </w:r>
          </w:p>
        </w:tc>
      </w:tr>
      <w:tr w:rsidR="00F43AD5" w:rsidRPr="004C23F4" w14:paraId="1952A2C9" w14:textId="77777777" w:rsidTr="00B76A41">
        <w:trPr>
          <w:cantSplit/>
        </w:trPr>
        <w:tc>
          <w:tcPr>
            <w:tcW w:w="4077" w:type="dxa"/>
          </w:tcPr>
          <w:p w14:paraId="613CF3FA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A689615" w14:textId="1FC74576" w:rsidR="00F43AD5" w:rsidRPr="005B19A8" w:rsidRDefault="00063D81" w:rsidP="00B76A41">
            <w:pPr>
              <w:pStyle w:val="Tablerowheading"/>
              <w:rPr>
                <w:b w:val="0"/>
              </w:rPr>
            </w:pPr>
            <w:r w:rsidRPr="00231414">
              <w:rPr>
                <w:b w:val="0"/>
              </w:rPr>
              <w:t>—</w:t>
            </w:r>
          </w:p>
        </w:tc>
      </w:tr>
    </w:tbl>
    <w:p w14:paraId="123BB5F0" w14:textId="3DF78D0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4463C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10574BA2" w14:textId="77777777" w:rsidTr="00320F1F">
        <w:trPr>
          <w:cantSplit/>
          <w:tblHeader/>
        </w:trPr>
        <w:tc>
          <w:tcPr>
            <w:tcW w:w="4010" w:type="dxa"/>
            <w:vAlign w:val="center"/>
          </w:tcPr>
          <w:p w14:paraId="17BF858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2971DDD0" w14:textId="31E0559E" w:rsidR="002C7AFE" w:rsidRPr="005B19A8" w:rsidRDefault="005945CF" w:rsidP="00017C82">
            <w:pPr>
              <w:pStyle w:val="Tablefont"/>
              <w:rPr>
                <w:b/>
              </w:rPr>
            </w:pPr>
            <w:r w:rsidRPr="00231414">
              <w:rPr>
                <w:b/>
              </w:rPr>
              <w:t>—</w:t>
            </w:r>
          </w:p>
        </w:tc>
      </w:tr>
      <w:tr w:rsidR="002C7AFE" w:rsidRPr="004C23F4" w14:paraId="55FFA41C" w14:textId="77777777" w:rsidTr="00320F1F">
        <w:trPr>
          <w:cantSplit/>
        </w:trPr>
        <w:tc>
          <w:tcPr>
            <w:tcW w:w="4010" w:type="dxa"/>
            <w:vAlign w:val="center"/>
          </w:tcPr>
          <w:p w14:paraId="7FFD3BD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6" w:type="dxa"/>
          </w:tcPr>
          <w:p w14:paraId="30EED8CB" w14:textId="7B112394" w:rsidR="002C7AFE" w:rsidRPr="005B19A8" w:rsidRDefault="00320F1F" w:rsidP="00017C82">
            <w:pPr>
              <w:pStyle w:val="Tablefont"/>
              <w:rPr>
                <w:b/>
              </w:rPr>
            </w:pPr>
            <w:r w:rsidRPr="00231414">
              <w:rPr>
                <w:b/>
              </w:rPr>
              <w:t>—</w:t>
            </w:r>
          </w:p>
        </w:tc>
      </w:tr>
      <w:tr w:rsidR="002C7AFE" w:rsidRPr="004C23F4" w14:paraId="39909A97" w14:textId="77777777" w:rsidTr="00320F1F">
        <w:trPr>
          <w:cantSplit/>
        </w:trPr>
        <w:tc>
          <w:tcPr>
            <w:tcW w:w="4010" w:type="dxa"/>
            <w:vAlign w:val="center"/>
          </w:tcPr>
          <w:p w14:paraId="4B47A12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15FD82D3" w14:textId="7C9C3916" w:rsidR="002C7AFE" w:rsidRPr="00231414" w:rsidRDefault="005945CF" w:rsidP="00017C82">
            <w:pPr>
              <w:pStyle w:val="Tablefont"/>
              <w:rPr>
                <w:b/>
              </w:rPr>
            </w:pPr>
            <w:r w:rsidRPr="00231414">
              <w:rPr>
                <w:b/>
              </w:rPr>
              <w:t>0.01 ppm (0.082 mg/m</w:t>
            </w:r>
            <w:r w:rsidRPr="00231414">
              <w:rPr>
                <w:b/>
                <w:vertAlign w:val="superscript"/>
              </w:rPr>
              <w:t>3</w:t>
            </w:r>
            <w:r w:rsidRPr="00231414">
              <w:rPr>
                <w:b/>
              </w:rPr>
              <w:t>)</w:t>
            </w:r>
          </w:p>
        </w:tc>
      </w:tr>
      <w:tr w:rsidR="002C7AFE" w:rsidRPr="004C23F4" w14:paraId="6B353787" w14:textId="77777777" w:rsidTr="00320F1F">
        <w:trPr>
          <w:cantSplit/>
        </w:trPr>
        <w:tc>
          <w:tcPr>
            <w:tcW w:w="4010" w:type="dxa"/>
          </w:tcPr>
          <w:p w14:paraId="7B8766B2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6" w:type="dxa"/>
          </w:tcPr>
          <w:p w14:paraId="147BC4AF" w14:textId="025D41C5" w:rsidR="002C7AFE" w:rsidRPr="005B19A8" w:rsidRDefault="00320F1F" w:rsidP="008A36CF">
            <w:pPr>
              <w:pStyle w:val="Tablefont"/>
              <w:rPr>
                <w:b/>
              </w:rPr>
            </w:pPr>
            <w:r w:rsidRPr="00231414">
              <w:rPr>
                <w:b/>
              </w:rPr>
              <w:t>—</w:t>
            </w:r>
          </w:p>
        </w:tc>
      </w:tr>
      <w:tr w:rsidR="002C7AFE" w:rsidRPr="004C23F4" w14:paraId="2733C581" w14:textId="77777777" w:rsidTr="00320F1F">
        <w:trPr>
          <w:cantSplit/>
        </w:trPr>
        <w:tc>
          <w:tcPr>
            <w:tcW w:w="4010" w:type="dxa"/>
            <w:vAlign w:val="center"/>
          </w:tcPr>
          <w:p w14:paraId="73A01A98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6029306E" w14:textId="5962A484" w:rsidR="002C7AFE" w:rsidRPr="005B19A8" w:rsidRDefault="00063D81" w:rsidP="00017C82">
            <w:pPr>
              <w:pStyle w:val="Tablefont"/>
              <w:rPr>
                <w:b/>
              </w:rPr>
            </w:pPr>
            <w:r w:rsidRPr="00231414">
              <w:rPr>
                <w:b/>
              </w:rPr>
              <w:t>—</w:t>
            </w:r>
          </w:p>
        </w:tc>
      </w:tr>
      <w:tr w:rsidR="00320F1F" w:rsidRPr="004C23F4" w14:paraId="237DFFCC" w14:textId="77777777" w:rsidTr="008841F4">
        <w:trPr>
          <w:cantSplit/>
        </w:trPr>
        <w:tc>
          <w:tcPr>
            <w:tcW w:w="9026" w:type="dxa"/>
            <w:gridSpan w:val="2"/>
            <w:vAlign w:val="center"/>
          </w:tcPr>
          <w:p w14:paraId="325C8C45" w14:textId="565D1FFA" w:rsidR="00320F1F" w:rsidRPr="00320F1F" w:rsidRDefault="00320F1F" w:rsidP="00017C82">
            <w:pPr>
              <w:pStyle w:val="Tablefont"/>
              <w:rPr>
                <w:b/>
              </w:rPr>
            </w:pPr>
            <w:r w:rsidRPr="00320F1F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6CD9E5736BBB497DABC380E1C63B5E91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23141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3CAE89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A49942B" w14:textId="5DE9F330" w:rsidR="006639B4" w:rsidRDefault="005945CF" w:rsidP="000C139A">
      <w:r>
        <w:rPr>
          <w:rFonts w:cs="Arial"/>
        </w:rPr>
        <w:t>A peak limitation of 0.01 ppm (0.082 mg/m</w:t>
      </w:r>
      <w:r w:rsidRPr="005945CF"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</w:t>
      </w:r>
      <w:r w:rsidR="00D24E65">
        <w:rPr>
          <w:rFonts w:cs="Arial"/>
        </w:rPr>
        <w:t xml:space="preserve">in the interim </w:t>
      </w:r>
      <w:r>
        <w:rPr>
          <w:rFonts w:cs="Arial"/>
        </w:rPr>
        <w:t xml:space="preserve">to </w:t>
      </w:r>
      <w:r w:rsidR="006778B1">
        <w:rPr>
          <w:rFonts w:cs="Arial"/>
        </w:rPr>
        <w:t xml:space="preserve">protect for </w:t>
      </w:r>
      <w:r w:rsidR="006778B1">
        <w:t xml:space="preserve">respiratory tract irritation, pulmonary oedema, cyanosis and </w:t>
      </w:r>
      <w:r w:rsidR="007D11A5">
        <w:t>effects on the</w:t>
      </w:r>
      <w:r w:rsidR="006778B1">
        <w:t xml:space="preserve"> </w:t>
      </w:r>
      <w:r w:rsidR="006778B1" w:rsidRPr="00AB0FFC">
        <w:t>haematopoietic</w:t>
      </w:r>
      <w:r w:rsidR="006778B1">
        <w:t xml:space="preserve"> system</w:t>
      </w:r>
      <w:r w:rsidR="007D11A5">
        <w:t xml:space="preserve"> (blood) in exposed workers</w:t>
      </w:r>
      <w:r w:rsidR="006778B1">
        <w:t>.</w:t>
      </w:r>
    </w:p>
    <w:p w14:paraId="06AA8876" w14:textId="4B7DDDBF" w:rsidR="00C8127E" w:rsidRPr="0064580F" w:rsidRDefault="00C8127E" w:rsidP="00C8127E">
      <w:pPr>
        <w:rPr>
          <w:rFonts w:cs="Arial"/>
        </w:rPr>
      </w:pPr>
      <w:r w:rsidRPr="007E45DB">
        <w:rPr>
          <w:rFonts w:cs="Arial"/>
        </w:rPr>
        <w:t xml:space="preserve">A priority review of the data for the chemical </w:t>
      </w:r>
      <w:r w:rsidR="0024463C" w:rsidRPr="007E45DB">
        <w:rPr>
          <w:rFonts w:cs="Arial"/>
        </w:rPr>
        <w:t xml:space="preserve">is recommended </w:t>
      </w:r>
      <w:r w:rsidRPr="007E45DB">
        <w:rPr>
          <w:rFonts w:cs="Arial"/>
        </w:rPr>
        <w:t>in the next scheduled review.</w:t>
      </w:r>
    </w:p>
    <w:p w14:paraId="43C5E8A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F484E0F" w14:textId="12A3CA12" w:rsidR="007D11A5" w:rsidRDefault="006778B1" w:rsidP="006639B4">
      <w:pPr>
        <w:rPr>
          <w:rFonts w:cs="Arial"/>
        </w:rPr>
      </w:pPr>
      <w:proofErr w:type="spellStart"/>
      <w:r>
        <w:rPr>
          <w:rFonts w:cs="Arial"/>
        </w:rPr>
        <w:t>Perfluoroisobutylene</w:t>
      </w:r>
      <w:proofErr w:type="spellEnd"/>
      <w:r>
        <w:rPr>
          <w:rFonts w:cs="Arial"/>
        </w:rPr>
        <w:t xml:space="preserve"> (PFIB) is a </w:t>
      </w:r>
      <w:r w:rsidR="000F2EA6">
        <w:rPr>
          <w:rFonts w:cs="Arial"/>
        </w:rPr>
        <w:t>by-product</w:t>
      </w:r>
      <w:r>
        <w:rPr>
          <w:rFonts w:cs="Arial"/>
        </w:rPr>
        <w:t xml:space="preserve">, formed during tetrafluoroethene production and during thermal degradation of </w:t>
      </w:r>
      <w:proofErr w:type="spellStart"/>
      <w:r>
        <w:rPr>
          <w:rFonts w:cs="Arial"/>
        </w:rPr>
        <w:t>polytetrafluoroethene</w:t>
      </w:r>
      <w:proofErr w:type="spellEnd"/>
      <w:r>
        <w:rPr>
          <w:rFonts w:cs="Arial"/>
        </w:rPr>
        <w:t xml:space="preserve">. </w:t>
      </w:r>
    </w:p>
    <w:p w14:paraId="60E3D50A" w14:textId="71CBCD89" w:rsidR="007D11A5" w:rsidRDefault="006778B1" w:rsidP="006639B4">
      <w:r>
        <w:rPr>
          <w:rFonts w:cs="Arial"/>
        </w:rPr>
        <w:t xml:space="preserve">No human toxicological data </w:t>
      </w:r>
      <w:r w:rsidR="007D11A5">
        <w:rPr>
          <w:rFonts w:cs="Arial"/>
        </w:rPr>
        <w:t>are</w:t>
      </w:r>
      <w:r w:rsidR="00231414">
        <w:rPr>
          <w:rFonts w:cs="Arial"/>
        </w:rPr>
        <w:t xml:space="preserve"> </w:t>
      </w:r>
      <w:r>
        <w:rPr>
          <w:rFonts w:cs="Arial"/>
        </w:rPr>
        <w:t>available</w:t>
      </w:r>
      <w:r w:rsidR="007D11A5">
        <w:rPr>
          <w:rFonts w:cs="Arial"/>
        </w:rPr>
        <w:t>.</w:t>
      </w:r>
      <w:r>
        <w:rPr>
          <w:rFonts w:cs="Arial"/>
        </w:rPr>
        <w:t xml:space="preserve"> </w:t>
      </w:r>
      <w:r w:rsidR="007D11A5">
        <w:rPr>
          <w:rFonts w:cs="Arial"/>
        </w:rPr>
        <w:t>B</w:t>
      </w:r>
      <w:r>
        <w:rPr>
          <w:rFonts w:cs="Arial"/>
        </w:rPr>
        <w:t>ased on limited animal data, a</w:t>
      </w:r>
      <w:r>
        <w:t>cute studies appear to show an ‘</w:t>
      </w:r>
      <w:r w:rsidRPr="00A167B8">
        <w:rPr>
          <w:i/>
          <w:iCs/>
        </w:rPr>
        <w:t>all or none</w:t>
      </w:r>
      <w:r>
        <w:t>’ response</w:t>
      </w:r>
      <w:r w:rsidR="0024463C">
        <w:t xml:space="preserve"> that includes acute pulmonary and adverse systemic effects in other organs</w:t>
      </w:r>
      <w:r w:rsidR="000F2EA6">
        <w:t xml:space="preserve">. </w:t>
      </w:r>
      <w:r w:rsidR="00230127">
        <w:t>R</w:t>
      </w:r>
      <w:r w:rsidR="007D11A5">
        <w:t>ats exposed at 0.24 ppm</w:t>
      </w:r>
      <w:r w:rsidR="00774B47">
        <w:t>, 0.25 ppm</w:t>
      </w:r>
      <w:r w:rsidR="007D11A5">
        <w:t xml:space="preserve"> </w:t>
      </w:r>
      <w:r w:rsidR="00845F8E">
        <w:t xml:space="preserve">or 0.49 ppm </w:t>
      </w:r>
      <w:r w:rsidR="007D11A5">
        <w:t xml:space="preserve">for four hours exhibited </w:t>
      </w:r>
      <w:r w:rsidR="00774B47">
        <w:t xml:space="preserve">changes in conditioned reflexes, pulmonary oedema, </w:t>
      </w:r>
      <w:r w:rsidR="00774B47" w:rsidRPr="00774B47">
        <w:t>hyperpn</w:t>
      </w:r>
      <w:r w:rsidR="00C8127E">
        <w:t>o</w:t>
      </w:r>
      <w:r w:rsidR="00774B47" w:rsidRPr="00774B47">
        <w:t>ea</w:t>
      </w:r>
      <w:r w:rsidR="007535ED">
        <w:t>,</w:t>
      </w:r>
      <w:r w:rsidR="00774B47" w:rsidRPr="00774B47">
        <w:t xml:space="preserve"> </w:t>
      </w:r>
      <w:r w:rsidR="00C8127E" w:rsidRPr="00774B47">
        <w:t>dysp</w:t>
      </w:r>
      <w:r w:rsidR="00C8127E">
        <w:t>n</w:t>
      </w:r>
      <w:r w:rsidR="00C8127E" w:rsidRPr="00774B47">
        <w:t>oea</w:t>
      </w:r>
      <w:r w:rsidR="00774B47">
        <w:t xml:space="preserve"> and increased </w:t>
      </w:r>
      <w:r w:rsidR="00230127">
        <w:t xml:space="preserve">activity of </w:t>
      </w:r>
      <w:proofErr w:type="spellStart"/>
      <w:r w:rsidR="00774B47">
        <w:t>glutamicoxaloacetic</w:t>
      </w:r>
      <w:proofErr w:type="spellEnd"/>
      <w:r w:rsidR="00774B47">
        <w:t xml:space="preserve"> and </w:t>
      </w:r>
      <w:proofErr w:type="spellStart"/>
      <w:r w:rsidR="00774B47">
        <w:t>glutamicpyruvic</w:t>
      </w:r>
      <w:proofErr w:type="spellEnd"/>
      <w:r w:rsidR="00774B47">
        <w:t xml:space="preserve"> transaminase in blood serum.</w:t>
      </w:r>
      <w:r w:rsidR="00774B47" w:rsidDel="00774B47">
        <w:t xml:space="preserve"> </w:t>
      </w:r>
      <w:r w:rsidR="00230127">
        <w:t>While rats</w:t>
      </w:r>
      <w:r w:rsidR="00774B47">
        <w:t xml:space="preserve"> </w:t>
      </w:r>
      <w:r w:rsidR="007D11A5">
        <w:t>exposed at 0.12</w:t>
      </w:r>
      <w:r w:rsidR="006F2566">
        <w:t> </w:t>
      </w:r>
      <w:r w:rsidR="007D11A5">
        <w:t>ppm exhibited no symptoms</w:t>
      </w:r>
      <w:r w:rsidR="00202787">
        <w:t xml:space="preserve"> in this study</w:t>
      </w:r>
      <w:r w:rsidR="007D11A5">
        <w:t>.</w:t>
      </w:r>
      <w:r w:rsidR="00845F8E">
        <w:t xml:space="preserve"> </w:t>
      </w:r>
      <w:r w:rsidR="00774B47">
        <w:t>Repeated e</w:t>
      </w:r>
      <w:r>
        <w:t xml:space="preserve">xposure </w:t>
      </w:r>
      <w:r w:rsidR="00774B47">
        <w:t xml:space="preserve">for </w:t>
      </w:r>
      <w:r w:rsidR="006B70A2">
        <w:t xml:space="preserve">10 </w:t>
      </w:r>
      <w:r w:rsidR="00774B47">
        <w:t xml:space="preserve">days </w:t>
      </w:r>
      <w:r>
        <w:t>at 0.1</w:t>
      </w:r>
      <w:r w:rsidR="005B19A8">
        <w:t> </w:t>
      </w:r>
      <w:r>
        <w:t xml:space="preserve">ppm </w:t>
      </w:r>
      <w:r w:rsidR="008B7187">
        <w:t>in rats showed</w:t>
      </w:r>
      <w:r w:rsidR="00774B47">
        <w:t xml:space="preserve"> mild respiratory impairment</w:t>
      </w:r>
      <w:r w:rsidR="00796471">
        <w:t>,</w:t>
      </w:r>
      <w:r w:rsidR="00774B47">
        <w:t xml:space="preserve"> restlessness</w:t>
      </w:r>
      <w:r w:rsidR="00796471">
        <w:t xml:space="preserve"> and</w:t>
      </w:r>
      <w:r w:rsidR="00774B47">
        <w:t xml:space="preserve"> cyanosis</w:t>
      </w:r>
      <w:r w:rsidR="00202787">
        <w:t xml:space="preserve"> (ACGIH, 2018)</w:t>
      </w:r>
      <w:r w:rsidR="006C70E8">
        <w:t xml:space="preserve">. </w:t>
      </w:r>
    </w:p>
    <w:p w14:paraId="1A7AF688" w14:textId="0FA469EB" w:rsidR="006639B4" w:rsidRPr="006C70E8" w:rsidRDefault="00202787" w:rsidP="006639B4">
      <w:pPr>
        <w:rPr>
          <w:rFonts w:cs="Arial"/>
        </w:rPr>
      </w:pPr>
      <w:r>
        <w:t xml:space="preserve">Given the limited available data and highly toxic nature of the </w:t>
      </w:r>
      <w:r w:rsidR="0024463C">
        <w:t>chemical</w:t>
      </w:r>
      <w:r>
        <w:t>, t</w:t>
      </w:r>
      <w:r w:rsidR="00DD480A">
        <w:t xml:space="preserve">he </w:t>
      </w:r>
      <w:r w:rsidR="00853A76">
        <w:t xml:space="preserve">current </w:t>
      </w:r>
      <w:r w:rsidR="00DD480A">
        <w:t xml:space="preserve">peak limitation </w:t>
      </w:r>
      <w:r w:rsidR="007D11A5">
        <w:t>of 0.01 ppm (0.082</w:t>
      </w:r>
      <w:r w:rsidR="00845F8E">
        <w:t xml:space="preserve"> </w:t>
      </w:r>
      <w:r w:rsidR="007D11A5" w:rsidRPr="007D11A5">
        <w:rPr>
          <w:rFonts w:cs="Arial"/>
        </w:rPr>
        <w:t>mg/m</w:t>
      </w:r>
      <w:r w:rsidR="007D11A5" w:rsidRPr="007D11A5">
        <w:rPr>
          <w:rFonts w:cs="Arial"/>
          <w:vertAlign w:val="superscript"/>
        </w:rPr>
        <w:t>3</w:t>
      </w:r>
      <w:r w:rsidR="007D11A5">
        <w:t xml:space="preserve">) </w:t>
      </w:r>
      <w:r w:rsidR="00853A76">
        <w:t xml:space="preserve">by SWA </w:t>
      </w:r>
      <w:r w:rsidR="00337F4E">
        <w:t xml:space="preserve">is </w:t>
      </w:r>
      <w:r w:rsidR="0024463C">
        <w:t>recommended</w:t>
      </w:r>
      <w:r>
        <w:t xml:space="preserve"> in the interim</w:t>
      </w:r>
      <w:r w:rsidR="00853A76">
        <w:t xml:space="preserve"> and </w:t>
      </w:r>
      <w:r w:rsidR="0024463C">
        <w:t>aligns</w:t>
      </w:r>
      <w:r w:rsidR="00337F4E">
        <w:t xml:space="preserve"> with </w:t>
      </w:r>
      <w:r w:rsidR="0024463C">
        <w:t>TLV-Ceiling by</w:t>
      </w:r>
      <w:r w:rsidR="00337F4E">
        <w:t xml:space="preserve"> </w:t>
      </w:r>
      <w:r w:rsidR="00DD480A">
        <w:t>ACGIH (2001)</w:t>
      </w:r>
      <w:r w:rsidR="00337F4E">
        <w:t>.</w:t>
      </w:r>
      <w:r w:rsidR="00DD480A">
        <w:t xml:space="preserve"> </w:t>
      </w:r>
      <w:r w:rsidR="00853A76">
        <w:t>A</w:t>
      </w:r>
      <w:r w:rsidR="00337F4E">
        <w:t xml:space="preserve"> </w:t>
      </w:r>
      <w:r w:rsidR="00337F4E" w:rsidRPr="00FC2260">
        <w:t>priority evaluation of</w:t>
      </w:r>
      <w:r w:rsidR="00337F4E">
        <w:t xml:space="preserve"> additional data sources is recommended at the next scheduled review.</w:t>
      </w:r>
    </w:p>
    <w:p w14:paraId="7A508B2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C975DC2" w14:textId="08965935" w:rsidR="00663CF4" w:rsidRPr="00265858" w:rsidRDefault="00663CF4" w:rsidP="00663CF4">
      <w:pPr>
        <w:rPr>
          <w:rFonts w:cs="Arial"/>
        </w:rPr>
      </w:pPr>
      <w:r w:rsidRPr="00265858">
        <w:rPr>
          <w:rFonts w:cs="Arial"/>
        </w:rPr>
        <w:t>Not classified as a carcinogen according to the Globally Harmonized System of Classification and Labelling o</w:t>
      </w:r>
      <w:r w:rsidR="00320F1F">
        <w:rPr>
          <w:rFonts w:cs="Arial"/>
        </w:rPr>
        <w:t>f</w:t>
      </w:r>
      <w:r w:rsidRPr="00265858">
        <w:rPr>
          <w:rFonts w:cs="Arial"/>
        </w:rPr>
        <w:t xml:space="preserve"> Chemicals (GHS). </w:t>
      </w:r>
    </w:p>
    <w:p w14:paraId="15F4A4A6" w14:textId="64EB5E96" w:rsidR="00663CF4" w:rsidRPr="00265858" w:rsidRDefault="00663CF4" w:rsidP="00663CF4">
      <w:pPr>
        <w:rPr>
          <w:rFonts w:cs="Arial"/>
        </w:rPr>
      </w:pPr>
      <w:r w:rsidRPr="00265858">
        <w:rPr>
          <w:rFonts w:cs="Arial"/>
        </w:rPr>
        <w:lastRenderedPageBreak/>
        <w:t xml:space="preserve">Not classified as a skin </w:t>
      </w:r>
      <w:r w:rsidR="00905DDD" w:rsidRPr="00265858">
        <w:rPr>
          <w:rFonts w:cs="Arial"/>
        </w:rPr>
        <w:t xml:space="preserve">sensitiser </w:t>
      </w:r>
      <w:r w:rsidRPr="00265858">
        <w:rPr>
          <w:rFonts w:cs="Arial"/>
        </w:rPr>
        <w:t>or respiratory sensitiser according to the GHS.</w:t>
      </w:r>
    </w:p>
    <w:p w14:paraId="655D22E8" w14:textId="56CD2C91" w:rsidR="00663CF4" w:rsidRDefault="00231414" w:rsidP="00663CF4">
      <w:pPr>
        <w:rPr>
          <w:rFonts w:cs="Arial"/>
        </w:rPr>
      </w:pPr>
      <w:r>
        <w:rPr>
          <w:rFonts w:cs="Arial"/>
        </w:rPr>
        <w:t>There are i</w:t>
      </w:r>
      <w:r w:rsidR="00663CF4" w:rsidRPr="00265858">
        <w:rPr>
          <w:rFonts w:cs="Arial"/>
        </w:rPr>
        <w:t xml:space="preserve">nsufficient </w:t>
      </w:r>
      <w:r>
        <w:rPr>
          <w:rFonts w:cs="Arial"/>
        </w:rPr>
        <w:t>data</w:t>
      </w:r>
      <w:r w:rsidRPr="00265858">
        <w:rPr>
          <w:rFonts w:cs="Arial"/>
        </w:rPr>
        <w:t xml:space="preserve"> </w:t>
      </w:r>
      <w:r w:rsidR="00663CF4" w:rsidRPr="00265858">
        <w:rPr>
          <w:rFonts w:cs="Arial"/>
        </w:rPr>
        <w:t>to recommend a skin notation.</w:t>
      </w:r>
    </w:p>
    <w:p w14:paraId="6EC2B2F5" w14:textId="77777777" w:rsidR="005B3E38" w:rsidRPr="004C23F4" w:rsidRDefault="005B3E38" w:rsidP="00663CF4">
      <w:pPr>
        <w:rPr>
          <w:rFonts w:cs="Arial"/>
        </w:rPr>
      </w:pPr>
    </w:p>
    <w:p w14:paraId="758B9F0A" w14:textId="77777777" w:rsidR="0025734A" w:rsidRPr="004C23F4" w:rsidRDefault="0025734A">
      <w:pPr>
        <w:rPr>
          <w:rFonts w:cs="Arial"/>
        </w:rPr>
      </w:pPr>
    </w:p>
    <w:p w14:paraId="24E725A4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29BC40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CBCAE1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63EE452" w14:textId="77777777" w:rsidTr="0023060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D6E9460" w14:textId="77777777" w:rsidR="00C978F0" w:rsidRPr="00DA352E" w:rsidRDefault="00C978F0" w:rsidP="005B19A8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A1D7300" w14:textId="77777777" w:rsidTr="00230605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5C9CF2B" w14:textId="24E1FA6E" w:rsidR="00DE26E8" w:rsidRPr="003365A5" w:rsidRDefault="00DE26E8" w:rsidP="0023141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63D8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63D81">
                  <w:t>Peak limitation: 0.01 ppm (0.082 mg/m</w:t>
                </w:r>
                <w:r w:rsidR="00063D81" w:rsidRPr="00063D81">
                  <w:rPr>
                    <w:vertAlign w:val="superscript"/>
                  </w:rPr>
                  <w:t>3</w:t>
                </w:r>
                <w:r w:rsidR="00063D81">
                  <w:t>)</w:t>
                </w:r>
              </w:sdtContent>
            </w:sdt>
          </w:p>
        </w:tc>
      </w:tr>
      <w:tr w:rsidR="00C978F0" w:rsidRPr="00DA352E" w14:paraId="5D4EAC40" w14:textId="77777777" w:rsidTr="00230605">
        <w:trPr>
          <w:gridAfter w:val="1"/>
          <w:wAfter w:w="8" w:type="pct"/>
          <w:cantSplit/>
        </w:trPr>
        <w:tc>
          <w:tcPr>
            <w:tcW w:w="4992" w:type="pct"/>
          </w:tcPr>
          <w:p w14:paraId="76D17A53" w14:textId="77777777" w:rsidR="00C978F0" w:rsidRPr="00DA352E" w:rsidRDefault="00C978F0" w:rsidP="005B19A8">
            <w:pPr>
              <w:pStyle w:val="Tabletextprimarysource"/>
            </w:pPr>
          </w:p>
        </w:tc>
      </w:tr>
      <w:tr w:rsidR="00C978F0" w:rsidRPr="00DA352E" w14:paraId="73E94F93" w14:textId="77777777" w:rsidTr="0023060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32F4E2" w14:textId="37D9B0F5" w:rsidR="00C978F0" w:rsidRPr="00DA352E" w:rsidRDefault="00DA352E" w:rsidP="0023141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63D81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63D81">
                  <w:t>TLV-</w:t>
                </w:r>
                <w:r w:rsidR="0024463C">
                  <w:t>Ceiling</w:t>
                </w:r>
                <w:r w:rsidR="00063D81">
                  <w:t>: 0.01 ppm (0.082 mg/m</w:t>
                </w:r>
                <w:r w:rsidR="00063D81" w:rsidRPr="00063D81">
                  <w:rPr>
                    <w:vertAlign w:val="superscript"/>
                  </w:rPr>
                  <w:t>3</w:t>
                </w:r>
                <w:r w:rsidR="00063D81">
                  <w:t>)</w:t>
                </w:r>
              </w:sdtContent>
            </w:sdt>
          </w:p>
        </w:tc>
      </w:tr>
      <w:tr w:rsidR="00C978F0" w:rsidRPr="00DA352E" w14:paraId="5B5B6A36" w14:textId="77777777" w:rsidTr="00230605">
        <w:trPr>
          <w:gridAfter w:val="1"/>
          <w:wAfter w:w="8" w:type="pct"/>
          <w:cantSplit/>
        </w:trPr>
        <w:tc>
          <w:tcPr>
            <w:tcW w:w="4992" w:type="pct"/>
          </w:tcPr>
          <w:p w14:paraId="3A1B573F" w14:textId="5777A630" w:rsidR="00C978F0" w:rsidRDefault="00A80F02" w:rsidP="005B19A8">
            <w:pPr>
              <w:pStyle w:val="Tabletextprimarysource"/>
            </w:pPr>
            <w:r>
              <w:t>TLV-</w:t>
            </w:r>
            <w:r w:rsidR="00812963">
              <w:t>ceiling</w:t>
            </w:r>
            <w:r>
              <w:t xml:space="preserve"> re</w:t>
            </w:r>
            <w:r w:rsidR="00812963">
              <w:t>commended to minimise the risk of respiratory tract irritation, pulmonary oedema</w:t>
            </w:r>
            <w:r w:rsidR="00AB0FFC">
              <w:t xml:space="preserve">, cyanosis and irritation to the </w:t>
            </w:r>
            <w:r w:rsidR="00AB0FFC" w:rsidRPr="00AB0FFC">
              <w:t>haematopoietic</w:t>
            </w:r>
            <w:r w:rsidR="00AB0FFC">
              <w:t xml:space="preserve"> system.</w:t>
            </w:r>
            <w:r w:rsidR="009C5BFB">
              <w:t xml:space="preserve"> No specific derivation provided; based on limited animal data but considered relatively consistent.</w:t>
            </w:r>
          </w:p>
          <w:p w14:paraId="08C32687" w14:textId="77777777" w:rsidR="00AB0FFC" w:rsidRDefault="00AB0FFC" w:rsidP="005B19A8">
            <w:pPr>
              <w:pStyle w:val="Tabletextprimarysource"/>
            </w:pPr>
            <w:r>
              <w:t>Summary of data:</w:t>
            </w:r>
          </w:p>
          <w:p w14:paraId="5875F69E" w14:textId="03BCECF8" w:rsidR="00AB0FFC" w:rsidRDefault="00647CF8">
            <w:pPr>
              <w:pStyle w:val="Tabletextprimarysource"/>
              <w:rPr>
                <w:rFonts w:cs="Arial"/>
              </w:rPr>
            </w:pPr>
            <w:r>
              <w:rPr>
                <w:rFonts w:cs="Arial"/>
              </w:rPr>
              <w:t>No human data available</w:t>
            </w:r>
            <w:r w:rsidR="005A0EC3">
              <w:rPr>
                <w:rFonts w:cs="Arial"/>
              </w:rPr>
              <w:t>.</w:t>
            </w:r>
          </w:p>
          <w:p w14:paraId="39B36739" w14:textId="557B6928" w:rsidR="00647CF8" w:rsidRDefault="00647CF8">
            <w:pPr>
              <w:pStyle w:val="Tabletextprimarysource"/>
              <w:rPr>
                <w:rFonts w:cs="Arial"/>
              </w:rPr>
            </w:pPr>
            <w:r>
              <w:rPr>
                <w:rFonts w:cs="Arial"/>
              </w:rPr>
              <w:t>Animal data:</w:t>
            </w:r>
          </w:p>
          <w:p w14:paraId="4272AD9F" w14:textId="069AB273" w:rsidR="0068723A" w:rsidRDefault="0068723A" w:rsidP="0023141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 h LC</w:t>
            </w:r>
            <w:r w:rsidRPr="0068723A">
              <w:rPr>
                <w:vertAlign w:val="subscript"/>
              </w:rPr>
              <w:t>50</w:t>
            </w:r>
            <w:r>
              <w:t>: 1.05 ppm (rats); 0.98</w:t>
            </w:r>
            <w:r w:rsidR="005B19A8">
              <w:t>–</w:t>
            </w:r>
            <w:r>
              <w:t>1.6 ppm (mice); 1.2</w:t>
            </w:r>
            <w:r w:rsidR="005B19A8">
              <w:t>–</w:t>
            </w:r>
            <w:r>
              <w:t>4.3 ppm (rabbits); 1.05 ppm (guinea pigs); 3.1 ppm (cats)</w:t>
            </w:r>
          </w:p>
          <w:p w14:paraId="040507C1" w14:textId="43E52CF4" w:rsidR="00AB0FFC" w:rsidRDefault="00647CF8" w:rsidP="0023141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at 61</w:t>
            </w:r>
            <w:r w:rsidR="005B19A8">
              <w:t>–</w:t>
            </w:r>
            <w:r>
              <w:t>183 ppm to rats, mice and rabbits lethal within 3 min</w:t>
            </w:r>
          </w:p>
          <w:p w14:paraId="0CE9C0A0" w14:textId="0B4AD9C0" w:rsidR="00853A76" w:rsidRDefault="001E1818" w:rsidP="0023141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</w:t>
            </w:r>
            <w:r w:rsidR="00647CF8">
              <w:t>hanges in conditioned reflexes</w:t>
            </w:r>
            <w:r w:rsidR="00E4513B">
              <w:t>, oedema in the lungs and</w:t>
            </w:r>
            <w:r w:rsidR="00647CF8">
              <w:t xml:space="preserve"> </w:t>
            </w:r>
            <w:r w:rsidR="00E4513B">
              <w:t xml:space="preserve">increased </w:t>
            </w:r>
            <w:proofErr w:type="spellStart"/>
            <w:r w:rsidR="00E4513B">
              <w:t>glutamicoxaloacetic</w:t>
            </w:r>
            <w:proofErr w:type="spellEnd"/>
            <w:r w:rsidR="00E4513B">
              <w:t xml:space="preserve"> and </w:t>
            </w:r>
            <w:proofErr w:type="spellStart"/>
            <w:r w:rsidR="00E4513B">
              <w:t>glutamicpyruvic</w:t>
            </w:r>
            <w:proofErr w:type="spellEnd"/>
            <w:r w:rsidR="00E4513B">
              <w:t xml:space="preserve"> transaminases activity in blood serum</w:t>
            </w:r>
            <w:r>
              <w:t xml:space="preserve"> at 0.24 or 0.49 ppm (rats, 4 h, inhalation)</w:t>
            </w:r>
            <w:r w:rsidR="00853A76">
              <w:t>:</w:t>
            </w:r>
            <w:r w:rsidR="00E83A92">
              <w:t xml:space="preserve"> </w:t>
            </w:r>
          </w:p>
          <w:p w14:paraId="75765E2F" w14:textId="6785A3CC" w:rsidR="00647CF8" w:rsidRDefault="00E83A92" w:rsidP="00853A76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little or no change at 0.12 ppm</w:t>
            </w:r>
          </w:p>
          <w:p w14:paraId="37C65B24" w14:textId="28F32EC9" w:rsidR="00E425A4" w:rsidRDefault="001E1818" w:rsidP="0023141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H</w:t>
            </w:r>
            <w:r w:rsidR="00E425A4">
              <w:t>yperpn</w:t>
            </w:r>
            <w:r w:rsidR="00C8127E">
              <w:t>o</w:t>
            </w:r>
            <w:r w:rsidR="00E425A4">
              <w:t>ea or dyspn</w:t>
            </w:r>
            <w:r w:rsidR="00C8127E">
              <w:t>o</w:t>
            </w:r>
            <w:r w:rsidR="00E425A4">
              <w:t>ea in some animals for 3 h post exposure</w:t>
            </w:r>
            <w:r>
              <w:t xml:space="preserve"> reported at 0.25 ppm (rats, 4 h, inhalation)</w:t>
            </w:r>
            <w:r w:rsidR="00E425A4">
              <w:t>; other effects were hyperaemia, sneezing and mild responsiveness</w:t>
            </w:r>
            <w:r>
              <w:t xml:space="preserve"> </w:t>
            </w:r>
          </w:p>
          <w:p w14:paraId="33083FE6" w14:textId="0DA1813F" w:rsidR="00E4513B" w:rsidRDefault="001E1818" w:rsidP="0023141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="00E4513B">
              <w:t>o signs of observable response or histopathologic changes</w:t>
            </w:r>
            <w:r>
              <w:t xml:space="preserve"> reported at a repeat exposure of 0.1 ppm in male rats (5 exposure d, 2 rest d, 5 exposure d)</w:t>
            </w:r>
          </w:p>
          <w:p w14:paraId="08460A48" w14:textId="3FC89B61" w:rsidR="00E4513B" w:rsidRDefault="001E1818" w:rsidP="00782D3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</w:t>
            </w:r>
            <w:r w:rsidR="00760C1C">
              <w:t>ild respiratory impairment and restlessness</w:t>
            </w:r>
            <w:r w:rsidR="00782D34">
              <w:t xml:space="preserve"> at repeat exposure </w:t>
            </w:r>
            <w:r w:rsidR="006942D5">
              <w:t xml:space="preserve">at </w:t>
            </w:r>
            <w:r w:rsidR="00782D34">
              <w:t xml:space="preserve">0.1 ppm in rats (10 consecutive d); sometimes followed by </w:t>
            </w:r>
            <w:r w:rsidR="00760C1C">
              <w:t>cyanosis; no pathological changes</w:t>
            </w:r>
          </w:p>
          <w:p w14:paraId="3546B504" w14:textId="4FD46ED9" w:rsidR="00760C1C" w:rsidRDefault="00760C1C" w:rsidP="0023141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Acute studies appear to show ‘all or none’ response and animals generally recovered if they survived for 24 h following exposure</w:t>
            </w:r>
            <w:r w:rsidR="005945CF">
              <w:t>.</w:t>
            </w:r>
          </w:p>
          <w:p w14:paraId="300122F6" w14:textId="77777777" w:rsidR="003D4B53" w:rsidRDefault="003D4B53" w:rsidP="005B19A8">
            <w:pPr>
              <w:pStyle w:val="Tabletextprimarysource"/>
            </w:pPr>
          </w:p>
          <w:p w14:paraId="70933586" w14:textId="7E779663" w:rsidR="00760C1C" w:rsidRDefault="00231414" w:rsidP="005B19A8">
            <w:pPr>
              <w:pStyle w:val="Tabletextprimarysource"/>
            </w:pPr>
            <w:r>
              <w:t>Chemical</w:t>
            </w:r>
            <w:r w:rsidR="0068723A">
              <w:t xml:space="preserve"> produced </w:t>
            </w:r>
            <w:r w:rsidR="00A520A1">
              <w:t xml:space="preserve">in conjunction </w:t>
            </w:r>
            <w:r w:rsidR="0068723A">
              <w:t>with numerous</w:t>
            </w:r>
            <w:r w:rsidR="0095034D">
              <w:t xml:space="preserve"> other materials in industrial processes and therefore</w:t>
            </w:r>
            <w:r w:rsidR="00A520A1">
              <w:t>,</w:t>
            </w:r>
            <w:r w:rsidR="0095034D">
              <w:t xml:space="preserve"> possible additive or synergistic effects </w:t>
            </w:r>
            <w:r w:rsidR="005945CF">
              <w:t>associated with exposure to these substances should be considered.</w:t>
            </w:r>
          </w:p>
          <w:p w14:paraId="3EC6EDE6" w14:textId="77777777" w:rsidR="005945CF" w:rsidRDefault="005945CF" w:rsidP="005B19A8">
            <w:pPr>
              <w:pStyle w:val="Tabletextprimarysource"/>
            </w:pPr>
            <w:r>
              <w:t>Insufficient data to recommend skin, SEN or carcinogenicity notations.</w:t>
            </w:r>
          </w:p>
          <w:p w14:paraId="589EB38F" w14:textId="10524252" w:rsidR="003D4B53" w:rsidRPr="00DA352E" w:rsidRDefault="003D4B53" w:rsidP="005B19A8">
            <w:pPr>
              <w:pStyle w:val="Tabletextprimarysource"/>
            </w:pPr>
          </w:p>
        </w:tc>
      </w:tr>
      <w:tr w:rsidR="00C978F0" w:rsidRPr="00DA352E" w14:paraId="5D11EF75" w14:textId="77777777" w:rsidTr="0023060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D067DB8" w14:textId="283E4F99" w:rsidR="00C978F0" w:rsidRPr="00DA352E" w:rsidRDefault="00DA352E" w:rsidP="0023141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63D8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063D81">
                  <w:t>NA</w:t>
                </w:r>
              </w:sdtContent>
            </w:sdt>
          </w:p>
        </w:tc>
      </w:tr>
      <w:tr w:rsidR="00C978F0" w:rsidRPr="00DA352E" w14:paraId="1AC6D0AB" w14:textId="77777777" w:rsidTr="00230605">
        <w:trPr>
          <w:gridAfter w:val="1"/>
          <w:wAfter w:w="8" w:type="pct"/>
          <w:cantSplit/>
        </w:trPr>
        <w:tc>
          <w:tcPr>
            <w:tcW w:w="4992" w:type="pct"/>
          </w:tcPr>
          <w:p w14:paraId="141C3FC3" w14:textId="543F49C7" w:rsidR="00C978F0" w:rsidRPr="00DA352E" w:rsidRDefault="00063D81" w:rsidP="005B19A8">
            <w:pPr>
              <w:pStyle w:val="Tabletextprimarysource"/>
            </w:pPr>
            <w:r>
              <w:t>No report</w:t>
            </w:r>
            <w:r w:rsidR="005B19A8">
              <w:t>.</w:t>
            </w:r>
          </w:p>
        </w:tc>
      </w:tr>
      <w:tr w:rsidR="00C978F0" w:rsidRPr="00DA352E" w14:paraId="265E9281" w14:textId="77777777" w:rsidTr="0023060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83FE5C5" w14:textId="19B171B7" w:rsidR="00C978F0" w:rsidRPr="00DA352E" w:rsidRDefault="00DA352E" w:rsidP="0023141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63D8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063D81">
                  <w:t>NA</w:t>
                </w:r>
              </w:sdtContent>
            </w:sdt>
          </w:p>
        </w:tc>
      </w:tr>
      <w:tr w:rsidR="00C978F0" w:rsidRPr="00DA352E" w14:paraId="1BFC4B79" w14:textId="77777777" w:rsidTr="00230605">
        <w:trPr>
          <w:gridAfter w:val="1"/>
          <w:wAfter w:w="8" w:type="pct"/>
          <w:cantSplit/>
        </w:trPr>
        <w:tc>
          <w:tcPr>
            <w:tcW w:w="4992" w:type="pct"/>
          </w:tcPr>
          <w:p w14:paraId="152733D6" w14:textId="1AFE4777" w:rsidR="00C978F0" w:rsidRPr="00DA352E" w:rsidRDefault="00063D81" w:rsidP="005B19A8">
            <w:pPr>
              <w:pStyle w:val="Tabletextprimarysource"/>
            </w:pPr>
            <w:r>
              <w:t>No report</w:t>
            </w:r>
            <w:r w:rsidR="005B19A8">
              <w:t>.</w:t>
            </w:r>
          </w:p>
        </w:tc>
      </w:tr>
      <w:tr w:rsidR="00DA352E" w:rsidRPr="00DA352E" w14:paraId="3A3999F0" w14:textId="77777777" w:rsidTr="0023060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8E8134F" w14:textId="2F000183" w:rsidR="00DA352E" w:rsidRPr="00DA352E" w:rsidRDefault="00DA352E" w:rsidP="0023141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63D8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063D81">
                  <w:t>NA</w:t>
                </w:r>
              </w:sdtContent>
            </w:sdt>
          </w:p>
        </w:tc>
      </w:tr>
      <w:tr w:rsidR="00DA352E" w:rsidRPr="00DA352E" w14:paraId="1CB0A6BB" w14:textId="77777777" w:rsidTr="00230605">
        <w:trPr>
          <w:gridAfter w:val="1"/>
          <w:wAfter w:w="8" w:type="pct"/>
          <w:cantSplit/>
        </w:trPr>
        <w:tc>
          <w:tcPr>
            <w:tcW w:w="4992" w:type="pct"/>
          </w:tcPr>
          <w:p w14:paraId="4ED356AA" w14:textId="2808507C" w:rsidR="00DA352E" w:rsidRPr="00DA352E" w:rsidRDefault="00063D81" w:rsidP="005B19A8">
            <w:pPr>
              <w:pStyle w:val="Tabletextprimarysource"/>
            </w:pPr>
            <w:r>
              <w:t>No report</w:t>
            </w:r>
            <w:r w:rsidR="005B19A8">
              <w:t>.</w:t>
            </w:r>
          </w:p>
        </w:tc>
      </w:tr>
      <w:tr w:rsidR="00DA352E" w:rsidRPr="00DA352E" w14:paraId="4FAC782B" w14:textId="77777777" w:rsidTr="0023060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FF907C9" w14:textId="3C68161B" w:rsidR="00DA352E" w:rsidRPr="00DA352E" w:rsidRDefault="00DA352E" w:rsidP="0023141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63D8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063D81">
                  <w:t>NA</w:t>
                </w:r>
              </w:sdtContent>
            </w:sdt>
          </w:p>
        </w:tc>
      </w:tr>
      <w:tr w:rsidR="00DA352E" w:rsidRPr="00DA352E" w14:paraId="3BDCF9AA" w14:textId="77777777" w:rsidTr="00230605">
        <w:trPr>
          <w:gridAfter w:val="1"/>
          <w:wAfter w:w="8" w:type="pct"/>
          <w:cantSplit/>
        </w:trPr>
        <w:tc>
          <w:tcPr>
            <w:tcW w:w="4992" w:type="pct"/>
          </w:tcPr>
          <w:p w14:paraId="268AF4C5" w14:textId="62047DFC" w:rsidR="00DA352E" w:rsidRPr="00DA352E" w:rsidRDefault="00063D81" w:rsidP="005B19A8">
            <w:pPr>
              <w:pStyle w:val="Tabletextprimarysource"/>
            </w:pPr>
            <w:r>
              <w:t>No report</w:t>
            </w:r>
            <w:r w:rsidR="005B19A8">
              <w:t>.</w:t>
            </w:r>
          </w:p>
        </w:tc>
      </w:tr>
    </w:tbl>
    <w:p w14:paraId="2762CF44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3BAB4953" w14:textId="77777777" w:rsidTr="0023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14B63BBF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2E1ED246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6F7590A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0C3A8274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C0212F4" w14:textId="77777777" w:rsidTr="00230605">
        <w:trPr>
          <w:cantSplit/>
        </w:trPr>
        <w:tc>
          <w:tcPr>
            <w:tcW w:w="1498" w:type="dxa"/>
          </w:tcPr>
          <w:p w14:paraId="36D9871D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522144F1" w14:textId="6B52FD91" w:rsidR="004966BF" w:rsidRPr="00CE617F" w:rsidRDefault="009D091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4646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615EB07C" w14:textId="2837033F" w:rsidR="004966BF" w:rsidRPr="004C23F4" w:rsidRDefault="00905DD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4" w:type="dxa"/>
          </w:tcPr>
          <w:p w14:paraId="08A56436" w14:textId="324A7365" w:rsidR="004966BF" w:rsidRPr="004C23F4" w:rsidRDefault="00905DDD" w:rsidP="007D11A5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  <w:r w:rsidR="003D4B53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02BFFE59" w14:textId="77777777" w:rsidR="007E2A4B" w:rsidRDefault="007E2A4B"/>
    <w:bookmarkEnd w:id="0"/>
    <w:p w14:paraId="1A8D494B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169B94D" w14:textId="77777777" w:rsidTr="00905DDD">
        <w:trPr>
          <w:trHeight w:val="454"/>
          <w:tblHeader/>
        </w:trPr>
        <w:tc>
          <w:tcPr>
            <w:tcW w:w="6597" w:type="dxa"/>
            <w:vAlign w:val="center"/>
          </w:tcPr>
          <w:p w14:paraId="3941752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F3723EB" w14:textId="09D6F491" w:rsidR="002E0D61" w:rsidRDefault="00905DD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DD7FC75" w14:textId="77777777" w:rsidTr="00905DDD">
        <w:trPr>
          <w:trHeight w:val="454"/>
        </w:trPr>
        <w:tc>
          <w:tcPr>
            <w:tcW w:w="6597" w:type="dxa"/>
            <w:vAlign w:val="center"/>
          </w:tcPr>
          <w:p w14:paraId="6FF68B0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0404D07" w14:textId="5721C4CA" w:rsidR="008A36CF" w:rsidRDefault="00905DD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7D11A5" w14:paraId="4758B731" w14:textId="77777777" w:rsidTr="004014CE">
        <w:trPr>
          <w:trHeight w:val="454"/>
        </w:trPr>
        <w:sdt>
          <w:sdtPr>
            <w:rPr>
              <w:b/>
            </w:rPr>
            <w:id w:val="1830936485"/>
            <w:placeholder>
              <w:docPart w:val="4331B516C4E24FB5B02B4215FF7BAE56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5B14C865" w14:textId="2D31B29A" w:rsidR="007D11A5" w:rsidRDefault="007D11A5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16D9EA15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2CE3F61" w14:textId="77777777" w:rsidTr="0023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0F5E7EB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4CEF65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1886902" w14:textId="77777777" w:rsidTr="00230605">
        <w:trPr>
          <w:cantSplit/>
        </w:trPr>
        <w:tc>
          <w:tcPr>
            <w:tcW w:w="3227" w:type="dxa"/>
          </w:tcPr>
          <w:p w14:paraId="3D622DCD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A83E8D7" w14:textId="19A91A3E" w:rsidR="00687890" w:rsidRPr="00DD2F9B" w:rsidRDefault="00063D81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657D0615" w14:textId="77777777" w:rsidTr="00230605">
        <w:trPr>
          <w:cantSplit/>
        </w:trPr>
        <w:tc>
          <w:tcPr>
            <w:tcW w:w="3227" w:type="dxa"/>
          </w:tcPr>
          <w:p w14:paraId="5931309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F21F9E8" w14:textId="4378CEE9" w:rsidR="007925F0" w:rsidRPr="00DD2F9B" w:rsidRDefault="00063D81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13D4FEE" w14:textId="77777777" w:rsidTr="00230605">
        <w:trPr>
          <w:cantSplit/>
        </w:trPr>
        <w:tc>
          <w:tcPr>
            <w:tcW w:w="3227" w:type="dxa"/>
          </w:tcPr>
          <w:p w14:paraId="085F347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76B7A3D" w14:textId="3A7F1C8E" w:rsidR="00AF483F" w:rsidRPr="00DD2F9B" w:rsidRDefault="00063D81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F9386E6" w14:textId="77777777" w:rsidTr="00230605">
        <w:trPr>
          <w:cantSplit/>
        </w:trPr>
        <w:tc>
          <w:tcPr>
            <w:tcW w:w="3227" w:type="dxa"/>
          </w:tcPr>
          <w:p w14:paraId="283001C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4C1F2FC" w14:textId="3AF66D99" w:rsidR="00687890" w:rsidRPr="00DD2F9B" w:rsidRDefault="00063D81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220642A" w14:textId="77777777" w:rsidTr="00230605">
        <w:trPr>
          <w:cantSplit/>
        </w:trPr>
        <w:tc>
          <w:tcPr>
            <w:tcW w:w="3227" w:type="dxa"/>
          </w:tcPr>
          <w:p w14:paraId="49AB038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0B2B040" w14:textId="3F458B96" w:rsidR="00E41A26" w:rsidRPr="00DD2F9B" w:rsidRDefault="00063D8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DD6F15C" w14:textId="77777777" w:rsidTr="00230605">
        <w:trPr>
          <w:cantSplit/>
        </w:trPr>
        <w:tc>
          <w:tcPr>
            <w:tcW w:w="3227" w:type="dxa"/>
          </w:tcPr>
          <w:p w14:paraId="4FAF5BB9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55EB874" w14:textId="55E54E5E" w:rsidR="002E0D61" w:rsidRPr="00DD2F9B" w:rsidRDefault="00063D81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B24F9D3" w14:textId="77777777" w:rsidTr="00230605">
        <w:trPr>
          <w:cantSplit/>
        </w:trPr>
        <w:tc>
          <w:tcPr>
            <w:tcW w:w="3227" w:type="dxa"/>
          </w:tcPr>
          <w:p w14:paraId="69F6519A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9A57277" w14:textId="3846669D" w:rsidR="002E0D61" w:rsidRPr="00DD2F9B" w:rsidRDefault="006E097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C042465" w14:textId="77777777" w:rsidTr="00230605">
        <w:trPr>
          <w:cantSplit/>
        </w:trPr>
        <w:tc>
          <w:tcPr>
            <w:tcW w:w="3227" w:type="dxa"/>
          </w:tcPr>
          <w:p w14:paraId="6490EF2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733099A" w14:textId="6ED2DA65" w:rsidR="002E0D61" w:rsidRPr="00DD2F9B" w:rsidRDefault="006E097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863DA6A" w14:textId="77777777" w:rsidTr="00230605">
        <w:trPr>
          <w:cantSplit/>
        </w:trPr>
        <w:tc>
          <w:tcPr>
            <w:tcW w:w="3227" w:type="dxa"/>
          </w:tcPr>
          <w:p w14:paraId="75F5338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AC666D5" w14:textId="7AC30A2F" w:rsidR="002E0D61" w:rsidRPr="00DD2F9B" w:rsidRDefault="006E097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0EA2F3B" w14:textId="77777777" w:rsidTr="00230605">
        <w:trPr>
          <w:cantSplit/>
        </w:trPr>
        <w:tc>
          <w:tcPr>
            <w:tcW w:w="3227" w:type="dxa"/>
          </w:tcPr>
          <w:p w14:paraId="79BED09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8557159" w14:textId="42A3E5E9" w:rsidR="00386093" w:rsidRPr="00DD2F9B" w:rsidRDefault="006E097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05C87BF" w14:textId="77777777" w:rsidTr="00230605">
        <w:trPr>
          <w:cantSplit/>
        </w:trPr>
        <w:tc>
          <w:tcPr>
            <w:tcW w:w="3227" w:type="dxa"/>
          </w:tcPr>
          <w:p w14:paraId="6322EAB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D9320C2" w14:textId="5C18F55D" w:rsidR="00386093" w:rsidRPr="00DD2F9B" w:rsidRDefault="006E097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8D078F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0BE4A2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507828D" w14:textId="77777777" w:rsidTr="005945CF">
        <w:trPr>
          <w:cantSplit/>
          <w:tblHeader/>
        </w:trPr>
        <w:tc>
          <w:tcPr>
            <w:tcW w:w="5000" w:type="pct"/>
            <w:vAlign w:val="center"/>
          </w:tcPr>
          <w:p w14:paraId="79C566D9" w14:textId="2BC75AF6" w:rsidR="00932DCE" w:rsidRPr="004C23F4" w:rsidRDefault="005945CF" w:rsidP="00F9496B">
            <w:pPr>
              <w:pStyle w:val="Tablefont"/>
            </w:pPr>
            <w:bookmarkStart w:id="3" w:name="SkinNot"/>
            <w:r w:rsidRPr="00EA0DA8">
              <w:t>Insufficient data to assign a skin notation</w:t>
            </w:r>
            <w:r w:rsidR="007D11A5">
              <w:t>.</w:t>
            </w:r>
          </w:p>
        </w:tc>
      </w:tr>
    </w:tbl>
    <w:bookmarkEnd w:id="3"/>
    <w:p w14:paraId="2C282E78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F331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C8B83D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F4EA00F" w14:textId="2C3AAB4E" w:rsidR="00EB3D1B" w:rsidRDefault="006E0975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D37084A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A7F706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345D521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90E0917" w14:textId="6E1DDA1E" w:rsidR="001B79E5" w:rsidRDefault="006E0975" w:rsidP="001B79E5">
                <w:pPr>
                  <w:pStyle w:val="Tablefont"/>
                </w:pPr>
                <w:r w:rsidRPr="006E0975">
                  <w:t>200.03</w:t>
                </w:r>
              </w:p>
            </w:tc>
          </w:sdtContent>
        </w:sdt>
      </w:tr>
      <w:tr w:rsidR="00A31D99" w:rsidRPr="004C23F4" w14:paraId="222FE53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6070C7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776C351" w14:textId="0A016433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E0975">
                  <w:t>8.13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E0975">
                  <w:t>0.122</w:t>
                </w:r>
              </w:sdtContent>
            </w:sdt>
            <w:r w:rsidRPr="006E0975">
              <w:t xml:space="preserve"> </w:t>
            </w:r>
            <w:r>
              <w:t>ppm</w:t>
            </w:r>
          </w:p>
        </w:tc>
      </w:tr>
      <w:tr w:rsidR="00687890" w:rsidRPr="004C23F4" w14:paraId="5AA2B8A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278A93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A00C56E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701E8B3" w14:textId="77777777" w:rsidTr="00EA6243">
        <w:trPr>
          <w:cantSplit/>
        </w:trPr>
        <w:tc>
          <w:tcPr>
            <w:tcW w:w="4077" w:type="dxa"/>
            <w:vAlign w:val="center"/>
          </w:tcPr>
          <w:p w14:paraId="2F9267D0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EA5502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BD4C31E" w14:textId="77777777" w:rsidTr="00EA6243">
        <w:trPr>
          <w:cantSplit/>
        </w:trPr>
        <w:tc>
          <w:tcPr>
            <w:tcW w:w="4077" w:type="dxa"/>
            <w:vAlign w:val="center"/>
          </w:tcPr>
          <w:p w14:paraId="2F48FBC3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DEF2E6D" w14:textId="4D4CE019" w:rsidR="00687890" w:rsidRPr="004C23F4" w:rsidRDefault="00905DDD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095DB9ED" w14:textId="77777777" w:rsidTr="00EA6243">
        <w:trPr>
          <w:cantSplit/>
        </w:trPr>
        <w:tc>
          <w:tcPr>
            <w:tcW w:w="4077" w:type="dxa"/>
            <w:vAlign w:val="center"/>
          </w:tcPr>
          <w:p w14:paraId="2C4E469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1F6EFE3" w14:textId="77777777" w:rsidR="00E06F40" w:rsidRPr="00A006A0" w:rsidRDefault="009D091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BB2602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32930D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51EEA8B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E18A970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1EE4CB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E42709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5E6CA5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6E02F1A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FCC12D" w14:textId="1B2B0C0C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6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D79E101" w14:textId="75AAD9E2" w:rsidR="00905DDD" w:rsidRPr="00905DDD" w:rsidRDefault="00905DDD" w:rsidP="00084859">
      <w:r w:rsidRPr="00E461B8">
        <w:t>European Chemicals Agency Regulation (ECHA)</w:t>
      </w:r>
      <w:r>
        <w:t xml:space="preserve"> (2019) </w:t>
      </w:r>
      <w:r w:rsidRPr="00905DDD">
        <w:rPr>
          <w:bCs/>
          <w:lang w:val="en-GB"/>
        </w:rPr>
        <w:t>1-Propene, 1,1,3,3,3-pentafluoro-2-(trifluoromethyl)-</w:t>
      </w:r>
      <w:r>
        <w:rPr>
          <w:bCs/>
          <w:lang w:val="en-GB"/>
        </w:rPr>
        <w:t>:</w:t>
      </w:r>
      <w:r w:rsidRPr="00905DDD">
        <w:t xml:space="preserve"> </w:t>
      </w:r>
      <w:proofErr w:type="spellStart"/>
      <w:r>
        <w:t>Infocard</w:t>
      </w:r>
      <w:proofErr w:type="spellEnd"/>
      <w:r>
        <w:t>.</w:t>
      </w:r>
    </w:p>
    <w:sectPr w:rsidR="00905DDD" w:rsidRPr="00905DDD" w:rsidSect="00B87D4C">
      <w:headerReference w:type="defaul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83155" w14:textId="77777777" w:rsidR="00640388" w:rsidRDefault="00640388" w:rsidP="00F43AD5">
      <w:pPr>
        <w:spacing w:after="0" w:line="240" w:lineRule="auto"/>
      </w:pPr>
      <w:r>
        <w:separator/>
      </w:r>
    </w:p>
  </w:endnote>
  <w:endnote w:type="continuationSeparator" w:id="0">
    <w:p w14:paraId="2F953C8E" w14:textId="77777777" w:rsidR="00640388" w:rsidRDefault="0064038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67385" w14:textId="77777777" w:rsidR="00B77A4B" w:rsidRDefault="00B77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FAA0B21" w14:textId="77777777" w:rsidR="00663CF4" w:rsidRPr="00663CF4" w:rsidRDefault="00663CF4" w:rsidP="00663CF4">
        <w:pPr>
          <w:pStyle w:val="Footer"/>
          <w:rPr>
            <w:b/>
            <w:sz w:val="18"/>
            <w:szCs w:val="18"/>
          </w:rPr>
        </w:pPr>
      </w:p>
      <w:p w14:paraId="07877B32" w14:textId="48DD2A96" w:rsidR="008A36CF" w:rsidRDefault="00663CF4" w:rsidP="00663CF4">
        <w:pPr>
          <w:pStyle w:val="Footer"/>
          <w:rPr>
            <w:sz w:val="18"/>
            <w:szCs w:val="18"/>
          </w:rPr>
        </w:pPr>
        <w:proofErr w:type="spellStart"/>
        <w:r w:rsidRPr="00663CF4">
          <w:rPr>
            <w:b/>
            <w:sz w:val="18"/>
            <w:szCs w:val="18"/>
          </w:rPr>
          <w:t>Perfluoroisobutylene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663CF4">
          <w:rPr>
            <w:b/>
            <w:sz w:val="18"/>
            <w:szCs w:val="18"/>
          </w:rPr>
          <w:t>382-21-8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231414">
          <w:rPr>
            <w:sz w:val="18"/>
            <w:szCs w:val="18"/>
          </w:rPr>
          <w:t>2020</w:t>
        </w:r>
      </w:p>
      <w:p w14:paraId="738DE06A" w14:textId="354777A3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62D83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A6E3C" w14:textId="77777777" w:rsidR="00B77A4B" w:rsidRDefault="00B77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623F" w14:textId="77777777" w:rsidR="00640388" w:rsidRDefault="00640388" w:rsidP="00F43AD5">
      <w:pPr>
        <w:spacing w:after="0" w:line="240" w:lineRule="auto"/>
      </w:pPr>
      <w:r>
        <w:separator/>
      </w:r>
    </w:p>
  </w:footnote>
  <w:footnote w:type="continuationSeparator" w:id="0">
    <w:p w14:paraId="44AE4F46" w14:textId="77777777" w:rsidR="00640388" w:rsidRDefault="0064038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414E" w14:textId="77777777" w:rsidR="00B77A4B" w:rsidRDefault="00B77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58984" w14:textId="183138E7" w:rsidR="009D0919" w:rsidRDefault="009D0919" w:rsidP="009D0919">
    <w:pPr>
      <w:pStyle w:val="Header"/>
      <w:jc w:val="right"/>
    </w:pPr>
    <w:r>
      <w:pict w14:anchorId="31F85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00DE34B" wp14:editId="7B9181E5">
          <wp:extent cx="294767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95B8D" w14:textId="77777777" w:rsidR="009D0919" w:rsidRDefault="009D0919" w:rsidP="009D0919">
    <w:pPr>
      <w:pStyle w:val="Header"/>
    </w:pPr>
  </w:p>
  <w:p w14:paraId="179B4E7D" w14:textId="59306DFD" w:rsidR="008A36CF" w:rsidRPr="009D0919" w:rsidRDefault="008A36CF" w:rsidP="009D0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533D" w14:textId="77777777" w:rsidR="00B77A4B" w:rsidRDefault="00B77A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72C0A" w14:textId="6A754681" w:rsidR="009D0919" w:rsidRDefault="009D0919" w:rsidP="009D0919">
    <w:pPr>
      <w:pStyle w:val="Header"/>
      <w:jc w:val="right"/>
    </w:pPr>
    <w:r>
      <w:pict w14:anchorId="3A412D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16CCDFC" wp14:editId="1AEF53F9">
          <wp:extent cx="294767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16043" w14:textId="77777777" w:rsidR="009D0919" w:rsidRDefault="009D0919" w:rsidP="009D0919">
    <w:pPr>
      <w:pStyle w:val="Header"/>
    </w:pPr>
  </w:p>
  <w:p w14:paraId="7D0A054A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FE00E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BB402F"/>
    <w:multiLevelType w:val="hybridMultilevel"/>
    <w:tmpl w:val="2FE48F4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3D81"/>
    <w:rsid w:val="00067F32"/>
    <w:rsid w:val="00071807"/>
    <w:rsid w:val="000803E1"/>
    <w:rsid w:val="00082CBB"/>
    <w:rsid w:val="00084513"/>
    <w:rsid w:val="00084859"/>
    <w:rsid w:val="000912B1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2EA6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6F75"/>
    <w:rsid w:val="00160F47"/>
    <w:rsid w:val="00177CA1"/>
    <w:rsid w:val="00183823"/>
    <w:rsid w:val="00183942"/>
    <w:rsid w:val="00194217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1818"/>
    <w:rsid w:val="001E46DA"/>
    <w:rsid w:val="001E7D80"/>
    <w:rsid w:val="001F4B6C"/>
    <w:rsid w:val="001F62CB"/>
    <w:rsid w:val="001F6ED0"/>
    <w:rsid w:val="001F72E6"/>
    <w:rsid w:val="001F73C5"/>
    <w:rsid w:val="00202787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0127"/>
    <w:rsid w:val="00230605"/>
    <w:rsid w:val="00231414"/>
    <w:rsid w:val="0024463C"/>
    <w:rsid w:val="00244AD1"/>
    <w:rsid w:val="002463BC"/>
    <w:rsid w:val="002465CE"/>
    <w:rsid w:val="0025734A"/>
    <w:rsid w:val="00262D83"/>
    <w:rsid w:val="00263255"/>
    <w:rsid w:val="00276494"/>
    <w:rsid w:val="00277B0C"/>
    <w:rsid w:val="002B1A2C"/>
    <w:rsid w:val="002C215B"/>
    <w:rsid w:val="002C34F2"/>
    <w:rsid w:val="002C58FF"/>
    <w:rsid w:val="002C7AFE"/>
    <w:rsid w:val="002D05D2"/>
    <w:rsid w:val="002E0D61"/>
    <w:rsid w:val="002E4C7B"/>
    <w:rsid w:val="0030740C"/>
    <w:rsid w:val="00313298"/>
    <w:rsid w:val="00315833"/>
    <w:rsid w:val="00320F1F"/>
    <w:rsid w:val="003215EE"/>
    <w:rsid w:val="003224BF"/>
    <w:rsid w:val="003241A8"/>
    <w:rsid w:val="003253F0"/>
    <w:rsid w:val="003337DA"/>
    <w:rsid w:val="00334EFB"/>
    <w:rsid w:val="00335CDE"/>
    <w:rsid w:val="003365A5"/>
    <w:rsid w:val="00337F4E"/>
    <w:rsid w:val="00347192"/>
    <w:rsid w:val="0034744C"/>
    <w:rsid w:val="00351E8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B53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563D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178E"/>
    <w:rsid w:val="00532B56"/>
    <w:rsid w:val="00534B10"/>
    <w:rsid w:val="005446A2"/>
    <w:rsid w:val="00544D2F"/>
    <w:rsid w:val="00551BD8"/>
    <w:rsid w:val="00581055"/>
    <w:rsid w:val="00591E38"/>
    <w:rsid w:val="005945CF"/>
    <w:rsid w:val="005A0EC3"/>
    <w:rsid w:val="005A19C5"/>
    <w:rsid w:val="005A3034"/>
    <w:rsid w:val="005A462D"/>
    <w:rsid w:val="005B19A8"/>
    <w:rsid w:val="005B253B"/>
    <w:rsid w:val="005B3E38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0388"/>
    <w:rsid w:val="00647CF8"/>
    <w:rsid w:val="00650905"/>
    <w:rsid w:val="0065225D"/>
    <w:rsid w:val="006532ED"/>
    <w:rsid w:val="006549F2"/>
    <w:rsid w:val="006567B7"/>
    <w:rsid w:val="00657BFB"/>
    <w:rsid w:val="0066333C"/>
    <w:rsid w:val="006639B4"/>
    <w:rsid w:val="00663CF4"/>
    <w:rsid w:val="006650FE"/>
    <w:rsid w:val="0067305D"/>
    <w:rsid w:val="006778B1"/>
    <w:rsid w:val="00677D9B"/>
    <w:rsid w:val="006867F3"/>
    <w:rsid w:val="0068723A"/>
    <w:rsid w:val="00687890"/>
    <w:rsid w:val="006901A2"/>
    <w:rsid w:val="00690368"/>
    <w:rsid w:val="0069079C"/>
    <w:rsid w:val="00690B53"/>
    <w:rsid w:val="006942D5"/>
    <w:rsid w:val="00695B72"/>
    <w:rsid w:val="006B160A"/>
    <w:rsid w:val="006B4E6C"/>
    <w:rsid w:val="006B50B6"/>
    <w:rsid w:val="006B70A2"/>
    <w:rsid w:val="006C70E8"/>
    <w:rsid w:val="006D79EA"/>
    <w:rsid w:val="006E0975"/>
    <w:rsid w:val="006E5D05"/>
    <w:rsid w:val="006F2566"/>
    <w:rsid w:val="00701053"/>
    <w:rsid w:val="00701507"/>
    <w:rsid w:val="00707B8B"/>
    <w:rsid w:val="00714021"/>
    <w:rsid w:val="0071589D"/>
    <w:rsid w:val="00716A0F"/>
    <w:rsid w:val="00717D45"/>
    <w:rsid w:val="007208F7"/>
    <w:rsid w:val="007218AF"/>
    <w:rsid w:val="007365D1"/>
    <w:rsid w:val="00740E0E"/>
    <w:rsid w:val="00750212"/>
    <w:rsid w:val="007535ED"/>
    <w:rsid w:val="00754779"/>
    <w:rsid w:val="0075716D"/>
    <w:rsid w:val="00760C1C"/>
    <w:rsid w:val="00765F14"/>
    <w:rsid w:val="00770E31"/>
    <w:rsid w:val="00774B47"/>
    <w:rsid w:val="007770F1"/>
    <w:rsid w:val="00782D34"/>
    <w:rsid w:val="00783FB1"/>
    <w:rsid w:val="00785CDD"/>
    <w:rsid w:val="00791847"/>
    <w:rsid w:val="007925F0"/>
    <w:rsid w:val="007939B3"/>
    <w:rsid w:val="0079509C"/>
    <w:rsid w:val="00796471"/>
    <w:rsid w:val="00796708"/>
    <w:rsid w:val="007B1B42"/>
    <w:rsid w:val="007C30EB"/>
    <w:rsid w:val="007D11A5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2963"/>
    <w:rsid w:val="00826F21"/>
    <w:rsid w:val="00834CC8"/>
    <w:rsid w:val="00835E00"/>
    <w:rsid w:val="00837113"/>
    <w:rsid w:val="008414E4"/>
    <w:rsid w:val="00843E21"/>
    <w:rsid w:val="0084508E"/>
    <w:rsid w:val="00845F8E"/>
    <w:rsid w:val="00853A76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187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5DDD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034D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C5BFB"/>
    <w:rsid w:val="009D0919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7B8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20A1"/>
    <w:rsid w:val="00A53681"/>
    <w:rsid w:val="00A633D4"/>
    <w:rsid w:val="00A6461A"/>
    <w:rsid w:val="00A80F02"/>
    <w:rsid w:val="00A84504"/>
    <w:rsid w:val="00A8672F"/>
    <w:rsid w:val="00A93057"/>
    <w:rsid w:val="00A968B0"/>
    <w:rsid w:val="00AB0FFC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77A4B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4E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127E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06C3D"/>
    <w:rsid w:val="00D140FC"/>
    <w:rsid w:val="00D21D8C"/>
    <w:rsid w:val="00D24E65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D480A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25A4"/>
    <w:rsid w:val="00E4513B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3A92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646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AB0FFC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3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E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E3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E3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gih.org/tlv-bei-guidelines/policies-procedures-present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6CD9E5736BBB497DABC380E1C63B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B4749-72B9-44F2-BBC5-74CCB6EBE023}"/>
      </w:docPartPr>
      <w:docPartBody>
        <w:p w:rsidR="005612D2" w:rsidRDefault="00AF1EB6" w:rsidP="00AF1EB6">
          <w:pPr>
            <w:pStyle w:val="6CD9E5736BBB497DABC380E1C63B5E91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4331B516C4E24FB5B02B4215FF7B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B6025-54C7-47B5-897B-043514C75789}"/>
      </w:docPartPr>
      <w:docPartBody>
        <w:p w:rsidR="00010911" w:rsidRDefault="001E38BA" w:rsidP="001E38BA">
          <w:pPr>
            <w:pStyle w:val="4331B516C4E24FB5B02B4215FF7BAE56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10911"/>
    <w:rsid w:val="001E38BA"/>
    <w:rsid w:val="0040515F"/>
    <w:rsid w:val="005612D2"/>
    <w:rsid w:val="005C570E"/>
    <w:rsid w:val="00AF1EB6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8B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CD9E5736BBB497DABC380E1C63B5E91">
    <w:name w:val="6CD9E5736BBB497DABC380E1C63B5E91"/>
    <w:rsid w:val="00AF1EB6"/>
  </w:style>
  <w:style w:type="paragraph" w:customStyle="1" w:styleId="4331B516C4E24FB5B02B4215FF7BAE56">
    <w:name w:val="4331B516C4E24FB5B02B4215FF7BAE56"/>
    <w:rsid w:val="001E3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96D6-4072-405A-AC41-16637A6F3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E4F06-C0DE-45D6-95AB-D31A101FD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8A1F5-3EE8-40E7-B0A8-9642B89A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2020-02-28T03:04:00Z</dcterms:created>
  <dcterms:modified xsi:type="dcterms:W3CDTF">2020-07-21T00:26:00Z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