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62285309" w14:textId="568681AC" w:rsidR="00BD499F" w:rsidRPr="004C23F4" w:rsidRDefault="0059017B" w:rsidP="00B40C60">
          <w:pPr>
            <w:pStyle w:val="Heading1"/>
            <w:jc w:val="center"/>
            <w:rPr>
              <w:rFonts w:ascii="Arial" w:hAnsi="Arial" w:cs="Arial"/>
            </w:rPr>
          </w:pPr>
          <w:r>
            <w:rPr>
              <w:rFonts w:ascii="Arial" w:hAnsi="Arial" w:cs="Arial"/>
            </w:rPr>
            <w:t>P</w:t>
          </w:r>
          <w:r w:rsidR="00EB7AE2">
            <w:rPr>
              <w:rFonts w:ascii="Arial" w:hAnsi="Arial" w:cs="Arial"/>
            </w:rPr>
            <w:t>henothiazine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79"/>
        <w:gridCol w:w="5047"/>
      </w:tblGrid>
      <w:tr w:rsidR="00F43AD5" w:rsidRPr="004C23F4" w14:paraId="0F7B490D" w14:textId="77777777" w:rsidTr="00000999">
        <w:trPr>
          <w:cantSplit/>
          <w:tblHeader/>
        </w:trPr>
        <w:tc>
          <w:tcPr>
            <w:tcW w:w="3979" w:type="dxa"/>
          </w:tcPr>
          <w:p w14:paraId="40067981" w14:textId="77777777" w:rsidR="00F43AD5" w:rsidRPr="00921DE7" w:rsidRDefault="00CB1CB1" w:rsidP="00B76A41">
            <w:pPr>
              <w:pStyle w:val="Tablerowright"/>
            </w:pPr>
            <w:r w:rsidRPr="00921DE7">
              <w:t>CAS number:</w:t>
            </w:r>
          </w:p>
        </w:tc>
        <w:tc>
          <w:tcPr>
            <w:tcW w:w="5047" w:type="dxa"/>
          </w:tcPr>
          <w:p w14:paraId="53701FA8" w14:textId="77777777" w:rsidR="00F43AD5" w:rsidRPr="00717D45" w:rsidRDefault="00EB7AE2" w:rsidP="00B76A41">
            <w:pPr>
              <w:pStyle w:val="Tablefont"/>
            </w:pPr>
            <w:r>
              <w:t>92-84-2</w:t>
            </w:r>
          </w:p>
        </w:tc>
      </w:tr>
      <w:tr w:rsidR="00F43AD5" w:rsidRPr="004C23F4" w14:paraId="27D172BA" w14:textId="77777777" w:rsidTr="00000999">
        <w:trPr>
          <w:cantSplit/>
        </w:trPr>
        <w:tc>
          <w:tcPr>
            <w:tcW w:w="3979" w:type="dxa"/>
          </w:tcPr>
          <w:p w14:paraId="07AE231C" w14:textId="77777777" w:rsidR="00F43AD5" w:rsidRPr="00921DE7" w:rsidRDefault="00CB1CB1" w:rsidP="00B76A41">
            <w:pPr>
              <w:pStyle w:val="Tablerowright"/>
            </w:pPr>
            <w:r w:rsidRPr="00921DE7">
              <w:t>Synonyms:</w:t>
            </w:r>
          </w:p>
        </w:tc>
        <w:tc>
          <w:tcPr>
            <w:tcW w:w="5047" w:type="dxa"/>
          </w:tcPr>
          <w:p w14:paraId="3E85A32B" w14:textId="77777777" w:rsidR="00F43AD5" w:rsidRPr="00717D45" w:rsidRDefault="00B62E25" w:rsidP="00B76A41">
            <w:pPr>
              <w:pStyle w:val="Tablefont"/>
            </w:pPr>
            <w:r>
              <w:t>Dibenzothiazine, thiodiphenylamine</w:t>
            </w:r>
          </w:p>
        </w:tc>
      </w:tr>
      <w:tr w:rsidR="00F43AD5" w:rsidRPr="004C23F4" w14:paraId="25D92D53" w14:textId="77777777" w:rsidTr="00000999">
        <w:trPr>
          <w:cantSplit/>
        </w:trPr>
        <w:tc>
          <w:tcPr>
            <w:tcW w:w="3979" w:type="dxa"/>
          </w:tcPr>
          <w:p w14:paraId="292B15B3" w14:textId="77777777" w:rsidR="00F43AD5" w:rsidRPr="00921DE7" w:rsidRDefault="00CB1CB1" w:rsidP="00B76A41">
            <w:pPr>
              <w:pStyle w:val="Tablerowright"/>
            </w:pPr>
            <w:r w:rsidRPr="00921DE7">
              <w:t>Chemical formula:</w:t>
            </w:r>
          </w:p>
        </w:tc>
        <w:tc>
          <w:tcPr>
            <w:tcW w:w="5047" w:type="dxa"/>
          </w:tcPr>
          <w:p w14:paraId="74EC3C7B" w14:textId="77777777" w:rsidR="00F43AD5" w:rsidRPr="00717D45" w:rsidRDefault="00B62E25" w:rsidP="00B76A41">
            <w:pPr>
              <w:pStyle w:val="Tablefont"/>
            </w:pPr>
            <w:r>
              <w:t>C</w:t>
            </w:r>
            <w:r w:rsidRPr="00B62E25">
              <w:rPr>
                <w:vertAlign w:val="subscript"/>
              </w:rPr>
              <w:t>12</w:t>
            </w:r>
            <w:r>
              <w:t>H</w:t>
            </w:r>
            <w:r w:rsidRPr="00B62E25">
              <w:rPr>
                <w:vertAlign w:val="subscript"/>
              </w:rPr>
              <w:t>9</w:t>
            </w:r>
            <w:r>
              <w:t>NS</w:t>
            </w:r>
          </w:p>
        </w:tc>
      </w:tr>
    </w:tbl>
    <w:p w14:paraId="5A1F11A3" w14:textId="354A525C"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6D7D98">
            <w:rPr>
              <w:rStyle w:val="WESstatus"/>
            </w:rPr>
            <w:t>(retained)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2E824C68" w14:textId="77777777" w:rsidTr="00037E52">
        <w:trPr>
          <w:cantSplit/>
          <w:tblHeader/>
        </w:trPr>
        <w:tc>
          <w:tcPr>
            <w:tcW w:w="4010" w:type="dxa"/>
            <w:vAlign w:val="center"/>
          </w:tcPr>
          <w:p w14:paraId="74F48DD4" w14:textId="77777777" w:rsidR="002C7AFE" w:rsidRPr="002C58FF" w:rsidRDefault="00921DE7" w:rsidP="00921DE7">
            <w:pPr>
              <w:pStyle w:val="Tablerowright"/>
            </w:pPr>
            <w:r>
              <w:t>TWA:</w:t>
            </w:r>
          </w:p>
        </w:tc>
        <w:tc>
          <w:tcPr>
            <w:tcW w:w="5016" w:type="dxa"/>
          </w:tcPr>
          <w:p w14:paraId="64F1E245" w14:textId="5A5BC258" w:rsidR="002C7AFE" w:rsidRPr="006D7D98" w:rsidRDefault="006D7D98" w:rsidP="00017C82">
            <w:pPr>
              <w:pStyle w:val="Tablefont"/>
              <w:rPr>
                <w:b/>
                <w:vertAlign w:val="superscript"/>
              </w:rPr>
            </w:pPr>
            <w:r>
              <w:rPr>
                <w:b/>
              </w:rPr>
              <w:t>5 mg/m</w:t>
            </w:r>
            <w:r>
              <w:rPr>
                <w:b/>
                <w:vertAlign w:val="superscript"/>
              </w:rPr>
              <w:t>3</w:t>
            </w:r>
          </w:p>
        </w:tc>
      </w:tr>
      <w:tr w:rsidR="00037E52" w:rsidRPr="004C23F4" w14:paraId="686C362F" w14:textId="77777777" w:rsidTr="00037E52">
        <w:trPr>
          <w:cantSplit/>
        </w:trPr>
        <w:tc>
          <w:tcPr>
            <w:tcW w:w="4010" w:type="dxa"/>
            <w:vAlign w:val="center"/>
          </w:tcPr>
          <w:p w14:paraId="57B9F55E" w14:textId="77777777" w:rsidR="00037E52" w:rsidRPr="002C58FF" w:rsidRDefault="00037E52" w:rsidP="00037E52">
            <w:pPr>
              <w:pStyle w:val="Tablerowright"/>
            </w:pPr>
            <w:r w:rsidRPr="002C58FF">
              <w:t>STEL</w:t>
            </w:r>
            <w:r>
              <w:t>:</w:t>
            </w:r>
          </w:p>
        </w:tc>
        <w:tc>
          <w:tcPr>
            <w:tcW w:w="5016" w:type="dxa"/>
          </w:tcPr>
          <w:p w14:paraId="1406EAD9" w14:textId="77777777" w:rsidR="00037E52" w:rsidRPr="00EB3D1B" w:rsidRDefault="00037E52" w:rsidP="00037E52">
            <w:pPr>
              <w:pStyle w:val="Tablefont"/>
              <w:rPr>
                <w:b/>
              </w:rPr>
            </w:pPr>
            <w:r>
              <w:rPr>
                <w:b/>
              </w:rPr>
              <w:t>—</w:t>
            </w:r>
          </w:p>
        </w:tc>
      </w:tr>
      <w:tr w:rsidR="00037E52" w:rsidRPr="004C23F4" w14:paraId="7B8FDBFD" w14:textId="77777777" w:rsidTr="00037E52">
        <w:trPr>
          <w:cantSplit/>
        </w:trPr>
        <w:tc>
          <w:tcPr>
            <w:tcW w:w="4010" w:type="dxa"/>
            <w:vAlign w:val="center"/>
          </w:tcPr>
          <w:p w14:paraId="1A67A17D" w14:textId="77777777" w:rsidR="00037E52" w:rsidRPr="002C58FF" w:rsidRDefault="00037E52" w:rsidP="00037E52">
            <w:pPr>
              <w:pStyle w:val="Tablerowright"/>
            </w:pPr>
            <w:r>
              <w:t>Peak limitation:</w:t>
            </w:r>
          </w:p>
        </w:tc>
        <w:tc>
          <w:tcPr>
            <w:tcW w:w="5016" w:type="dxa"/>
          </w:tcPr>
          <w:p w14:paraId="14AAE7EB" w14:textId="77777777" w:rsidR="00037E52" w:rsidRPr="00EB3D1B" w:rsidRDefault="00037E52" w:rsidP="00037E52">
            <w:pPr>
              <w:pStyle w:val="Tablefont"/>
              <w:rPr>
                <w:b/>
              </w:rPr>
            </w:pPr>
            <w:r>
              <w:rPr>
                <w:b/>
              </w:rPr>
              <w:t>—</w:t>
            </w:r>
          </w:p>
        </w:tc>
      </w:tr>
      <w:tr w:rsidR="00037E52" w:rsidRPr="004C23F4" w14:paraId="1B5AA178" w14:textId="77777777" w:rsidTr="00037E52">
        <w:trPr>
          <w:cantSplit/>
        </w:trPr>
        <w:tc>
          <w:tcPr>
            <w:tcW w:w="4010" w:type="dxa"/>
          </w:tcPr>
          <w:p w14:paraId="58F76CE6" w14:textId="77777777" w:rsidR="00037E52" w:rsidRPr="002C58FF" w:rsidRDefault="00037E52" w:rsidP="00037E52">
            <w:pPr>
              <w:pStyle w:val="Tablerowright"/>
            </w:pPr>
            <w:r>
              <w:rPr>
                <w:b w:val="0"/>
                <w:bCs/>
                <w:color w:val="000000" w:themeColor="text1"/>
              </w:rPr>
              <w:tab/>
            </w:r>
            <w:r w:rsidRPr="003241A8">
              <w:t>Notations</w:t>
            </w:r>
            <w:r>
              <w:t>:</w:t>
            </w:r>
          </w:p>
        </w:tc>
        <w:tc>
          <w:tcPr>
            <w:tcW w:w="5016" w:type="dxa"/>
          </w:tcPr>
          <w:p w14:paraId="2719944A" w14:textId="0E1650B6" w:rsidR="00037E52" w:rsidRPr="00EB3D1B" w:rsidRDefault="0060516A" w:rsidP="00037E52">
            <w:pPr>
              <w:pStyle w:val="Tablefont"/>
              <w:rPr>
                <w:b/>
              </w:rPr>
            </w:pPr>
            <w:r>
              <w:rPr>
                <w:b/>
              </w:rPr>
              <w:t>Sk.</w:t>
            </w:r>
          </w:p>
        </w:tc>
      </w:tr>
      <w:tr w:rsidR="00037E52" w:rsidRPr="004C23F4" w14:paraId="0D01C71B" w14:textId="77777777" w:rsidTr="00037E52">
        <w:trPr>
          <w:cantSplit/>
        </w:trPr>
        <w:tc>
          <w:tcPr>
            <w:tcW w:w="4010" w:type="dxa"/>
            <w:vAlign w:val="center"/>
          </w:tcPr>
          <w:p w14:paraId="7EF1301D" w14:textId="77777777" w:rsidR="00037E52" w:rsidRPr="002C58FF" w:rsidRDefault="00037E52" w:rsidP="00037E52">
            <w:pPr>
              <w:pStyle w:val="Tablerowright"/>
            </w:pPr>
            <w:r>
              <w:t>IDLH:</w:t>
            </w:r>
          </w:p>
        </w:tc>
        <w:tc>
          <w:tcPr>
            <w:tcW w:w="5016" w:type="dxa"/>
          </w:tcPr>
          <w:p w14:paraId="05CFB93B" w14:textId="77777777" w:rsidR="00037E52" w:rsidRPr="00EB3D1B" w:rsidRDefault="00037E52" w:rsidP="00037E52">
            <w:pPr>
              <w:pStyle w:val="Tablefont"/>
              <w:rPr>
                <w:b/>
              </w:rPr>
            </w:pPr>
            <w:r>
              <w:rPr>
                <w:b/>
              </w:rPr>
              <w:t>—</w:t>
            </w:r>
          </w:p>
        </w:tc>
      </w:tr>
      <w:tr w:rsidR="006D7D98" w:rsidRPr="004C23F4" w14:paraId="4ACD169E" w14:textId="77777777" w:rsidTr="002B0751">
        <w:trPr>
          <w:cantSplit/>
        </w:trPr>
        <w:tc>
          <w:tcPr>
            <w:tcW w:w="9026" w:type="dxa"/>
            <w:gridSpan w:val="2"/>
            <w:vAlign w:val="center"/>
          </w:tcPr>
          <w:p w14:paraId="6D21F551" w14:textId="5A6BAB5D" w:rsidR="006D7D98" w:rsidRPr="006D7D98" w:rsidRDefault="006D7D98" w:rsidP="00037E52">
            <w:pPr>
              <w:pStyle w:val="Tablefont"/>
              <w:rPr>
                <w:b/>
              </w:rPr>
            </w:pPr>
            <w:r w:rsidRPr="006D7D98">
              <w:rPr>
                <w:b/>
              </w:rPr>
              <w:t>Sampling and analysis:</w:t>
            </w:r>
            <w:r>
              <w:rPr>
                <w:b/>
              </w:rPr>
              <w:t xml:space="preserve"> </w:t>
            </w:r>
            <w:sdt>
              <w:sdtPr>
                <w:rPr>
                  <w:rStyle w:val="WESstatus"/>
                  <w:color w:val="auto"/>
                </w:rPr>
                <w:id w:val="-2105258949"/>
                <w:placeholder>
                  <w:docPart w:val="812CBB1116B54ED286AAFCCCE2BA0818"/>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sidR="0060516A">
                  <w:rPr>
                    <w:rStyle w:val="WESstatus"/>
                    <w:color w:val="auto"/>
                  </w:rPr>
                  <w:t xml:space="preserve">The recommended value is quantifiable through available sampling and analysis techniques. </w:t>
                </w:r>
              </w:sdtContent>
            </w:sdt>
          </w:p>
        </w:tc>
      </w:tr>
    </w:tbl>
    <w:p w14:paraId="38E97E58" w14:textId="77777777" w:rsidR="00CB1CB1" w:rsidRPr="003365A5" w:rsidRDefault="00F10C97" w:rsidP="003365A5">
      <w:pPr>
        <w:pStyle w:val="Heading2"/>
      </w:pPr>
      <w:r>
        <w:t>Recommendation and basis for workplace exposure standard</w:t>
      </w:r>
    </w:p>
    <w:p w14:paraId="70A0D2BA" w14:textId="2551F547" w:rsidR="006639B4" w:rsidRPr="004C23F4" w:rsidRDefault="006B1332" w:rsidP="000C139A">
      <w:pPr>
        <w:rPr>
          <w:rFonts w:cs="Arial"/>
        </w:rPr>
      </w:pPr>
      <w:r w:rsidRPr="006B1332">
        <w:rPr>
          <w:rFonts w:cs="Arial"/>
        </w:rPr>
        <w:t xml:space="preserve">A TWA of </w:t>
      </w:r>
      <w:r>
        <w:rPr>
          <w:rFonts w:cs="Arial"/>
        </w:rPr>
        <w:t>5</w:t>
      </w:r>
      <w:r w:rsidRPr="006B1332">
        <w:rPr>
          <w:rFonts w:cs="Arial"/>
        </w:rPr>
        <w:t xml:space="preserve"> mg/m</w:t>
      </w:r>
      <w:r w:rsidRPr="006B1332">
        <w:rPr>
          <w:rFonts w:cs="Arial"/>
          <w:vertAlign w:val="superscript"/>
        </w:rPr>
        <w:t>3</w:t>
      </w:r>
      <w:r w:rsidRPr="006B1332">
        <w:rPr>
          <w:rFonts w:cs="Arial"/>
        </w:rPr>
        <w:t xml:space="preserve"> is recommended to protect for </w:t>
      </w:r>
      <w:r>
        <w:t>skin irritation and discolouration, keratitis and photosensitisation</w:t>
      </w:r>
      <w:r w:rsidRPr="006B1332">
        <w:rPr>
          <w:rFonts w:cs="Arial"/>
        </w:rPr>
        <w:t xml:space="preserve"> in exposed workers</w:t>
      </w:r>
      <w:r>
        <w:rPr>
          <w:rFonts w:cs="Arial"/>
        </w:rPr>
        <w:t>.</w:t>
      </w:r>
    </w:p>
    <w:p w14:paraId="64C124D3" w14:textId="77777777" w:rsidR="00C7155E" w:rsidRPr="004C23F4" w:rsidRDefault="00F10C97" w:rsidP="003365A5">
      <w:pPr>
        <w:pStyle w:val="Heading2"/>
      </w:pPr>
      <w:r>
        <w:t>Discussion and conclusions</w:t>
      </w:r>
    </w:p>
    <w:p w14:paraId="06C168D8" w14:textId="5F635BE9" w:rsidR="0060516A" w:rsidRDefault="006B1332" w:rsidP="006639B4">
      <w:r>
        <w:rPr>
          <w:rFonts w:cs="Arial"/>
        </w:rPr>
        <w:t xml:space="preserve">Phenothiazine is used as a pesticide, </w:t>
      </w:r>
      <w:r>
        <w:t>as a base in the manufacture of tranquilisers, as a urinary antiseptic and in the treatment of pinworm, threadworm and roundworm</w:t>
      </w:r>
      <w:r w:rsidR="00093587">
        <w:t xml:space="preserve">. </w:t>
      </w:r>
    </w:p>
    <w:p w14:paraId="4B7F9531" w14:textId="5CE2990A" w:rsidR="00F236F1" w:rsidRDefault="0060516A" w:rsidP="006639B4">
      <w:r>
        <w:t xml:space="preserve">Critical effects </w:t>
      </w:r>
      <w:r w:rsidR="000614BD">
        <w:t xml:space="preserve">of </w:t>
      </w:r>
      <w:r>
        <w:t>exposure include skin irritation and discolouration, keratitis and photosensitisation</w:t>
      </w:r>
      <w:r>
        <w:rPr>
          <w:rFonts w:cs="Arial"/>
        </w:rPr>
        <w:t>.</w:t>
      </w:r>
      <w:r>
        <w:t xml:space="preserve"> </w:t>
      </w:r>
    </w:p>
    <w:p w14:paraId="60AEAB36" w14:textId="0F076F93" w:rsidR="006639B4" w:rsidRPr="0060516A" w:rsidRDefault="00093587" w:rsidP="006639B4">
      <w:pPr>
        <w:rPr>
          <w:rStyle w:val="checkbox"/>
          <w:rFonts w:ascii="Arial" w:hAnsi="Arial"/>
        </w:rPr>
      </w:pPr>
      <w:r>
        <w:t xml:space="preserve">Limited inhalational toxicity data </w:t>
      </w:r>
      <w:r w:rsidR="00EF0829">
        <w:t xml:space="preserve">from humans </w:t>
      </w:r>
      <w:r>
        <w:t>is available, with a report of workers exposed at 15 to 48 mg/m</w:t>
      </w:r>
      <w:r>
        <w:rPr>
          <w:vertAlign w:val="superscript"/>
        </w:rPr>
        <w:t>3</w:t>
      </w:r>
      <w:r>
        <w:t xml:space="preserve"> </w:t>
      </w:r>
      <w:r w:rsidR="00E97891">
        <w:t xml:space="preserve">of dust </w:t>
      </w:r>
      <w:r>
        <w:t xml:space="preserve">developing </w:t>
      </w:r>
      <w:r w:rsidR="00EF0829">
        <w:t xml:space="preserve">hair and fingernail colouration </w:t>
      </w:r>
      <w:r w:rsidR="00E97891">
        <w:t xml:space="preserve">(reversible following cessation of exposure) </w:t>
      </w:r>
      <w:r w:rsidR="00EF0829">
        <w:t xml:space="preserve">and skin irritation. </w:t>
      </w:r>
      <w:r w:rsidR="00E97891">
        <w:t>L</w:t>
      </w:r>
      <w:r w:rsidR="00E97C76">
        <w:t xml:space="preserve">arge oral doses </w:t>
      </w:r>
      <w:r w:rsidR="00E97891">
        <w:t xml:space="preserve">in humans caused </w:t>
      </w:r>
      <w:r w:rsidR="00E97C76">
        <w:t>hepatotoxicity, haemolytic anaemia, abdominal cramps, tachycardia and renal damage (ACGIH,</w:t>
      </w:r>
      <w:r w:rsidR="00854EC9">
        <w:t> </w:t>
      </w:r>
      <w:r w:rsidR="00E97C76">
        <w:t>20</w:t>
      </w:r>
      <w:r w:rsidR="00C442AF">
        <w:t>18</w:t>
      </w:r>
      <w:r w:rsidR="00E97C76">
        <w:t xml:space="preserve">). </w:t>
      </w:r>
      <w:r w:rsidR="00EF0829">
        <w:t xml:space="preserve">A sub-chronic feeding study in dogs identified a NOAEL of approximately </w:t>
      </w:r>
      <w:r w:rsidR="00854EC9">
        <w:t>5</w:t>
      </w:r>
      <w:r w:rsidR="00E97891">
        <w:t xml:space="preserve"> to </w:t>
      </w:r>
      <w:r w:rsidR="00854EC9">
        <w:t>6 </w:t>
      </w:r>
      <w:r w:rsidR="00EF0829">
        <w:t>mg/kg</w:t>
      </w:r>
      <w:r w:rsidR="00F236F1">
        <w:t>/</w:t>
      </w:r>
      <w:r w:rsidR="00EF0829">
        <w:t xml:space="preserve">day for </w:t>
      </w:r>
      <w:r w:rsidR="00EF0829">
        <w:rPr>
          <w:rStyle w:val="checkbox"/>
          <w:rFonts w:ascii="Arial" w:hAnsi="Arial" w:cs="Arial"/>
        </w:rPr>
        <w:t>haemolytic anaemia (DFG, 2009; ECHA</w:t>
      </w:r>
      <w:r w:rsidR="00E97C76">
        <w:rPr>
          <w:rStyle w:val="checkbox"/>
          <w:rFonts w:ascii="Arial" w:hAnsi="Arial" w:cs="Arial"/>
        </w:rPr>
        <w:t>, 2006).</w:t>
      </w:r>
      <w:r w:rsidR="001D136F">
        <w:rPr>
          <w:rStyle w:val="checkbox"/>
          <w:rFonts w:ascii="Arial" w:hAnsi="Arial" w:cs="Arial"/>
        </w:rPr>
        <w:t xml:space="preserve"> </w:t>
      </w:r>
      <w:r w:rsidR="00AB62D9">
        <w:rPr>
          <w:rFonts w:cs="Arial"/>
        </w:rPr>
        <w:t xml:space="preserve">In the absence of suitable chronic studies, </w:t>
      </w:r>
      <w:r w:rsidR="00AB62D9">
        <w:rPr>
          <w:rStyle w:val="checkbox"/>
          <w:rFonts w:ascii="Arial" w:hAnsi="Arial" w:cs="Arial"/>
        </w:rPr>
        <w:t>t</w:t>
      </w:r>
      <w:r w:rsidR="001D136F">
        <w:rPr>
          <w:rStyle w:val="checkbox"/>
          <w:rFonts w:ascii="Arial" w:hAnsi="Arial" w:cs="Arial"/>
        </w:rPr>
        <w:t xml:space="preserve">his NOAEL </w:t>
      </w:r>
      <w:r w:rsidR="00000999">
        <w:rPr>
          <w:rStyle w:val="checkbox"/>
          <w:rFonts w:ascii="Arial" w:hAnsi="Arial" w:cs="Arial"/>
        </w:rPr>
        <w:t>i</w:t>
      </w:r>
      <w:r w:rsidR="00AB62D9">
        <w:rPr>
          <w:rStyle w:val="checkbox"/>
          <w:rFonts w:ascii="Arial" w:hAnsi="Arial" w:cs="Arial"/>
        </w:rPr>
        <w:t>s adjusted to a TWA of 17</w:t>
      </w:r>
      <w:r w:rsidR="00F236F1">
        <w:rPr>
          <w:rStyle w:val="checkbox"/>
          <w:rFonts w:ascii="Arial" w:hAnsi="Arial" w:cs="Arial"/>
        </w:rPr>
        <w:t> </w:t>
      </w:r>
      <w:r w:rsidR="00AB62D9">
        <w:rPr>
          <w:rStyle w:val="checkbox"/>
          <w:rFonts w:ascii="Arial" w:hAnsi="Arial" w:cs="Arial"/>
        </w:rPr>
        <w:t>mg/m</w:t>
      </w:r>
      <w:r w:rsidR="00AB62D9" w:rsidRPr="004542CD">
        <w:rPr>
          <w:rStyle w:val="checkbox"/>
          <w:rFonts w:ascii="Arial" w:hAnsi="Arial" w:cs="Arial"/>
          <w:vertAlign w:val="superscript"/>
        </w:rPr>
        <w:t>3</w:t>
      </w:r>
      <w:r w:rsidR="00AB62D9">
        <w:rPr>
          <w:rStyle w:val="checkbox"/>
          <w:rFonts w:ascii="Arial" w:hAnsi="Arial" w:cs="Arial"/>
        </w:rPr>
        <w:t xml:space="preserve"> by DFG (2009) but </w:t>
      </w:r>
      <w:r w:rsidR="00F236F1">
        <w:rPr>
          <w:rStyle w:val="checkbox"/>
          <w:rFonts w:ascii="Arial" w:hAnsi="Arial" w:cs="Arial"/>
        </w:rPr>
        <w:t xml:space="preserve">it </w:t>
      </w:r>
      <w:r w:rsidR="00000999">
        <w:rPr>
          <w:rStyle w:val="checkbox"/>
          <w:rFonts w:ascii="Arial" w:hAnsi="Arial" w:cs="Arial"/>
        </w:rPr>
        <w:t>i</w:t>
      </w:r>
      <w:r w:rsidR="00AB62D9">
        <w:rPr>
          <w:rStyle w:val="checkbox"/>
          <w:rFonts w:ascii="Arial" w:hAnsi="Arial" w:cs="Arial"/>
        </w:rPr>
        <w:t xml:space="preserve">s noted it may not be protective of </w:t>
      </w:r>
      <w:r w:rsidR="00AB62D9">
        <w:rPr>
          <w:rFonts w:cs="Arial"/>
        </w:rPr>
        <w:t>phytotoxicity or hair and fingernail discolouration</w:t>
      </w:r>
      <w:r w:rsidR="00000999">
        <w:rPr>
          <w:rFonts w:cs="Arial"/>
        </w:rPr>
        <w:t>;</w:t>
      </w:r>
      <w:r w:rsidR="00AB62D9">
        <w:rPr>
          <w:rFonts w:cs="Arial"/>
        </w:rPr>
        <w:t xml:space="preserve"> hence no MAK assigned.</w:t>
      </w:r>
    </w:p>
    <w:p w14:paraId="576C60AC" w14:textId="37E2976E" w:rsidR="00E97C76" w:rsidRPr="00093587" w:rsidRDefault="00E97C76" w:rsidP="006639B4">
      <w:pPr>
        <w:rPr>
          <w:rFonts w:cs="Arial"/>
        </w:rPr>
      </w:pPr>
      <w:r>
        <w:rPr>
          <w:rFonts w:cs="Arial"/>
        </w:rPr>
        <w:t xml:space="preserve">The </w:t>
      </w:r>
      <w:r w:rsidR="00F236F1">
        <w:rPr>
          <w:rFonts w:cs="Arial"/>
        </w:rPr>
        <w:t xml:space="preserve">SWA </w:t>
      </w:r>
      <w:r>
        <w:rPr>
          <w:rFonts w:cs="Arial"/>
        </w:rPr>
        <w:t xml:space="preserve">TWA </w:t>
      </w:r>
      <w:r w:rsidR="00AB62D9">
        <w:rPr>
          <w:rFonts w:cs="Arial"/>
        </w:rPr>
        <w:t>of 5 mg/m</w:t>
      </w:r>
      <w:r w:rsidR="00AB62D9" w:rsidRPr="004542CD">
        <w:rPr>
          <w:rFonts w:cs="Arial"/>
          <w:vertAlign w:val="superscript"/>
        </w:rPr>
        <w:t>3</w:t>
      </w:r>
      <w:r w:rsidR="00AB62D9">
        <w:rPr>
          <w:rFonts w:cs="Arial"/>
        </w:rPr>
        <w:t xml:space="preserve"> </w:t>
      </w:r>
      <w:r w:rsidR="00F236F1">
        <w:rPr>
          <w:rFonts w:cs="Arial"/>
        </w:rPr>
        <w:t xml:space="preserve">derived by ACGIH (2018) </w:t>
      </w:r>
      <w:r>
        <w:rPr>
          <w:rFonts w:cs="Arial"/>
        </w:rPr>
        <w:t xml:space="preserve">is recommended </w:t>
      </w:r>
      <w:r w:rsidR="00F236F1">
        <w:rPr>
          <w:rFonts w:cs="Arial"/>
        </w:rPr>
        <w:t xml:space="preserve">be retained </w:t>
      </w:r>
      <w:r w:rsidR="00AB62D9">
        <w:rPr>
          <w:rFonts w:cs="Arial"/>
        </w:rPr>
        <w:t>and is considered sufficient</w:t>
      </w:r>
      <w:r w:rsidR="004542CD">
        <w:rPr>
          <w:rFonts w:cs="Arial"/>
        </w:rPr>
        <w:t>ly protective</w:t>
      </w:r>
      <w:r>
        <w:rPr>
          <w:rFonts w:cs="Arial"/>
        </w:rPr>
        <w:t xml:space="preserve"> to limit irritant and photosensitisation effects.</w:t>
      </w:r>
    </w:p>
    <w:p w14:paraId="27EB1A6C" w14:textId="77777777" w:rsidR="004529F0" w:rsidRPr="004C23F4" w:rsidRDefault="004529F0" w:rsidP="004529F0">
      <w:pPr>
        <w:pStyle w:val="Heading2"/>
      </w:pPr>
      <w:r>
        <w:t>Recommendation for notations</w:t>
      </w:r>
    </w:p>
    <w:p w14:paraId="016178FB" w14:textId="5AF26CB5" w:rsidR="008E4F1F" w:rsidRPr="006D7D98" w:rsidRDefault="008E4F1F" w:rsidP="008E4F1F">
      <w:pPr>
        <w:rPr>
          <w:rFonts w:cs="Arial"/>
        </w:rPr>
      </w:pPr>
      <w:r w:rsidRPr="006D7D98">
        <w:rPr>
          <w:rFonts w:cs="Arial"/>
        </w:rPr>
        <w:t>Not classified as a carcinogen according to the Globally Harmonized System of Classification and Labelling o</w:t>
      </w:r>
      <w:r w:rsidR="006D7D98" w:rsidRPr="006D7D98">
        <w:rPr>
          <w:rFonts w:cs="Arial"/>
        </w:rPr>
        <w:t>f</w:t>
      </w:r>
      <w:r w:rsidRPr="006D7D98">
        <w:rPr>
          <w:rFonts w:cs="Arial"/>
        </w:rPr>
        <w:t xml:space="preserve"> Chemicals (GHS). </w:t>
      </w:r>
    </w:p>
    <w:p w14:paraId="136ADD33" w14:textId="50B40FD8" w:rsidR="008E4F1F" w:rsidRPr="006D7D98" w:rsidRDefault="008E4F1F" w:rsidP="008E4F1F">
      <w:pPr>
        <w:rPr>
          <w:rFonts w:cs="Arial"/>
        </w:rPr>
      </w:pPr>
      <w:r w:rsidRPr="006D7D98">
        <w:rPr>
          <w:rFonts w:cs="Arial"/>
        </w:rPr>
        <w:t xml:space="preserve">Not classified as a skin </w:t>
      </w:r>
      <w:r w:rsidR="006D7D98" w:rsidRPr="006D7D98">
        <w:rPr>
          <w:rFonts w:cs="Arial"/>
        </w:rPr>
        <w:t xml:space="preserve">sensitiser </w:t>
      </w:r>
      <w:r w:rsidRPr="006D7D98">
        <w:rPr>
          <w:rFonts w:cs="Arial"/>
        </w:rPr>
        <w:t>or respiratory sensitiser according to the GHS.</w:t>
      </w:r>
    </w:p>
    <w:p w14:paraId="05B4A0DC" w14:textId="4334DE56" w:rsidR="004529F0" w:rsidRPr="004C23F4" w:rsidRDefault="00847FFC" w:rsidP="008E4F1F">
      <w:pPr>
        <w:rPr>
          <w:rFonts w:cs="Arial"/>
        </w:rPr>
      </w:pPr>
      <w:r w:rsidRPr="00847FFC">
        <w:rPr>
          <w:rFonts w:cs="Arial"/>
        </w:rPr>
        <w:t>A skin notation recommended based on evidence suggesting potential dermal absorption and adverse systemic effects</w:t>
      </w:r>
      <w:r w:rsidR="008E4F1F" w:rsidRPr="00847FFC">
        <w:rPr>
          <w:rFonts w:cs="Arial"/>
        </w:rPr>
        <w:t>.</w:t>
      </w:r>
    </w:p>
    <w:p w14:paraId="75701C06" w14:textId="6EEE8D55"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68F0068B"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5B37DFC8"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gridCol w:w="14"/>
      </w:tblGrid>
      <w:tr w:rsidR="00C978F0" w:rsidRPr="00DA352E" w14:paraId="152D115F" w14:textId="77777777" w:rsidTr="002D0583">
        <w:trPr>
          <w:gridAfter w:val="1"/>
          <w:cnfStyle w:val="100000000000" w:firstRow="1" w:lastRow="0" w:firstColumn="0" w:lastColumn="0" w:oddVBand="0" w:evenVBand="0" w:oddHBand="0" w:evenHBand="0" w:firstRowFirstColumn="0" w:firstRowLastColumn="0" w:lastRowFirstColumn="0" w:lastRowLastColumn="0"/>
          <w:wAfter w:w="8" w:type="pct"/>
          <w:trHeight w:val="393"/>
          <w:tblHeader/>
        </w:trPr>
        <w:tc>
          <w:tcPr>
            <w:tcW w:w="4992" w:type="pct"/>
            <w:shd w:val="clear" w:color="auto" w:fill="BFBFBF" w:themeFill="background1" w:themeFillShade="BF"/>
            <w:vAlign w:val="center"/>
          </w:tcPr>
          <w:p w14:paraId="0990DAF8"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093C7DE3" w14:textId="77777777" w:rsidTr="002D0583">
        <w:tc>
          <w:tcPr>
            <w:tcW w:w="5000" w:type="pct"/>
            <w:gridSpan w:val="2"/>
            <w:shd w:val="clear" w:color="auto" w:fill="F2F2F2" w:themeFill="background1" w:themeFillShade="F2"/>
          </w:tcPr>
          <w:p w14:paraId="7D00229B" w14:textId="77777777"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804059">
                  <w:t>1991</w:t>
                </w:r>
              </w:sdtContent>
            </w:sdt>
            <w:r w:rsidRPr="003365A5">
              <w:tab/>
            </w:r>
            <w:r>
              <w:tab/>
            </w:r>
            <w:sdt>
              <w:sdtPr>
                <w:alias w:val="SWA WES"/>
                <w:tag w:val="SWA WES"/>
                <w:id w:val="857077202"/>
                <w:placeholder>
                  <w:docPart w:val="81CFEC2FDBC5451289F394E66D92D1A0"/>
                </w:placeholder>
              </w:sdtPr>
              <w:sdtEndPr/>
              <w:sdtContent>
                <w:r w:rsidR="00804059">
                  <w:t>TWA: 5 mg/m</w:t>
                </w:r>
                <w:r w:rsidR="00804059" w:rsidRPr="00804059">
                  <w:rPr>
                    <w:vertAlign w:val="superscript"/>
                  </w:rPr>
                  <w:t>3</w:t>
                </w:r>
              </w:sdtContent>
            </w:sdt>
          </w:p>
        </w:tc>
      </w:tr>
      <w:tr w:rsidR="00C978F0" w:rsidRPr="00DA352E" w14:paraId="15B8D39F" w14:textId="77777777" w:rsidTr="002D0583">
        <w:trPr>
          <w:gridAfter w:val="1"/>
          <w:wAfter w:w="8" w:type="pct"/>
        </w:trPr>
        <w:tc>
          <w:tcPr>
            <w:tcW w:w="4992" w:type="pct"/>
          </w:tcPr>
          <w:p w14:paraId="70B61E64" w14:textId="77777777" w:rsidR="00C978F0" w:rsidRPr="00DA352E" w:rsidRDefault="00C978F0" w:rsidP="003365A5">
            <w:pPr>
              <w:pStyle w:val="Tabletextprimarysource"/>
            </w:pPr>
          </w:p>
        </w:tc>
      </w:tr>
      <w:tr w:rsidR="00C978F0" w:rsidRPr="00DA352E" w14:paraId="55F8816A" w14:textId="77777777" w:rsidTr="002D0583">
        <w:trPr>
          <w:gridAfter w:val="1"/>
          <w:wAfter w:w="8" w:type="pct"/>
        </w:trPr>
        <w:tc>
          <w:tcPr>
            <w:tcW w:w="4992" w:type="pct"/>
            <w:shd w:val="clear" w:color="auto" w:fill="F2F2F2" w:themeFill="background1" w:themeFillShade="F2"/>
          </w:tcPr>
          <w:p w14:paraId="6E9B46D0" w14:textId="77777777"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804059">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804059">
                  <w:t>TLV-</w:t>
                </w:r>
                <w:r w:rsidR="00804059" w:rsidRPr="00804059">
                  <w:t>TWA: 5 mg/m</w:t>
                </w:r>
                <w:r w:rsidR="00804059" w:rsidRPr="00804059">
                  <w:rPr>
                    <w:vertAlign w:val="superscript"/>
                  </w:rPr>
                  <w:t>3</w:t>
                </w:r>
              </w:sdtContent>
            </w:sdt>
          </w:p>
        </w:tc>
      </w:tr>
      <w:tr w:rsidR="00C978F0" w:rsidRPr="00DA352E" w14:paraId="6D684D0A" w14:textId="77777777" w:rsidTr="002D0583">
        <w:trPr>
          <w:gridAfter w:val="1"/>
          <w:wAfter w:w="8" w:type="pct"/>
        </w:trPr>
        <w:tc>
          <w:tcPr>
            <w:tcW w:w="4992" w:type="pct"/>
          </w:tcPr>
          <w:p w14:paraId="494E0675" w14:textId="77777777" w:rsidR="00C978F0" w:rsidRDefault="004B6174" w:rsidP="00C73BCB">
            <w:pPr>
              <w:pStyle w:val="Tabletextprimarysource"/>
            </w:pPr>
            <w:r>
              <w:t>TLV-TWA recommended to minimise the potential for skin irritation and discolouration, keratitis and photosensitisation.</w:t>
            </w:r>
          </w:p>
          <w:p w14:paraId="616EEAA9" w14:textId="6B9C5BD0" w:rsidR="004B6174" w:rsidRDefault="001D136F" w:rsidP="00C73BCB">
            <w:pPr>
              <w:pStyle w:val="Tabletextprimarysource"/>
            </w:pPr>
            <w:r>
              <w:t>Summary of data:</w:t>
            </w:r>
          </w:p>
          <w:p w14:paraId="058DEB0E" w14:textId="77777777" w:rsidR="004B6174" w:rsidRDefault="004B6174" w:rsidP="00C73BCB">
            <w:pPr>
              <w:pStyle w:val="Tabletextprimarysource"/>
            </w:pPr>
            <w:r>
              <w:t>Human data:</w:t>
            </w:r>
          </w:p>
          <w:p w14:paraId="097752CC" w14:textId="1168A576" w:rsidR="00000999" w:rsidRDefault="004B6174" w:rsidP="0060516A">
            <w:pPr>
              <w:pStyle w:val="ListBullet"/>
              <w:spacing w:before="60" w:after="60"/>
              <w:ind w:left="714" w:hanging="357"/>
              <w:contextualSpacing w:val="0"/>
            </w:pPr>
            <w:r>
              <w:t>Hepatotoxicity, haemolytic anaemia, abdominal cramps and tachycardia may be caused by large oral doses</w:t>
            </w:r>
            <w:r w:rsidR="00863CBF">
              <w:t>:</w:t>
            </w:r>
          </w:p>
          <w:p w14:paraId="1093442C" w14:textId="7EA95B71" w:rsidR="004B6174" w:rsidRDefault="00000999" w:rsidP="00000999">
            <w:pPr>
              <w:pStyle w:val="ListBullet"/>
              <w:numPr>
                <w:ilvl w:val="0"/>
                <w:numId w:val="6"/>
              </w:numPr>
              <w:spacing w:before="60" w:after="60"/>
              <w:contextualSpacing w:val="0"/>
            </w:pPr>
            <w:r>
              <w:t>o</w:t>
            </w:r>
            <w:r w:rsidR="004B6174">
              <w:t>ther effects include GI and skin irritation, renal damage, skin photosensitisation</w:t>
            </w:r>
            <w:r w:rsidR="009A78B3">
              <w:t xml:space="preserve"> and pruritus</w:t>
            </w:r>
          </w:p>
          <w:p w14:paraId="72B59A13" w14:textId="10FB0BC7" w:rsidR="004B6174" w:rsidRDefault="00FC09E8" w:rsidP="0060516A">
            <w:pPr>
              <w:pStyle w:val="ListBullet"/>
              <w:spacing w:before="60" w:after="60"/>
              <w:ind w:left="714" w:hanging="357"/>
              <w:contextualSpacing w:val="0"/>
            </w:pPr>
            <w:r>
              <w:t>Exposed workers during field testing in orchards complained of itching with irritation and reddening of the skin, attributed to absorption through the skin, with some exposure via ingestion or pulmonary absorption possible</w:t>
            </w:r>
            <w:r w:rsidR="009A277F">
              <w:t>; concentration not reported</w:t>
            </w:r>
          </w:p>
          <w:p w14:paraId="4E045256" w14:textId="4225F629" w:rsidR="00FC09E8" w:rsidRDefault="00343005" w:rsidP="0060516A">
            <w:pPr>
              <w:pStyle w:val="ListBullet"/>
              <w:spacing w:before="60" w:after="60"/>
              <w:ind w:left="714" w:hanging="357"/>
              <w:contextualSpacing w:val="0"/>
            </w:pPr>
            <w:r>
              <w:t xml:space="preserve">2 individuals ingesting 3 doses of 0.25 g became photosensitive to </w:t>
            </w:r>
            <w:r w:rsidR="00000999">
              <w:t xml:space="preserve">UV </w:t>
            </w:r>
            <w:r>
              <w:t>light</w:t>
            </w:r>
          </w:p>
          <w:p w14:paraId="46DEA1CB" w14:textId="1F120579" w:rsidR="00000999" w:rsidRDefault="005702F2" w:rsidP="0060516A">
            <w:pPr>
              <w:pStyle w:val="ListBullet"/>
              <w:spacing w:before="60" w:after="60"/>
              <w:ind w:left="714" w:hanging="357"/>
              <w:contextualSpacing w:val="0"/>
            </w:pPr>
            <w:r>
              <w:t>Workers exposed at 15–</w:t>
            </w:r>
            <w:r w:rsidR="00343005">
              <w:t>48 mg/m</w:t>
            </w:r>
            <w:r w:rsidR="00343005" w:rsidRPr="00343005">
              <w:rPr>
                <w:vertAlign w:val="superscript"/>
              </w:rPr>
              <w:t>3</w:t>
            </w:r>
            <w:r w:rsidR="00343005">
              <w:t xml:space="preserve"> of the dust developed pinkish-red coloured hair, brown fingernails and skin irritation</w:t>
            </w:r>
            <w:r w:rsidR="00863CBF">
              <w:t>:</w:t>
            </w:r>
          </w:p>
          <w:p w14:paraId="7593A9B6" w14:textId="0AD817B4" w:rsidR="00343005" w:rsidRDefault="00000999" w:rsidP="00000999">
            <w:pPr>
              <w:pStyle w:val="ListBullet"/>
              <w:numPr>
                <w:ilvl w:val="0"/>
                <w:numId w:val="6"/>
              </w:numPr>
              <w:spacing w:before="60" w:after="60"/>
              <w:contextualSpacing w:val="0"/>
            </w:pPr>
            <w:r>
              <w:t>h</w:t>
            </w:r>
            <w:r w:rsidR="007D7532">
              <w:t xml:space="preserve">air and fingernail colouration intensified with increased or prolonged exposure and </w:t>
            </w:r>
            <w:r w:rsidR="00F236F1">
              <w:t xml:space="preserve">regressed </w:t>
            </w:r>
            <w:r w:rsidR="007D7532">
              <w:t>following cessation of exposure</w:t>
            </w:r>
          </w:p>
          <w:p w14:paraId="5D806CB8" w14:textId="55D4275E" w:rsidR="007D7532" w:rsidRDefault="007D7532" w:rsidP="0060516A">
            <w:pPr>
              <w:pStyle w:val="ListBullet"/>
              <w:spacing w:before="60" w:after="60"/>
              <w:ind w:left="714" w:hanging="357"/>
              <w:contextualSpacing w:val="0"/>
            </w:pPr>
            <w:r>
              <w:t xml:space="preserve">No other systemic toxicities reported </w:t>
            </w:r>
            <w:r w:rsidR="00C376E6">
              <w:t>apart from photosensitisation</w:t>
            </w:r>
            <w:r w:rsidR="00C73BCB">
              <w:t>.</w:t>
            </w:r>
          </w:p>
          <w:p w14:paraId="025189E6" w14:textId="77777777" w:rsidR="00C376E6" w:rsidRDefault="00C376E6" w:rsidP="00C73BCB">
            <w:pPr>
              <w:pStyle w:val="Tabletextprimarysource"/>
            </w:pPr>
            <w:r>
              <w:t>Animal data:</w:t>
            </w:r>
          </w:p>
          <w:p w14:paraId="1952FF0E" w14:textId="77777777" w:rsidR="00C376E6" w:rsidRDefault="00C376E6" w:rsidP="0060516A">
            <w:pPr>
              <w:pStyle w:val="ListBullet"/>
              <w:spacing w:before="60" w:after="60"/>
              <w:ind w:left="714" w:hanging="357"/>
              <w:contextualSpacing w:val="0"/>
            </w:pPr>
            <w:r>
              <w:t>LD</w:t>
            </w:r>
            <w:r w:rsidRPr="00C376E6">
              <w:rPr>
                <w:vertAlign w:val="subscript"/>
              </w:rPr>
              <w:t>50</w:t>
            </w:r>
            <w:r>
              <w:t>: 5,000 mg/kg (rats, oral)</w:t>
            </w:r>
          </w:p>
          <w:p w14:paraId="385018D8" w14:textId="64265AD7" w:rsidR="00C376E6" w:rsidRDefault="00ED125F" w:rsidP="0060516A">
            <w:pPr>
              <w:pStyle w:val="ListBullet"/>
              <w:spacing w:before="60" w:after="60"/>
              <w:ind w:left="714" w:hanging="357"/>
              <w:contextualSpacing w:val="0"/>
            </w:pPr>
            <w:r>
              <w:t>Injection into anterior chamber of the eyes of pigs and cattle caused photosensitised keratitis with corneal oedema</w:t>
            </w:r>
            <w:r w:rsidR="006D7D98">
              <w:t>.</w:t>
            </w:r>
          </w:p>
          <w:p w14:paraId="5869D186" w14:textId="77777777" w:rsidR="006C559B" w:rsidRDefault="006C559B" w:rsidP="00C73BCB">
            <w:pPr>
              <w:pStyle w:val="Tabletextprimarysource"/>
            </w:pPr>
          </w:p>
          <w:p w14:paraId="13A6195A" w14:textId="4DEAB0A7" w:rsidR="00000999" w:rsidRDefault="00ED125F" w:rsidP="00C73BCB">
            <w:pPr>
              <w:pStyle w:val="Tabletextprimarysource"/>
            </w:pPr>
            <w:r>
              <w:t xml:space="preserve">A skin notation warranted based on percutaneous absorption reportedly contributing to local and systemic toxicities. </w:t>
            </w:r>
          </w:p>
          <w:p w14:paraId="62CF9FDC" w14:textId="48237757" w:rsidR="00ED125F" w:rsidRDefault="00ED125F" w:rsidP="00C73BCB">
            <w:pPr>
              <w:pStyle w:val="Tabletextprimarysource"/>
            </w:pPr>
            <w:r>
              <w:t>Insufficient data to recommend SEN or carcinogenicity notations.</w:t>
            </w:r>
          </w:p>
          <w:p w14:paraId="3989900E" w14:textId="25AFC2C4" w:rsidR="00C442AF" w:rsidRPr="00DA352E" w:rsidRDefault="00C442AF" w:rsidP="00C73BCB">
            <w:pPr>
              <w:pStyle w:val="Tabletextprimarysource"/>
            </w:pPr>
          </w:p>
        </w:tc>
      </w:tr>
      <w:tr w:rsidR="00C978F0" w:rsidRPr="00DA352E" w14:paraId="6D0EE945" w14:textId="77777777" w:rsidTr="002D0583">
        <w:trPr>
          <w:gridAfter w:val="1"/>
          <w:wAfter w:w="8" w:type="pct"/>
        </w:trPr>
        <w:tc>
          <w:tcPr>
            <w:tcW w:w="4992" w:type="pct"/>
            <w:shd w:val="clear" w:color="auto" w:fill="F2F2F2" w:themeFill="background1" w:themeFillShade="F2"/>
          </w:tcPr>
          <w:p w14:paraId="55605E4F" w14:textId="02405052" w:rsidR="00C978F0" w:rsidRPr="00DA352E" w:rsidRDefault="00DA352E" w:rsidP="0051509C">
            <w:pPr>
              <w:pStyle w:val="Tablerowheadingitalic"/>
              <w:tabs>
                <w:tab w:val="clear" w:pos="2268"/>
                <w:tab w:val="clear" w:pos="5670"/>
                <w:tab w:val="left" w:pos="1418"/>
                <w:tab w:val="left" w:pos="2552"/>
              </w:tabs>
            </w:pPr>
            <w:r w:rsidRPr="00DA352E">
              <w:t>DFG</w:t>
            </w:r>
            <w:r w:rsidR="00916EC0" w:rsidRPr="003365A5">
              <w:t xml:space="preserve"> </w:t>
            </w:r>
            <w:r w:rsidR="00916EC0" w:rsidRPr="003365A5">
              <w:tab/>
            </w:r>
            <w:sdt>
              <w:sdtPr>
                <w:id w:val="272751712"/>
                <w:placeholder>
                  <w:docPart w:val="6918C77959FE4E2CB3B6BD78ABC69E19"/>
                </w:placeholder>
                <w:text/>
              </w:sdtPr>
              <w:sdtEndPr/>
              <w:sdtContent>
                <w:r w:rsidR="00A5565E">
                  <w:t>2009</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A5565E">
                  <w:t>Not assigned</w:t>
                </w:r>
              </w:sdtContent>
            </w:sdt>
          </w:p>
        </w:tc>
      </w:tr>
      <w:tr w:rsidR="00C978F0" w:rsidRPr="00DA352E" w14:paraId="5E9849E4" w14:textId="77777777" w:rsidTr="002D0583">
        <w:trPr>
          <w:gridAfter w:val="1"/>
          <w:wAfter w:w="8" w:type="pct"/>
        </w:trPr>
        <w:tc>
          <w:tcPr>
            <w:tcW w:w="4992" w:type="pct"/>
          </w:tcPr>
          <w:p w14:paraId="18D80041" w14:textId="77777777" w:rsidR="00C978F0" w:rsidRDefault="003C2F4C" w:rsidP="00C73BCB">
            <w:pPr>
              <w:pStyle w:val="Tabletextprimarysource"/>
            </w:pPr>
            <w:r>
              <w:t>Summary of additional data:</w:t>
            </w:r>
          </w:p>
          <w:p w14:paraId="5750C091" w14:textId="77777777" w:rsidR="003C2F4C" w:rsidRDefault="003C2F4C" w:rsidP="0060516A">
            <w:pPr>
              <w:pStyle w:val="ListBullet"/>
              <w:spacing w:before="60" w:after="60"/>
              <w:ind w:left="714" w:hanging="357"/>
              <w:contextualSpacing w:val="0"/>
            </w:pPr>
            <w:r>
              <w:t>LD</w:t>
            </w:r>
            <w:r w:rsidRPr="003C2F4C">
              <w:rPr>
                <w:vertAlign w:val="subscript"/>
              </w:rPr>
              <w:t>50</w:t>
            </w:r>
            <w:r>
              <w:t xml:space="preserve">: &gt;10,000 mg/kg </w:t>
            </w:r>
            <w:proofErr w:type="spellStart"/>
            <w:r>
              <w:t>bw</w:t>
            </w:r>
            <w:proofErr w:type="spellEnd"/>
            <w:r>
              <w:t xml:space="preserve"> (rat and rabbit, oral and dermal)</w:t>
            </w:r>
          </w:p>
          <w:p w14:paraId="6C26972B" w14:textId="221BD98D" w:rsidR="00000999" w:rsidRDefault="003C2F4C" w:rsidP="0060516A">
            <w:pPr>
              <w:pStyle w:val="ListBullet"/>
              <w:spacing w:before="60" w:after="60"/>
              <w:ind w:left="714" w:hanging="357"/>
              <w:contextualSpacing w:val="0"/>
            </w:pPr>
            <w:r>
              <w:t xml:space="preserve">Negative results in several </w:t>
            </w:r>
            <w:r w:rsidRPr="00000999">
              <w:rPr>
                <w:i/>
              </w:rPr>
              <w:t>Salmonella</w:t>
            </w:r>
            <w:r>
              <w:t xml:space="preserve"> mutagenicity tests</w:t>
            </w:r>
            <w:r w:rsidR="002073B9">
              <w:t>:</w:t>
            </w:r>
          </w:p>
          <w:p w14:paraId="6B9B481D" w14:textId="71129D64" w:rsidR="00043BF9" w:rsidRDefault="00000999" w:rsidP="00000999">
            <w:pPr>
              <w:pStyle w:val="ListBullet"/>
              <w:numPr>
                <w:ilvl w:val="0"/>
                <w:numId w:val="6"/>
              </w:numPr>
              <w:spacing w:before="60" w:after="60"/>
              <w:contextualSpacing w:val="0"/>
            </w:pPr>
            <w:r>
              <w:t>m</w:t>
            </w:r>
            <w:r w:rsidR="00043BF9">
              <w:t>utations induced in mouse lymphoma test in absence of metabolic activation, but not in presence of metabolic activation</w:t>
            </w:r>
          </w:p>
          <w:p w14:paraId="14324E30" w14:textId="05A374E5" w:rsidR="0095529F" w:rsidRDefault="0095529F" w:rsidP="0060516A">
            <w:pPr>
              <w:pStyle w:val="ListBullet"/>
              <w:spacing w:before="60" w:after="60"/>
              <w:ind w:left="714" w:hanging="357"/>
              <w:contextualSpacing w:val="0"/>
            </w:pPr>
            <w:r>
              <w:t>Carcinogenicity study in mice (poorly documented) show</w:t>
            </w:r>
            <w:r w:rsidR="0060516A">
              <w:t>ed</w:t>
            </w:r>
            <w:r>
              <w:t xml:space="preserve"> </w:t>
            </w:r>
            <w:r w:rsidR="0060516A">
              <w:t xml:space="preserve">no </w:t>
            </w:r>
            <w:r>
              <w:t>evidence of carcinogenic effects</w:t>
            </w:r>
          </w:p>
          <w:p w14:paraId="3608B4C1" w14:textId="25DC2122" w:rsidR="003C2F4C" w:rsidRDefault="009A277F" w:rsidP="0060516A">
            <w:pPr>
              <w:pStyle w:val="ListBullet"/>
              <w:spacing w:before="60" w:after="60"/>
              <w:ind w:left="714" w:hanging="357"/>
              <w:contextualSpacing w:val="0"/>
            </w:pPr>
            <w:r>
              <w:t>Due to side effects</w:t>
            </w:r>
            <w:r w:rsidR="00AE3A77">
              <w:t xml:space="preserve"> (including haemolytic anaemia)</w:t>
            </w:r>
            <w:r>
              <w:t>, total therapeutic dose should not exceed 15 g/patient (</w:t>
            </w:r>
            <w:r>
              <w:rPr>
                <w:rFonts w:cs="Arial"/>
              </w:rPr>
              <w:t>≈214 mg/kg</w:t>
            </w:r>
            <w:r>
              <w:t xml:space="preserve">, assuming 70 kg </w:t>
            </w:r>
            <w:proofErr w:type="spellStart"/>
            <w:r>
              <w:t>bw</w:t>
            </w:r>
            <w:proofErr w:type="spellEnd"/>
            <w:r>
              <w:t>)</w:t>
            </w:r>
          </w:p>
          <w:p w14:paraId="4EBBFCFF" w14:textId="1539ABF0" w:rsidR="009A277F" w:rsidRDefault="006470AC" w:rsidP="0060516A">
            <w:pPr>
              <w:pStyle w:val="ListBullet"/>
              <w:spacing w:before="60" w:after="60"/>
              <w:ind w:left="714" w:hanging="357"/>
              <w:contextualSpacing w:val="0"/>
            </w:pPr>
            <w:r>
              <w:lastRenderedPageBreak/>
              <w:t xml:space="preserve">No effects on digestive system, circulation, kidneys or liver in </w:t>
            </w:r>
            <w:r w:rsidR="009A277F">
              <w:t>92 patients given oral doses of 3.12</w:t>
            </w:r>
            <w:r w:rsidR="00C73BCB">
              <w:t>–</w:t>
            </w:r>
            <w:r w:rsidR="009A277F">
              <w:t xml:space="preserve">42.9 g </w:t>
            </w:r>
            <w:r w:rsidR="00FF3EA1">
              <w:t>(</w:t>
            </w:r>
            <w:r w:rsidR="00FF3EA1">
              <w:rPr>
                <w:rFonts w:cs="Arial"/>
              </w:rPr>
              <w:t>≈</w:t>
            </w:r>
            <w:r w:rsidR="00FF3EA1">
              <w:t>45</w:t>
            </w:r>
            <w:r w:rsidR="00D734F3">
              <w:softHyphen/>
            </w:r>
            <w:r w:rsidR="008B069A">
              <w:t>–</w:t>
            </w:r>
            <w:r w:rsidR="00FF3EA1">
              <w:t>613 mg/kg</w:t>
            </w:r>
            <w:r w:rsidR="004A6D67">
              <w:t>,</w:t>
            </w:r>
            <w:r w:rsidR="00FF3EA1">
              <w:t xml:space="preserve"> </w:t>
            </w:r>
            <w:r w:rsidR="00251A0C">
              <w:t>assuming</w:t>
            </w:r>
            <w:r w:rsidR="00FF3EA1">
              <w:t xml:space="preserve"> 70 kg </w:t>
            </w:r>
            <w:proofErr w:type="spellStart"/>
            <w:r w:rsidR="00FF3EA1">
              <w:t>bw</w:t>
            </w:r>
            <w:proofErr w:type="spellEnd"/>
            <w:r w:rsidR="00FF3EA1">
              <w:t xml:space="preserve">) </w:t>
            </w:r>
            <w:r w:rsidR="00E97C76">
              <w:t xml:space="preserve">(as urinary tract antiseptic) </w:t>
            </w:r>
            <w:r w:rsidR="009A277F">
              <w:t xml:space="preserve">for </w:t>
            </w:r>
            <w:r w:rsidR="005702F2">
              <w:t>3 d–</w:t>
            </w:r>
            <w:r w:rsidR="0060516A">
              <w:t xml:space="preserve">3 mo </w:t>
            </w:r>
            <w:r w:rsidR="009A277F">
              <w:t xml:space="preserve"> </w:t>
            </w:r>
            <w:r w:rsidR="008611DA">
              <w:t xml:space="preserve"> </w:t>
            </w:r>
          </w:p>
          <w:p w14:paraId="31A502CA" w14:textId="4FC090A2" w:rsidR="008611DA" w:rsidRPr="00B72982" w:rsidRDefault="00B72982" w:rsidP="0060516A">
            <w:pPr>
              <w:pStyle w:val="ListBullet"/>
              <w:spacing w:before="60" w:after="60"/>
              <w:ind w:left="714" w:hanging="357"/>
              <w:contextualSpacing w:val="0"/>
            </w:pPr>
            <w:r>
              <w:t xml:space="preserve">NOAEL: </w:t>
            </w:r>
            <w:r w:rsidR="0060516A">
              <w:rPr>
                <w:rFonts w:cs="Arial"/>
              </w:rPr>
              <w:t>≈</w:t>
            </w:r>
            <w:r>
              <w:rPr>
                <w:rFonts w:cs="Arial"/>
              </w:rPr>
              <w:t xml:space="preserve">5 </w:t>
            </w:r>
            <w:r w:rsidR="0060516A">
              <w:rPr>
                <w:rFonts w:cs="Arial"/>
              </w:rPr>
              <w:t>mg/kg</w:t>
            </w:r>
            <w:r w:rsidR="00384989">
              <w:rPr>
                <w:rFonts w:cs="Arial"/>
              </w:rPr>
              <w:t>/</w:t>
            </w:r>
            <w:r w:rsidR="0060516A">
              <w:rPr>
                <w:rFonts w:cs="Arial"/>
              </w:rPr>
              <w:t>d</w:t>
            </w:r>
            <w:r w:rsidRPr="00B72982">
              <w:rPr>
                <w:rFonts w:cs="Arial"/>
              </w:rPr>
              <w:t xml:space="preserve"> </w:t>
            </w:r>
            <w:r>
              <w:rPr>
                <w:rFonts w:cs="Arial"/>
              </w:rPr>
              <w:t xml:space="preserve">(dogs, 13 wk); doses of 0, </w:t>
            </w:r>
            <w:r>
              <w:rPr>
                <w:rFonts w:cs="Arial"/>
                <w:color w:val="1C1D1E"/>
                <w:shd w:val="clear" w:color="auto" w:fill="FFFFFF"/>
              </w:rPr>
              <w:t xml:space="preserve">1.25, 5, 12.5 and 50 </w:t>
            </w:r>
            <w:r w:rsidR="0060516A">
              <w:rPr>
                <w:rFonts w:cs="Arial"/>
              </w:rPr>
              <w:t>mg/kg/d</w:t>
            </w:r>
          </w:p>
          <w:p w14:paraId="3179EC5B" w14:textId="1ECEB6B3" w:rsidR="00B72982" w:rsidRDefault="00593AA7" w:rsidP="0060516A">
            <w:pPr>
              <w:pStyle w:val="ListBullet"/>
              <w:spacing w:before="60" w:after="60"/>
              <w:ind w:left="714" w:hanging="357"/>
              <w:contextualSpacing w:val="0"/>
            </w:pPr>
            <w:r>
              <w:t>Purified or 95% phenothiazine not found to be irritating to rabbit eyes after 24, 48 or 72</w:t>
            </w:r>
            <w:r w:rsidR="00C73BCB">
              <w:t> </w:t>
            </w:r>
            <w:r>
              <w:t>h</w:t>
            </w:r>
          </w:p>
          <w:p w14:paraId="416F232E" w14:textId="1C0A3C86" w:rsidR="00D01584" w:rsidRPr="008C2597" w:rsidRDefault="00B06890" w:rsidP="0060516A">
            <w:pPr>
              <w:pStyle w:val="ListBullet"/>
              <w:spacing w:before="60" w:after="60"/>
              <w:ind w:left="714" w:hanging="357"/>
              <w:contextualSpacing w:val="0"/>
            </w:pPr>
            <w:r>
              <w:t xml:space="preserve">Based on </w:t>
            </w:r>
            <w:r w:rsidR="00CD5585">
              <w:t xml:space="preserve">half the </w:t>
            </w:r>
            <w:r>
              <w:t>NOAEL</w:t>
            </w:r>
            <w:r w:rsidR="00CD5585">
              <w:t xml:space="preserve"> of 5 </w:t>
            </w:r>
            <w:r w:rsidR="0060516A">
              <w:rPr>
                <w:rFonts w:cs="Arial"/>
              </w:rPr>
              <w:t xml:space="preserve">mg/kg/d </w:t>
            </w:r>
            <w:r w:rsidR="00CD5585">
              <w:rPr>
                <w:rFonts w:cs="Arial"/>
              </w:rPr>
              <w:t xml:space="preserve">and 70 kg </w:t>
            </w:r>
            <w:proofErr w:type="spellStart"/>
            <w:r w:rsidR="00CD5585">
              <w:rPr>
                <w:rFonts w:cs="Arial"/>
              </w:rPr>
              <w:t>bw</w:t>
            </w:r>
            <w:proofErr w:type="spellEnd"/>
            <w:r w:rsidR="00CD5585">
              <w:rPr>
                <w:rFonts w:cs="Arial"/>
              </w:rPr>
              <w:t>, 10 m</w:t>
            </w:r>
            <w:r w:rsidR="00CD5585">
              <w:rPr>
                <w:rFonts w:cs="Arial"/>
                <w:vertAlign w:val="superscript"/>
              </w:rPr>
              <w:t>3</w:t>
            </w:r>
            <w:r w:rsidR="00CD5585">
              <w:rPr>
                <w:rFonts w:cs="Arial"/>
              </w:rPr>
              <w:t xml:space="preserve"> breathing volume in 8 h, a concentration of 17 mg/m</w:t>
            </w:r>
            <w:r w:rsidR="00CD5585" w:rsidRPr="00CD5585">
              <w:rPr>
                <w:rFonts w:cs="Arial"/>
                <w:vertAlign w:val="superscript"/>
              </w:rPr>
              <w:t>3</w:t>
            </w:r>
            <w:r w:rsidR="00CD5585">
              <w:rPr>
                <w:rFonts w:cs="Arial"/>
              </w:rPr>
              <w:t xml:space="preserve"> is calculated</w:t>
            </w:r>
            <w:r w:rsidR="00384989">
              <w:rPr>
                <w:rFonts w:cs="Arial"/>
              </w:rPr>
              <w:t xml:space="preserve"> as the equivalent inhalational dose</w:t>
            </w:r>
            <w:r w:rsidR="00CD5585">
              <w:rPr>
                <w:rFonts w:cs="Arial"/>
              </w:rPr>
              <w:t xml:space="preserve">. </w:t>
            </w:r>
            <w:r w:rsidR="00D01584">
              <w:rPr>
                <w:rFonts w:cs="Arial"/>
              </w:rPr>
              <w:t>However,</w:t>
            </w:r>
            <w:r w:rsidR="00CD5585">
              <w:rPr>
                <w:rFonts w:cs="Arial"/>
              </w:rPr>
              <w:t xml:space="preserve"> effects of discolouration of the fingernails and hair or phytotoxicity may not be protected at this concentration, thus </w:t>
            </w:r>
            <w:r w:rsidR="00D01584">
              <w:rPr>
                <w:rFonts w:cs="Arial"/>
              </w:rPr>
              <w:t>MAK not assigned</w:t>
            </w:r>
            <w:r w:rsidR="0095529F">
              <w:rPr>
                <w:rFonts w:cs="Arial"/>
              </w:rPr>
              <w:t>.</w:t>
            </w:r>
          </w:p>
          <w:p w14:paraId="7017DD78" w14:textId="3CF295F1" w:rsidR="00C442AF" w:rsidRPr="00DA352E" w:rsidRDefault="00C442AF" w:rsidP="002949A6">
            <w:pPr>
              <w:pStyle w:val="ListBullet"/>
              <w:numPr>
                <w:ilvl w:val="0"/>
                <w:numId w:val="0"/>
              </w:numPr>
              <w:spacing w:before="60" w:after="60"/>
              <w:ind w:left="714"/>
              <w:contextualSpacing w:val="0"/>
            </w:pPr>
          </w:p>
        </w:tc>
      </w:tr>
      <w:tr w:rsidR="00C978F0" w:rsidRPr="00DA352E" w14:paraId="21182D7C" w14:textId="77777777" w:rsidTr="002D0583">
        <w:trPr>
          <w:gridAfter w:val="1"/>
          <w:wAfter w:w="8" w:type="pct"/>
        </w:trPr>
        <w:tc>
          <w:tcPr>
            <w:tcW w:w="4992" w:type="pct"/>
            <w:shd w:val="clear" w:color="auto" w:fill="F2F2F2" w:themeFill="background1" w:themeFillShade="F2"/>
          </w:tcPr>
          <w:p w14:paraId="13578F11" w14:textId="2F7DB095" w:rsidR="00C978F0" w:rsidRPr="00DA352E" w:rsidRDefault="00DA352E" w:rsidP="0051509C">
            <w:pPr>
              <w:pStyle w:val="Tablerowheadingitalic"/>
              <w:tabs>
                <w:tab w:val="clear" w:pos="2268"/>
                <w:tab w:val="clear" w:pos="5670"/>
                <w:tab w:val="left" w:pos="1418"/>
                <w:tab w:val="left" w:pos="2552"/>
              </w:tabs>
            </w:pPr>
            <w:r w:rsidRPr="00DA352E">
              <w:lastRenderedPageBreak/>
              <w:t>SCOEL</w:t>
            </w:r>
            <w:r w:rsidR="00916EC0" w:rsidRPr="003365A5">
              <w:t xml:space="preserve"> </w:t>
            </w:r>
            <w:r w:rsidR="00916EC0" w:rsidRPr="003365A5">
              <w:tab/>
            </w:r>
            <w:sdt>
              <w:sdtPr>
                <w:id w:val="-768699850"/>
                <w:placeholder>
                  <w:docPart w:val="FDC2A24E7D2549238DA6EE03BD0A6AE0"/>
                </w:placeholder>
                <w:text/>
              </w:sdtPr>
              <w:sdtEndPr/>
              <w:sdtContent>
                <w:r w:rsidR="000E71A3">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proofErr w:type="spellStart"/>
                <w:r w:rsidR="000E71A3">
                  <w:t>NA</w:t>
                </w:r>
                <w:proofErr w:type="spellEnd"/>
              </w:sdtContent>
            </w:sdt>
          </w:p>
        </w:tc>
      </w:tr>
      <w:tr w:rsidR="00C978F0" w:rsidRPr="00DA352E" w14:paraId="03D8128B" w14:textId="77777777" w:rsidTr="002D0583">
        <w:trPr>
          <w:gridAfter w:val="1"/>
          <w:wAfter w:w="8" w:type="pct"/>
        </w:trPr>
        <w:tc>
          <w:tcPr>
            <w:tcW w:w="4992" w:type="pct"/>
          </w:tcPr>
          <w:p w14:paraId="3795AB44" w14:textId="74B5947D" w:rsidR="00C978F0" w:rsidRPr="00DA352E" w:rsidRDefault="000E71A3" w:rsidP="003365A5">
            <w:pPr>
              <w:pStyle w:val="Tabletextprimarysource"/>
            </w:pPr>
            <w:r>
              <w:t>No report</w:t>
            </w:r>
            <w:r w:rsidR="00C73BCB">
              <w:t>.</w:t>
            </w:r>
          </w:p>
        </w:tc>
      </w:tr>
      <w:tr w:rsidR="00DA352E" w:rsidRPr="00DA352E" w14:paraId="687CCD93" w14:textId="77777777" w:rsidTr="002D0583">
        <w:trPr>
          <w:gridAfter w:val="1"/>
          <w:wAfter w:w="8" w:type="pct"/>
        </w:trPr>
        <w:tc>
          <w:tcPr>
            <w:tcW w:w="4992" w:type="pct"/>
            <w:shd w:val="clear" w:color="auto" w:fill="F2F2F2" w:themeFill="background1" w:themeFillShade="F2"/>
          </w:tcPr>
          <w:p w14:paraId="134C12E0" w14:textId="26A107B1"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0968EE">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proofErr w:type="spellStart"/>
                <w:r w:rsidR="000968EE">
                  <w:t>NA</w:t>
                </w:r>
                <w:proofErr w:type="spellEnd"/>
              </w:sdtContent>
            </w:sdt>
          </w:p>
        </w:tc>
      </w:tr>
      <w:tr w:rsidR="00DA352E" w:rsidRPr="00DA352E" w14:paraId="4882DFE5" w14:textId="77777777" w:rsidTr="002D0583">
        <w:trPr>
          <w:gridAfter w:val="1"/>
          <w:wAfter w:w="8" w:type="pct"/>
        </w:trPr>
        <w:tc>
          <w:tcPr>
            <w:tcW w:w="4992" w:type="pct"/>
          </w:tcPr>
          <w:p w14:paraId="16E77512" w14:textId="750E6EAD" w:rsidR="00DA352E" w:rsidRPr="00DA352E" w:rsidRDefault="000968EE" w:rsidP="003365A5">
            <w:pPr>
              <w:pStyle w:val="Tabletextprimarysource"/>
            </w:pPr>
            <w:r>
              <w:t>No report</w:t>
            </w:r>
            <w:r w:rsidR="00C73BCB">
              <w:t>.</w:t>
            </w:r>
          </w:p>
        </w:tc>
      </w:tr>
      <w:tr w:rsidR="00DA352E" w:rsidRPr="00DA352E" w14:paraId="6D049766" w14:textId="77777777" w:rsidTr="002D0583">
        <w:trPr>
          <w:gridAfter w:val="1"/>
          <w:wAfter w:w="8" w:type="pct"/>
        </w:trPr>
        <w:tc>
          <w:tcPr>
            <w:tcW w:w="4992" w:type="pct"/>
            <w:shd w:val="clear" w:color="auto" w:fill="F2F2F2" w:themeFill="background1" w:themeFillShade="F2"/>
          </w:tcPr>
          <w:p w14:paraId="5FD44269" w14:textId="5098DC81"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5F2979">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proofErr w:type="spellStart"/>
                <w:r w:rsidR="005F2979">
                  <w:t>NA</w:t>
                </w:r>
                <w:proofErr w:type="spellEnd"/>
              </w:sdtContent>
            </w:sdt>
          </w:p>
        </w:tc>
      </w:tr>
      <w:tr w:rsidR="00DA352E" w:rsidRPr="00DA352E" w14:paraId="4AF598FC" w14:textId="77777777" w:rsidTr="002D0583">
        <w:trPr>
          <w:gridAfter w:val="1"/>
          <w:wAfter w:w="8" w:type="pct"/>
        </w:trPr>
        <w:tc>
          <w:tcPr>
            <w:tcW w:w="4992" w:type="pct"/>
          </w:tcPr>
          <w:p w14:paraId="64311B6A" w14:textId="45B8D902" w:rsidR="00DA352E" w:rsidRPr="00DA352E" w:rsidRDefault="005F2979" w:rsidP="003365A5">
            <w:pPr>
              <w:pStyle w:val="Tabletextprimarysource"/>
            </w:pPr>
            <w:r>
              <w:t>No report</w:t>
            </w:r>
            <w:r w:rsidR="00C73BCB">
              <w:t>.</w:t>
            </w:r>
          </w:p>
        </w:tc>
      </w:tr>
    </w:tbl>
    <w:p w14:paraId="4AFACF77"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20" w:firstRow="1" w:lastRow="0" w:firstColumn="0" w:lastColumn="0" w:noHBand="1" w:noVBand="1"/>
        <w:tblCaption w:val="Table"/>
        <w:tblDescription w:val="Listing secondary sources with reports"/>
      </w:tblPr>
      <w:tblGrid>
        <w:gridCol w:w="1496"/>
        <w:gridCol w:w="424"/>
        <w:gridCol w:w="661"/>
        <w:gridCol w:w="6445"/>
      </w:tblGrid>
      <w:tr w:rsidR="004966BF" w:rsidRPr="00263255" w14:paraId="51039B83" w14:textId="77777777" w:rsidTr="002D0583">
        <w:trPr>
          <w:cnfStyle w:val="100000000000" w:firstRow="1" w:lastRow="0" w:firstColumn="0" w:lastColumn="0" w:oddVBand="0" w:evenVBand="0" w:oddHBand="0" w:evenHBand="0" w:firstRowFirstColumn="0" w:firstRowLastColumn="0" w:lastRowFirstColumn="0" w:lastRowLastColumn="0"/>
          <w:cantSplit/>
          <w:trHeight w:val="393"/>
          <w:tblHeader/>
        </w:trPr>
        <w:tc>
          <w:tcPr>
            <w:tcW w:w="1498" w:type="dxa"/>
            <w:shd w:val="clear" w:color="auto" w:fill="BFBFBF" w:themeFill="background1" w:themeFillShade="BF"/>
            <w:vAlign w:val="center"/>
          </w:tcPr>
          <w:p w14:paraId="12F5F2DB" w14:textId="77777777" w:rsidR="004966BF" w:rsidRPr="00263255" w:rsidRDefault="004966BF" w:rsidP="00263255">
            <w:pPr>
              <w:pStyle w:val="Tableheader"/>
            </w:pPr>
            <w:r w:rsidRPr="00263255">
              <w:t>Source</w:t>
            </w:r>
          </w:p>
        </w:tc>
        <w:tc>
          <w:tcPr>
            <w:tcW w:w="424" w:type="dxa"/>
            <w:shd w:val="clear" w:color="auto" w:fill="BFBFBF" w:themeFill="background1" w:themeFillShade="BF"/>
            <w:vAlign w:val="center"/>
          </w:tcPr>
          <w:p w14:paraId="0072813F" w14:textId="77777777" w:rsidR="004966BF" w:rsidRPr="00263255" w:rsidRDefault="004966BF" w:rsidP="00263255">
            <w:pPr>
              <w:pStyle w:val="Tableheader"/>
            </w:pPr>
          </w:p>
        </w:tc>
        <w:tc>
          <w:tcPr>
            <w:tcW w:w="650" w:type="dxa"/>
            <w:shd w:val="clear" w:color="auto" w:fill="BFBFBF" w:themeFill="background1" w:themeFillShade="BF"/>
            <w:vAlign w:val="center"/>
          </w:tcPr>
          <w:p w14:paraId="43D4FE84" w14:textId="77777777" w:rsidR="004966BF" w:rsidRPr="00263255" w:rsidRDefault="004966BF" w:rsidP="00263255">
            <w:pPr>
              <w:pStyle w:val="Tableheader"/>
            </w:pPr>
            <w:r>
              <w:t>Year</w:t>
            </w:r>
          </w:p>
        </w:tc>
        <w:tc>
          <w:tcPr>
            <w:tcW w:w="6454" w:type="dxa"/>
            <w:shd w:val="clear" w:color="auto" w:fill="BFBFBF" w:themeFill="background1" w:themeFillShade="BF"/>
            <w:vAlign w:val="center"/>
          </w:tcPr>
          <w:p w14:paraId="5D34E35F" w14:textId="77777777" w:rsidR="004966BF" w:rsidRPr="00263255" w:rsidRDefault="004966BF" w:rsidP="00263255">
            <w:pPr>
              <w:pStyle w:val="Tableheader"/>
            </w:pPr>
            <w:r>
              <w:t>Additional information</w:t>
            </w:r>
          </w:p>
        </w:tc>
      </w:tr>
      <w:tr w:rsidR="004966BF" w:rsidRPr="004C23F4" w14:paraId="1B740938" w14:textId="77777777" w:rsidTr="002D0583">
        <w:trPr>
          <w:cantSplit/>
        </w:trPr>
        <w:tc>
          <w:tcPr>
            <w:tcW w:w="1498" w:type="dxa"/>
          </w:tcPr>
          <w:p w14:paraId="588947F4" w14:textId="77777777" w:rsidR="004966BF" w:rsidRPr="004C23F4" w:rsidRDefault="004966BF" w:rsidP="00224EE2">
            <w:pPr>
              <w:pStyle w:val="Tablefont"/>
            </w:pPr>
            <w:r>
              <w:t>ECHA</w:t>
            </w:r>
          </w:p>
        </w:tc>
        <w:tc>
          <w:tcPr>
            <w:tcW w:w="424" w:type="dxa"/>
          </w:tcPr>
          <w:p w14:paraId="259A50E8" w14:textId="324D9E78" w:rsidR="004966BF" w:rsidRPr="00CE617F" w:rsidRDefault="002D0583" w:rsidP="00AB43C4">
            <w:pPr>
              <w:spacing w:before="40"/>
              <w:jc w:val="center"/>
              <w:rPr>
                <w:rStyle w:val="checkbox"/>
              </w:rPr>
            </w:pPr>
            <w:sdt>
              <w:sdtPr>
                <w:rPr>
                  <w:rStyle w:val="checkbox"/>
                </w:rPr>
                <w:id w:val="-2066787458"/>
                <w:placeholder>
                  <w:docPart w:val="EA32968BF93744FAABC5FC124DBE04BD"/>
                </w:placeholder>
                <w:dropDownList>
                  <w:listItem w:displayText="" w:value=""/>
                  <w:listItem w:displayText="" w:value=""/>
                  <w:listItem w:displayText="" w:value=""/>
                </w:dropDownList>
              </w:sdtPr>
              <w:sdtEndPr>
                <w:rPr>
                  <w:rStyle w:val="checkbox"/>
                </w:rPr>
              </w:sdtEndPr>
              <w:sdtContent>
                <w:r w:rsidR="00B70682">
                  <w:rPr>
                    <w:rStyle w:val="checkbox"/>
                  </w:rPr>
                  <w:t></w:t>
                </w:r>
              </w:sdtContent>
            </w:sdt>
          </w:p>
        </w:tc>
        <w:tc>
          <w:tcPr>
            <w:tcW w:w="650" w:type="dxa"/>
          </w:tcPr>
          <w:p w14:paraId="2C1E9206" w14:textId="03B4FDA2" w:rsidR="004966BF" w:rsidRPr="004C23F4" w:rsidRDefault="002061CA" w:rsidP="00717D45">
            <w:pPr>
              <w:pStyle w:val="Tablefont"/>
              <w:rPr>
                <w:rStyle w:val="checkbox"/>
                <w:rFonts w:ascii="Arial" w:hAnsi="Arial" w:cs="Arial"/>
              </w:rPr>
            </w:pPr>
            <w:r>
              <w:rPr>
                <w:rStyle w:val="checkbox"/>
                <w:rFonts w:ascii="Arial" w:hAnsi="Arial" w:cs="Arial"/>
              </w:rPr>
              <w:t>2006</w:t>
            </w:r>
          </w:p>
        </w:tc>
        <w:tc>
          <w:tcPr>
            <w:tcW w:w="6454" w:type="dxa"/>
          </w:tcPr>
          <w:p w14:paraId="4803BF25" w14:textId="5D43B144" w:rsidR="004966BF" w:rsidRDefault="00BE0B61" w:rsidP="0060516A">
            <w:pPr>
              <w:pStyle w:val="ListBullet"/>
              <w:spacing w:before="60" w:after="60"/>
              <w:ind w:left="714" w:hanging="357"/>
              <w:contextualSpacing w:val="0"/>
              <w:rPr>
                <w:rStyle w:val="checkbox"/>
                <w:rFonts w:ascii="Arial" w:hAnsi="Arial" w:cs="Arial"/>
                <w:lang w:eastAsia="en-AU"/>
              </w:rPr>
            </w:pPr>
            <w:r w:rsidRPr="0060516A">
              <w:t>NOAEL</w:t>
            </w:r>
            <w:r>
              <w:rPr>
                <w:rStyle w:val="checkbox"/>
                <w:rFonts w:ascii="Arial" w:hAnsi="Arial" w:cs="Arial"/>
              </w:rPr>
              <w:t>=6 mg/k</w:t>
            </w:r>
            <w:r w:rsidR="00384989">
              <w:rPr>
                <w:rStyle w:val="checkbox"/>
                <w:rFonts w:ascii="Arial" w:hAnsi="Arial" w:cs="Arial"/>
              </w:rPr>
              <w:t>g</w:t>
            </w:r>
            <w:r>
              <w:rPr>
                <w:rStyle w:val="checkbox"/>
                <w:rFonts w:ascii="Arial" w:hAnsi="Arial" w:cs="Arial"/>
              </w:rPr>
              <w:t xml:space="preserve">/d (same 13 </w:t>
            </w:r>
            <w:proofErr w:type="spellStart"/>
            <w:r>
              <w:rPr>
                <w:rStyle w:val="checkbox"/>
                <w:rFonts w:ascii="Arial" w:hAnsi="Arial" w:cs="Arial"/>
              </w:rPr>
              <w:t>wk</w:t>
            </w:r>
            <w:proofErr w:type="spellEnd"/>
            <w:r>
              <w:rPr>
                <w:rStyle w:val="checkbox"/>
                <w:rFonts w:ascii="Arial" w:hAnsi="Arial" w:cs="Arial"/>
              </w:rPr>
              <w:t xml:space="preserve"> dog study </w:t>
            </w:r>
            <w:r w:rsidR="00D122C2">
              <w:rPr>
                <w:rStyle w:val="checkbox"/>
                <w:rFonts w:ascii="Arial" w:hAnsi="Arial" w:cs="Arial"/>
              </w:rPr>
              <w:t>cited by</w:t>
            </w:r>
            <w:r w:rsidR="009240F6">
              <w:rPr>
                <w:rStyle w:val="checkbox"/>
                <w:rFonts w:ascii="Arial" w:hAnsi="Arial" w:cs="Arial"/>
              </w:rPr>
              <w:t xml:space="preserve"> DFG</w:t>
            </w:r>
            <w:r w:rsidR="00D122C2">
              <w:rPr>
                <w:rStyle w:val="checkbox"/>
                <w:rFonts w:ascii="Arial" w:hAnsi="Arial" w:cs="Arial"/>
              </w:rPr>
              <w:t>,</w:t>
            </w:r>
            <w:r w:rsidR="009240F6">
              <w:rPr>
                <w:rStyle w:val="checkbox"/>
                <w:rFonts w:ascii="Arial" w:hAnsi="Arial" w:cs="Arial"/>
              </w:rPr>
              <w:t>2009</w:t>
            </w:r>
            <w:r>
              <w:rPr>
                <w:rStyle w:val="checkbox"/>
                <w:rFonts w:ascii="Arial" w:hAnsi="Arial" w:cs="Arial"/>
              </w:rPr>
              <w:t>); effect was haemolytic anaemia</w:t>
            </w:r>
          </w:p>
          <w:p w14:paraId="2BD4BD6F" w14:textId="3A39412A" w:rsidR="00BE0B61" w:rsidRPr="004C23F4" w:rsidRDefault="002061CA" w:rsidP="0060516A">
            <w:pPr>
              <w:pStyle w:val="ListBullet"/>
              <w:spacing w:before="60" w:after="60"/>
              <w:ind w:left="714" w:hanging="357"/>
              <w:contextualSpacing w:val="0"/>
              <w:rPr>
                <w:rStyle w:val="checkbox"/>
                <w:rFonts w:ascii="Arial" w:hAnsi="Arial" w:cs="Arial"/>
              </w:rPr>
            </w:pPr>
            <w:r>
              <w:rPr>
                <w:rStyle w:val="checkbox"/>
                <w:rFonts w:ascii="Arial" w:hAnsi="Arial" w:cs="Arial"/>
              </w:rPr>
              <w:t>Sub-chronic</w:t>
            </w:r>
            <w:r w:rsidR="009240F6">
              <w:rPr>
                <w:rStyle w:val="checkbox"/>
                <w:rFonts w:ascii="Arial" w:hAnsi="Arial" w:cs="Arial"/>
              </w:rPr>
              <w:t xml:space="preserve"> dog</w:t>
            </w:r>
            <w:r>
              <w:rPr>
                <w:rStyle w:val="checkbox"/>
                <w:rFonts w:ascii="Arial" w:hAnsi="Arial" w:cs="Arial"/>
              </w:rPr>
              <w:t xml:space="preserve"> study conducted prior to establishment of OECD guidelines, but considered sufficient for assessment</w:t>
            </w:r>
            <w:r w:rsidR="00C73BCB">
              <w:rPr>
                <w:rStyle w:val="checkbox"/>
                <w:rFonts w:ascii="Arial" w:hAnsi="Arial" w:cs="Arial"/>
              </w:rPr>
              <w:t>.</w:t>
            </w:r>
          </w:p>
        </w:tc>
      </w:tr>
      <w:tr w:rsidR="004966BF" w:rsidRPr="004C23F4" w14:paraId="02B9CFCB" w14:textId="77777777" w:rsidTr="002D0583">
        <w:trPr>
          <w:cantSplit/>
        </w:trPr>
        <w:tc>
          <w:tcPr>
            <w:tcW w:w="1498" w:type="dxa"/>
          </w:tcPr>
          <w:p w14:paraId="4D925E2B" w14:textId="77777777" w:rsidR="004966BF" w:rsidRPr="004C23F4" w:rsidRDefault="004966BF" w:rsidP="00224EE2">
            <w:pPr>
              <w:pStyle w:val="Tablefont"/>
            </w:pPr>
            <w:r>
              <w:t>OECD</w:t>
            </w:r>
          </w:p>
        </w:tc>
        <w:tc>
          <w:tcPr>
            <w:tcW w:w="424" w:type="dxa"/>
          </w:tcPr>
          <w:p w14:paraId="033373A3" w14:textId="4E477FD8" w:rsidR="004966BF" w:rsidRPr="00CE617F" w:rsidRDefault="002D0583" w:rsidP="00AB43C4">
            <w:pPr>
              <w:spacing w:before="40"/>
              <w:jc w:val="center"/>
              <w:rPr>
                <w:rStyle w:val="checkbox"/>
              </w:rPr>
            </w:pPr>
            <w:sdt>
              <w:sdtPr>
                <w:rPr>
                  <w:rStyle w:val="checkbox"/>
                </w:rPr>
                <w:id w:val="-491947220"/>
                <w:placeholder>
                  <w:docPart w:val="320A77D155374054996F168A20882C28"/>
                </w:placeholder>
                <w:dropDownList>
                  <w:listItem w:displayText="" w:value=""/>
                  <w:listItem w:displayText="" w:value=""/>
                  <w:listItem w:displayText="" w:value=""/>
                </w:dropDownList>
              </w:sdtPr>
              <w:sdtEndPr>
                <w:rPr>
                  <w:rStyle w:val="checkbox"/>
                </w:rPr>
              </w:sdtEndPr>
              <w:sdtContent>
                <w:r w:rsidR="002061CA">
                  <w:rPr>
                    <w:rStyle w:val="checkbox"/>
                  </w:rPr>
                  <w:t></w:t>
                </w:r>
              </w:sdtContent>
            </w:sdt>
          </w:p>
        </w:tc>
        <w:tc>
          <w:tcPr>
            <w:tcW w:w="650" w:type="dxa"/>
          </w:tcPr>
          <w:p w14:paraId="67E7E9C9" w14:textId="0C3C0FA4" w:rsidR="004966BF" w:rsidRPr="004C23F4" w:rsidRDefault="002061CA" w:rsidP="00717D45">
            <w:pPr>
              <w:pStyle w:val="Tablefont"/>
              <w:rPr>
                <w:rStyle w:val="checkbox"/>
                <w:rFonts w:ascii="Arial" w:hAnsi="Arial" w:cs="Arial"/>
              </w:rPr>
            </w:pPr>
            <w:r>
              <w:rPr>
                <w:rStyle w:val="checkbox"/>
                <w:rFonts w:ascii="Arial" w:hAnsi="Arial" w:cs="Arial"/>
              </w:rPr>
              <w:t>2002</w:t>
            </w:r>
          </w:p>
        </w:tc>
        <w:tc>
          <w:tcPr>
            <w:tcW w:w="6454" w:type="dxa"/>
          </w:tcPr>
          <w:p w14:paraId="4700BF5B" w14:textId="2AFD0971" w:rsidR="004966BF" w:rsidRPr="004C23F4" w:rsidRDefault="002061CA" w:rsidP="0060516A">
            <w:pPr>
              <w:pStyle w:val="ListBullet"/>
              <w:spacing w:before="60" w:after="60"/>
              <w:ind w:left="714" w:hanging="357"/>
              <w:contextualSpacing w:val="0"/>
              <w:rPr>
                <w:rStyle w:val="checkbox"/>
                <w:rFonts w:ascii="Arial" w:hAnsi="Arial" w:cs="Arial"/>
                <w:lang w:eastAsia="en-AU"/>
              </w:rPr>
            </w:pPr>
            <w:r>
              <w:rPr>
                <w:rStyle w:val="checkbox"/>
                <w:rFonts w:ascii="Arial" w:hAnsi="Arial" w:cs="Arial"/>
              </w:rPr>
              <w:t xml:space="preserve">No </w:t>
            </w:r>
            <w:r w:rsidRPr="0060516A">
              <w:t>additional</w:t>
            </w:r>
            <w:r>
              <w:rPr>
                <w:rStyle w:val="checkbox"/>
                <w:rFonts w:ascii="Arial" w:hAnsi="Arial" w:cs="Arial"/>
              </w:rPr>
              <w:t xml:space="preserve"> information</w:t>
            </w:r>
            <w:r w:rsidR="00C73BCB">
              <w:rPr>
                <w:rStyle w:val="checkbox"/>
                <w:rFonts w:ascii="Arial" w:hAnsi="Arial" w:cs="Arial"/>
              </w:rPr>
              <w:t>.</w:t>
            </w:r>
          </w:p>
        </w:tc>
      </w:tr>
      <w:tr w:rsidR="004966BF" w:rsidRPr="004C23F4" w14:paraId="68BFF07B" w14:textId="77777777" w:rsidTr="002D0583">
        <w:trPr>
          <w:cantSplit/>
        </w:trPr>
        <w:tc>
          <w:tcPr>
            <w:tcW w:w="1498" w:type="dxa"/>
          </w:tcPr>
          <w:p w14:paraId="2D654808" w14:textId="77777777" w:rsidR="004966BF" w:rsidRDefault="004966BF" w:rsidP="00224EE2">
            <w:pPr>
              <w:pStyle w:val="Tablefont"/>
            </w:pPr>
            <w:r>
              <w:t>US NIOSH</w:t>
            </w:r>
          </w:p>
        </w:tc>
        <w:tc>
          <w:tcPr>
            <w:tcW w:w="424" w:type="dxa"/>
          </w:tcPr>
          <w:p w14:paraId="218937F9" w14:textId="10EEC636" w:rsidR="004966BF" w:rsidRDefault="002D0583"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2061CA">
                  <w:rPr>
                    <w:rStyle w:val="checkbox"/>
                  </w:rPr>
                  <w:t></w:t>
                </w:r>
              </w:sdtContent>
            </w:sdt>
          </w:p>
        </w:tc>
        <w:tc>
          <w:tcPr>
            <w:tcW w:w="650" w:type="dxa"/>
          </w:tcPr>
          <w:p w14:paraId="28350681" w14:textId="7AE88671" w:rsidR="004966BF" w:rsidRPr="004C23F4" w:rsidRDefault="002061CA" w:rsidP="00717D45">
            <w:pPr>
              <w:pStyle w:val="Tablefont"/>
              <w:rPr>
                <w:rStyle w:val="checkbox"/>
                <w:rFonts w:ascii="Arial" w:hAnsi="Arial" w:cs="Arial"/>
              </w:rPr>
            </w:pPr>
            <w:r>
              <w:rPr>
                <w:rStyle w:val="checkbox"/>
                <w:rFonts w:ascii="Arial" w:hAnsi="Arial" w:cs="Arial"/>
              </w:rPr>
              <w:t>2007</w:t>
            </w:r>
          </w:p>
        </w:tc>
        <w:tc>
          <w:tcPr>
            <w:tcW w:w="6454" w:type="dxa"/>
          </w:tcPr>
          <w:p w14:paraId="15473B70" w14:textId="2C3EA4FD" w:rsidR="004966BF" w:rsidRPr="004C23F4" w:rsidRDefault="002061CA" w:rsidP="0060516A">
            <w:pPr>
              <w:pStyle w:val="ListBullet"/>
              <w:spacing w:before="60" w:after="60"/>
              <w:ind w:left="714" w:hanging="357"/>
              <w:contextualSpacing w:val="0"/>
              <w:rPr>
                <w:rStyle w:val="checkbox"/>
                <w:rFonts w:ascii="Arial" w:hAnsi="Arial" w:cs="Arial"/>
                <w:lang w:eastAsia="en-AU"/>
              </w:rPr>
            </w:pPr>
            <w:r>
              <w:rPr>
                <w:rStyle w:val="checkbox"/>
                <w:rFonts w:ascii="Arial" w:hAnsi="Arial" w:cs="Arial"/>
              </w:rPr>
              <w:t>REL=</w:t>
            </w:r>
            <w:r w:rsidR="006D7D98" w:rsidRPr="0060516A">
              <w:t>TWA</w:t>
            </w:r>
            <w:r w:rsidR="006D7D98">
              <w:rPr>
                <w:rStyle w:val="checkbox"/>
                <w:rFonts w:ascii="Arial" w:hAnsi="Arial" w:cs="Arial"/>
              </w:rPr>
              <w:t xml:space="preserve"> 5 mg/m</w:t>
            </w:r>
            <w:r w:rsidR="006D7D98">
              <w:rPr>
                <w:rStyle w:val="checkbox"/>
                <w:rFonts w:ascii="Arial" w:hAnsi="Arial" w:cs="Arial"/>
                <w:vertAlign w:val="superscript"/>
              </w:rPr>
              <w:t>3</w:t>
            </w:r>
            <w:r w:rsidR="00C73BCB">
              <w:rPr>
                <w:rStyle w:val="checkbox"/>
                <w:rFonts w:ascii="Arial" w:hAnsi="Arial" w:cs="Arial"/>
              </w:rPr>
              <w:t>.</w:t>
            </w:r>
          </w:p>
        </w:tc>
      </w:tr>
    </w:tbl>
    <w:bookmarkEnd w:id="0"/>
    <w:p w14:paraId="20FF9117"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5CA4113E" w14:textId="77777777" w:rsidTr="00B70682">
        <w:trPr>
          <w:trHeight w:val="454"/>
          <w:tblHeader/>
        </w:trPr>
        <w:tc>
          <w:tcPr>
            <w:tcW w:w="6603" w:type="dxa"/>
            <w:vAlign w:val="center"/>
          </w:tcPr>
          <w:p w14:paraId="076DE1D2"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1D7CED30" w14:textId="610BCE14" w:rsidR="002E0D61" w:rsidRDefault="006D7D98" w:rsidP="00C3091E">
                <w:pPr>
                  <w:pStyle w:val="Tablefont"/>
                  <w:keepNext/>
                  <w:keepLines/>
                  <w:spacing w:before="40" w:after="40"/>
                </w:pPr>
                <w:r>
                  <w:t>Insufficient data</w:t>
                </w:r>
              </w:p>
            </w:tc>
          </w:sdtContent>
        </w:sdt>
      </w:tr>
      <w:tr w:rsidR="008A36CF" w14:paraId="5686D57C" w14:textId="77777777" w:rsidTr="00B70682">
        <w:trPr>
          <w:trHeight w:val="454"/>
        </w:trPr>
        <w:tc>
          <w:tcPr>
            <w:tcW w:w="6603" w:type="dxa"/>
            <w:vAlign w:val="center"/>
          </w:tcPr>
          <w:p w14:paraId="1D366A51" w14:textId="77777777" w:rsidR="008A36CF" w:rsidRDefault="008A36CF" w:rsidP="008A36CF">
            <w:pPr>
              <w:pStyle w:val="Tablefont"/>
              <w:keepNext/>
              <w:keepLines/>
              <w:spacing w:before="40" w:after="40"/>
            </w:pPr>
            <w:r>
              <w:t>Is the chemical carcinogenic with a mutagenic mechanism of action?</w:t>
            </w:r>
          </w:p>
        </w:tc>
        <w:sdt>
          <w:sdtPr>
            <w:id w:val="-1035572737"/>
            <w:placeholder>
              <w:docPart w:val="5CBFEC560F894890BBD09B93174FFAE0"/>
            </w:placeholder>
            <w:comboBox>
              <w:listItem w:value="Choose an item."/>
              <w:listItem w:displayText="Yes" w:value="Yes"/>
              <w:listItem w:displayText="No" w:value="No"/>
              <w:listItem w:displayText="Insufficient data" w:value="Insufficient data"/>
              <w:listItem w:displayText="NA" w:value="NA"/>
            </w:comboBox>
          </w:sdtPr>
          <w:sdtEndPr/>
          <w:sdtContent>
            <w:tc>
              <w:tcPr>
                <w:tcW w:w="2423" w:type="dxa"/>
                <w:vAlign w:val="center"/>
              </w:tcPr>
              <w:p w14:paraId="4B996364" w14:textId="26D4450D" w:rsidR="008A36CF" w:rsidRDefault="006D7D98" w:rsidP="008A36CF">
                <w:pPr>
                  <w:pStyle w:val="Tablefont"/>
                  <w:keepNext/>
                  <w:keepLines/>
                  <w:spacing w:before="40" w:after="40"/>
                </w:pPr>
                <w:r>
                  <w:t>Insufficient data</w:t>
                </w:r>
              </w:p>
            </w:tc>
          </w:sdtContent>
        </w:sdt>
      </w:tr>
      <w:tr w:rsidR="00000999" w14:paraId="63A09BF2" w14:textId="77777777" w:rsidTr="008D294B">
        <w:trPr>
          <w:trHeight w:val="454"/>
        </w:trPr>
        <w:sdt>
          <w:sdtPr>
            <w:rPr>
              <w:b/>
            </w:rPr>
            <w:id w:val="1830936485"/>
            <w:placeholder>
              <w:docPart w:val="B45907C2E3E04BFEAAD52061E9725024"/>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9026" w:type="dxa"/>
                <w:gridSpan w:val="2"/>
                <w:vAlign w:val="center"/>
              </w:tcPr>
              <w:p w14:paraId="05C14C81" w14:textId="310E9D63" w:rsidR="00000999" w:rsidRDefault="00000999" w:rsidP="008A36CF">
                <w:pPr>
                  <w:pStyle w:val="Tablefont"/>
                  <w:keepNext/>
                  <w:keepLines/>
                  <w:spacing w:before="40" w:after="40"/>
                </w:pPr>
                <w:r>
                  <w:rPr>
                    <w:b/>
                  </w:rPr>
                  <w:t>Insufficient data are available to determine if the chemical is a non-threshold based genotoxic carcinogen.</w:t>
                </w:r>
              </w:p>
            </w:tc>
          </w:sdtContent>
        </w:sdt>
      </w:tr>
    </w:tbl>
    <w:bookmarkEnd w:id="1"/>
    <w:p w14:paraId="53B656D5"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4C23F4" w14:paraId="6C176AAB" w14:textId="77777777" w:rsidTr="002D0583">
        <w:trPr>
          <w:cnfStyle w:val="100000000000" w:firstRow="1" w:lastRow="0" w:firstColumn="0" w:lastColumn="0" w:oddVBand="0" w:evenVBand="0" w:oddHBand="0" w:evenHBand="0" w:firstRowFirstColumn="0" w:firstRowLastColumn="0" w:lastRowFirstColumn="0" w:lastRowLastColumn="0"/>
          <w:cantSplit/>
          <w:tblHeader/>
        </w:trPr>
        <w:tc>
          <w:tcPr>
            <w:tcW w:w="3227" w:type="dxa"/>
            <w:shd w:val="clear" w:color="auto" w:fill="BFBFBF" w:themeFill="background1" w:themeFillShade="BF"/>
            <w:vAlign w:val="center"/>
          </w:tcPr>
          <w:p w14:paraId="152E0565" w14:textId="77777777" w:rsidR="00687890" w:rsidRPr="004C23F4" w:rsidRDefault="00687890" w:rsidP="00263255">
            <w:pPr>
              <w:pStyle w:val="Tableheader"/>
            </w:pPr>
            <w:bookmarkStart w:id="2" w:name="Notations"/>
            <w:bookmarkStart w:id="3" w:name="_GoBack" w:colFirst="0" w:colLast="2"/>
            <w:r w:rsidRPr="004C23F4">
              <w:t>Source</w:t>
            </w:r>
          </w:p>
        </w:tc>
        <w:tc>
          <w:tcPr>
            <w:tcW w:w="6015" w:type="dxa"/>
            <w:shd w:val="clear" w:color="auto" w:fill="BFBFBF" w:themeFill="background1" w:themeFillShade="BF"/>
            <w:vAlign w:val="center"/>
          </w:tcPr>
          <w:p w14:paraId="2191A944" w14:textId="77777777" w:rsidR="00687890" w:rsidRPr="004C23F4" w:rsidRDefault="00687890" w:rsidP="00F4402E">
            <w:pPr>
              <w:pStyle w:val="Tableheader"/>
              <w:tabs>
                <w:tab w:val="right" w:pos="5272"/>
              </w:tabs>
            </w:pPr>
            <w:r w:rsidRPr="004C23F4">
              <w:t>Notations</w:t>
            </w:r>
            <w:r w:rsidR="003A2B94">
              <w:tab/>
            </w:r>
          </w:p>
        </w:tc>
      </w:tr>
      <w:bookmarkEnd w:id="3"/>
      <w:tr w:rsidR="00687890" w:rsidRPr="004C23F4" w14:paraId="5EFA8401" w14:textId="77777777" w:rsidTr="002D0583">
        <w:trPr>
          <w:cantSplit/>
        </w:trPr>
        <w:tc>
          <w:tcPr>
            <w:tcW w:w="3227" w:type="dxa"/>
          </w:tcPr>
          <w:p w14:paraId="59642193" w14:textId="77777777" w:rsidR="004079B4" w:rsidRPr="004C23F4" w:rsidRDefault="00084513" w:rsidP="00F4402E">
            <w:pPr>
              <w:pStyle w:val="Tablefont"/>
            </w:pPr>
            <w:r w:rsidRPr="004C23F4">
              <w:t>SWA</w:t>
            </w:r>
          </w:p>
        </w:tc>
        <w:tc>
          <w:tcPr>
            <w:tcW w:w="6015" w:type="dxa"/>
          </w:tcPr>
          <w:p w14:paraId="7168DD31" w14:textId="77777777" w:rsidR="00687890" w:rsidRPr="00DD2F9B" w:rsidRDefault="00804059" w:rsidP="00804059">
            <w:pPr>
              <w:pStyle w:val="Tablefont"/>
            </w:pPr>
            <w:r w:rsidRPr="0060516A">
              <w:t>—</w:t>
            </w:r>
          </w:p>
        </w:tc>
      </w:tr>
      <w:tr w:rsidR="007925F0" w:rsidRPr="004C23F4" w14:paraId="4250EA26" w14:textId="77777777" w:rsidTr="002D0583">
        <w:trPr>
          <w:cantSplit/>
        </w:trPr>
        <w:tc>
          <w:tcPr>
            <w:tcW w:w="3227" w:type="dxa"/>
          </w:tcPr>
          <w:p w14:paraId="4BA70715" w14:textId="77777777" w:rsidR="004079B4" w:rsidRPr="004C23F4" w:rsidRDefault="007925F0" w:rsidP="00F4402E">
            <w:pPr>
              <w:pStyle w:val="Tablefont"/>
            </w:pPr>
            <w:r>
              <w:t>HCIS</w:t>
            </w:r>
          </w:p>
        </w:tc>
        <w:tc>
          <w:tcPr>
            <w:tcW w:w="6015" w:type="dxa"/>
          </w:tcPr>
          <w:p w14:paraId="61C79FF8" w14:textId="0B2C7780" w:rsidR="007925F0" w:rsidRPr="00DD2F9B" w:rsidRDefault="00944906" w:rsidP="00DD2F9B">
            <w:pPr>
              <w:pStyle w:val="Tablefont"/>
            </w:pPr>
            <w:r>
              <w:t>NA</w:t>
            </w:r>
          </w:p>
        </w:tc>
      </w:tr>
      <w:tr w:rsidR="00AF483F" w:rsidRPr="004C23F4" w14:paraId="76441591" w14:textId="77777777" w:rsidTr="002D0583">
        <w:trPr>
          <w:cantSplit/>
        </w:trPr>
        <w:tc>
          <w:tcPr>
            <w:tcW w:w="3227" w:type="dxa"/>
          </w:tcPr>
          <w:p w14:paraId="353393B7" w14:textId="77777777" w:rsidR="00AF483F" w:rsidRPr="004C23F4" w:rsidRDefault="00AF483F" w:rsidP="00F4402E">
            <w:pPr>
              <w:pStyle w:val="Tablefont"/>
            </w:pPr>
            <w:r>
              <w:t>NICNAS</w:t>
            </w:r>
          </w:p>
        </w:tc>
        <w:tc>
          <w:tcPr>
            <w:tcW w:w="6015" w:type="dxa"/>
          </w:tcPr>
          <w:p w14:paraId="16B69A24" w14:textId="5393C3A1" w:rsidR="00AF483F" w:rsidRPr="00DD2F9B" w:rsidRDefault="00534DD7" w:rsidP="00DD2F9B">
            <w:pPr>
              <w:pStyle w:val="Tablefont"/>
            </w:pPr>
            <w:r>
              <w:t>NA</w:t>
            </w:r>
          </w:p>
        </w:tc>
      </w:tr>
      <w:tr w:rsidR="00687890" w:rsidRPr="004C23F4" w14:paraId="0D9F4E0E" w14:textId="77777777" w:rsidTr="002D0583">
        <w:trPr>
          <w:cantSplit/>
        </w:trPr>
        <w:tc>
          <w:tcPr>
            <w:tcW w:w="3227" w:type="dxa"/>
          </w:tcPr>
          <w:p w14:paraId="2CFC4840" w14:textId="77777777" w:rsidR="004079B4" w:rsidRPr="004C23F4" w:rsidRDefault="00687890" w:rsidP="00F4402E">
            <w:pPr>
              <w:pStyle w:val="Tablefont"/>
            </w:pPr>
            <w:r w:rsidRPr="004C23F4">
              <w:t>EU Annex</w:t>
            </w:r>
          </w:p>
        </w:tc>
        <w:tc>
          <w:tcPr>
            <w:tcW w:w="6015" w:type="dxa"/>
          </w:tcPr>
          <w:p w14:paraId="656C7A5E" w14:textId="2A82F0A0" w:rsidR="00687890" w:rsidRPr="00DD2F9B" w:rsidRDefault="00534DD7" w:rsidP="00DD2F9B">
            <w:pPr>
              <w:pStyle w:val="Tablefont"/>
            </w:pPr>
            <w:r>
              <w:t>NA</w:t>
            </w:r>
          </w:p>
        </w:tc>
      </w:tr>
      <w:tr w:rsidR="00E41A26" w:rsidRPr="004C23F4" w14:paraId="585C9E30" w14:textId="77777777" w:rsidTr="002D0583">
        <w:trPr>
          <w:cantSplit/>
        </w:trPr>
        <w:tc>
          <w:tcPr>
            <w:tcW w:w="3227" w:type="dxa"/>
          </w:tcPr>
          <w:p w14:paraId="338223C3" w14:textId="77777777" w:rsidR="00E41A26" w:rsidRDefault="00E41A26" w:rsidP="00F4402E">
            <w:pPr>
              <w:pStyle w:val="Tablefont"/>
            </w:pPr>
            <w:r>
              <w:lastRenderedPageBreak/>
              <w:t>ECHA</w:t>
            </w:r>
          </w:p>
        </w:tc>
        <w:tc>
          <w:tcPr>
            <w:tcW w:w="6015" w:type="dxa"/>
          </w:tcPr>
          <w:p w14:paraId="22A2BDEB" w14:textId="218B2CD9" w:rsidR="00E41A26" w:rsidRPr="00DD2F9B" w:rsidRDefault="00534DD7" w:rsidP="00DD2F9B">
            <w:pPr>
              <w:pStyle w:val="Tablefont"/>
            </w:pPr>
            <w:r>
              <w:t>NA</w:t>
            </w:r>
          </w:p>
        </w:tc>
      </w:tr>
      <w:tr w:rsidR="002E0D61" w:rsidRPr="004C23F4" w14:paraId="327BE2E5" w14:textId="77777777" w:rsidTr="002D0583">
        <w:trPr>
          <w:cantSplit/>
        </w:trPr>
        <w:tc>
          <w:tcPr>
            <w:tcW w:w="3227" w:type="dxa"/>
          </w:tcPr>
          <w:p w14:paraId="742D6BA7" w14:textId="77777777" w:rsidR="004079B4" w:rsidRPr="004C23F4" w:rsidRDefault="002E0D61" w:rsidP="00F4402E">
            <w:pPr>
              <w:pStyle w:val="Tablefont"/>
            </w:pPr>
            <w:r>
              <w:t>ACGIH</w:t>
            </w:r>
          </w:p>
        </w:tc>
        <w:tc>
          <w:tcPr>
            <w:tcW w:w="6015" w:type="dxa"/>
          </w:tcPr>
          <w:p w14:paraId="0D87EC2B" w14:textId="496F24EE" w:rsidR="002E0D61" w:rsidRPr="00DD2F9B" w:rsidRDefault="000E71A3" w:rsidP="00DD2F9B">
            <w:pPr>
              <w:pStyle w:val="Tablefont"/>
            </w:pPr>
            <w:r>
              <w:t>Skin</w:t>
            </w:r>
          </w:p>
        </w:tc>
      </w:tr>
      <w:tr w:rsidR="002E0D61" w:rsidRPr="004C23F4" w14:paraId="1D36ADF5" w14:textId="77777777" w:rsidTr="002D0583">
        <w:trPr>
          <w:cantSplit/>
        </w:trPr>
        <w:tc>
          <w:tcPr>
            <w:tcW w:w="3227" w:type="dxa"/>
          </w:tcPr>
          <w:p w14:paraId="55BC4AA6" w14:textId="77777777" w:rsidR="004079B4" w:rsidRPr="004C23F4" w:rsidRDefault="002E0D61" w:rsidP="00F4402E">
            <w:pPr>
              <w:pStyle w:val="Tablefont"/>
            </w:pPr>
            <w:r>
              <w:t>DFG</w:t>
            </w:r>
          </w:p>
        </w:tc>
        <w:tc>
          <w:tcPr>
            <w:tcW w:w="6015" w:type="dxa"/>
          </w:tcPr>
          <w:p w14:paraId="3388ABE1" w14:textId="7359B823" w:rsidR="002E0D61" w:rsidRPr="00DD2F9B" w:rsidRDefault="002B703A" w:rsidP="00DD2F9B">
            <w:pPr>
              <w:pStyle w:val="Tablefont"/>
            </w:pPr>
            <w:r>
              <w:t>NA</w:t>
            </w:r>
          </w:p>
        </w:tc>
      </w:tr>
      <w:tr w:rsidR="002E0D61" w:rsidRPr="004C23F4" w14:paraId="28BF5765" w14:textId="77777777" w:rsidTr="002D0583">
        <w:trPr>
          <w:cantSplit/>
        </w:trPr>
        <w:tc>
          <w:tcPr>
            <w:tcW w:w="3227" w:type="dxa"/>
          </w:tcPr>
          <w:p w14:paraId="55BC53F6" w14:textId="77777777" w:rsidR="004079B4" w:rsidRPr="004C23F4" w:rsidRDefault="002E0D61" w:rsidP="00F4402E">
            <w:pPr>
              <w:pStyle w:val="Tablefont"/>
            </w:pPr>
            <w:r>
              <w:t>SCOEL</w:t>
            </w:r>
          </w:p>
        </w:tc>
        <w:tc>
          <w:tcPr>
            <w:tcW w:w="6015" w:type="dxa"/>
          </w:tcPr>
          <w:p w14:paraId="34EDFAE8" w14:textId="30BBFC67" w:rsidR="002E0D61" w:rsidRPr="00DD2F9B" w:rsidRDefault="000968EE" w:rsidP="00DD2F9B">
            <w:pPr>
              <w:pStyle w:val="Tablefont"/>
            </w:pPr>
            <w:r>
              <w:t>NA</w:t>
            </w:r>
          </w:p>
        </w:tc>
      </w:tr>
      <w:tr w:rsidR="002E0D61" w:rsidRPr="004C23F4" w14:paraId="4EB0414B" w14:textId="77777777" w:rsidTr="002D0583">
        <w:trPr>
          <w:cantSplit/>
        </w:trPr>
        <w:tc>
          <w:tcPr>
            <w:tcW w:w="3227" w:type="dxa"/>
          </w:tcPr>
          <w:p w14:paraId="4F88919C" w14:textId="77777777" w:rsidR="004079B4" w:rsidRDefault="002E0D61" w:rsidP="00F4402E">
            <w:pPr>
              <w:pStyle w:val="Tablefont"/>
            </w:pPr>
            <w:r>
              <w:t>HCOTN</w:t>
            </w:r>
          </w:p>
        </w:tc>
        <w:tc>
          <w:tcPr>
            <w:tcW w:w="6015" w:type="dxa"/>
          </w:tcPr>
          <w:p w14:paraId="4546F84B" w14:textId="378BDB4D" w:rsidR="002E0D61" w:rsidRPr="00DD2F9B" w:rsidRDefault="005F2979" w:rsidP="00DD2F9B">
            <w:pPr>
              <w:pStyle w:val="Tablefont"/>
            </w:pPr>
            <w:r>
              <w:t>NA</w:t>
            </w:r>
          </w:p>
        </w:tc>
      </w:tr>
      <w:tr w:rsidR="00386093" w:rsidRPr="004C23F4" w14:paraId="7CF9784C" w14:textId="77777777" w:rsidTr="002D0583">
        <w:trPr>
          <w:cantSplit/>
        </w:trPr>
        <w:tc>
          <w:tcPr>
            <w:tcW w:w="3227" w:type="dxa"/>
          </w:tcPr>
          <w:p w14:paraId="5AC5B13D" w14:textId="77777777" w:rsidR="004079B4" w:rsidRDefault="00386093" w:rsidP="00F4402E">
            <w:pPr>
              <w:pStyle w:val="Tablefont"/>
            </w:pPr>
            <w:r>
              <w:t>IARC</w:t>
            </w:r>
          </w:p>
        </w:tc>
        <w:tc>
          <w:tcPr>
            <w:tcW w:w="6015" w:type="dxa"/>
          </w:tcPr>
          <w:p w14:paraId="6D2D4693" w14:textId="76AA56D5" w:rsidR="00386093" w:rsidRPr="00DD2F9B" w:rsidRDefault="00CD0E31" w:rsidP="00DD2F9B">
            <w:pPr>
              <w:pStyle w:val="Tablefont"/>
            </w:pPr>
            <w:r>
              <w:t>NA</w:t>
            </w:r>
          </w:p>
        </w:tc>
      </w:tr>
      <w:tr w:rsidR="00386093" w:rsidRPr="004C23F4" w14:paraId="42B330B0" w14:textId="77777777" w:rsidTr="002D0583">
        <w:trPr>
          <w:cantSplit/>
        </w:trPr>
        <w:tc>
          <w:tcPr>
            <w:tcW w:w="3227" w:type="dxa"/>
          </w:tcPr>
          <w:p w14:paraId="09890867" w14:textId="77777777" w:rsidR="004079B4" w:rsidRDefault="00386093" w:rsidP="00F4402E">
            <w:pPr>
              <w:pStyle w:val="Tablefont"/>
              <w:keepNext/>
            </w:pPr>
            <w:r>
              <w:t>US NIOSH</w:t>
            </w:r>
          </w:p>
        </w:tc>
        <w:tc>
          <w:tcPr>
            <w:tcW w:w="6015" w:type="dxa"/>
          </w:tcPr>
          <w:p w14:paraId="69141695" w14:textId="183824EC" w:rsidR="00386093" w:rsidRPr="00DD2F9B" w:rsidRDefault="00C0187F" w:rsidP="00D87570">
            <w:pPr>
              <w:pStyle w:val="Tablefont"/>
              <w:keepNext/>
            </w:pPr>
            <w:r>
              <w:t>NA</w:t>
            </w:r>
          </w:p>
        </w:tc>
      </w:tr>
    </w:tbl>
    <w:bookmarkEnd w:id="2"/>
    <w:p w14:paraId="6F5FB29E"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455439B4"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07E0FC6B" w14:textId="77777777" w:rsidTr="00EA6243">
        <w:trPr>
          <w:cantSplit/>
          <w:tblHeader/>
        </w:trPr>
        <w:tc>
          <w:tcPr>
            <w:tcW w:w="5000" w:type="pct"/>
            <w:shd w:val="clear" w:color="auto" w:fill="BFBFBF" w:themeFill="background1" w:themeFillShade="BF"/>
            <w:vAlign w:val="center"/>
          </w:tcPr>
          <w:p w14:paraId="4B369438" w14:textId="77777777" w:rsidR="00932DCE" w:rsidRPr="004C23F4" w:rsidRDefault="00932DCE" w:rsidP="00F4402E">
            <w:pPr>
              <w:pStyle w:val="Tableheader"/>
              <w:keepNext/>
              <w:tabs>
                <w:tab w:val="right" w:pos="8800"/>
              </w:tabs>
            </w:pPr>
            <w:bookmarkStart w:id="4" w:name="SkinNot"/>
            <w:r>
              <w:t>Calculation</w:t>
            </w:r>
            <w:r w:rsidR="00177CA1">
              <w:tab/>
            </w:r>
          </w:p>
        </w:tc>
      </w:tr>
    </w:tbl>
    <w:tbl>
      <w:tblPr>
        <w:tblW w:w="5000" w:type="pct"/>
        <w:tblCellMar>
          <w:left w:w="0" w:type="dxa"/>
          <w:right w:w="0" w:type="dxa"/>
        </w:tblCellMar>
        <w:tblLook w:val="04A0" w:firstRow="1" w:lastRow="0" w:firstColumn="1" w:lastColumn="0" w:noHBand="0" w:noVBand="1"/>
        <w:tblCaption w:val="Table"/>
        <w:tblDescription w:val="Skin notation assessment calculation"/>
      </w:tblPr>
      <w:tblGrid>
        <w:gridCol w:w="3896"/>
        <w:gridCol w:w="1173"/>
        <w:gridCol w:w="1173"/>
        <w:gridCol w:w="2784"/>
      </w:tblGrid>
      <w:tr w:rsidR="009240F6" w14:paraId="2DF1E428" w14:textId="77777777" w:rsidTr="009240F6">
        <w:trPr>
          <w:trHeight w:val="342"/>
        </w:trPr>
        <w:tc>
          <w:tcPr>
            <w:tcW w:w="2158" w:type="pct"/>
            <w:tcBorders>
              <w:top w:val="nil"/>
              <w:left w:val="nil"/>
              <w:bottom w:val="nil"/>
              <w:right w:val="nil"/>
            </w:tcBorders>
            <w:shd w:val="clear" w:color="000000" w:fill="C5D9F1"/>
            <w:noWrap/>
            <w:vAlign w:val="center"/>
            <w:hideMark/>
          </w:tcPr>
          <w:bookmarkEnd w:id="4"/>
          <w:p w14:paraId="72209FD0" w14:textId="77777777" w:rsidR="009240F6" w:rsidRDefault="009240F6">
            <w:pPr>
              <w:spacing w:after="0"/>
              <w:jc w:val="right"/>
              <w:rPr>
                <w:rFonts w:ascii="Segoe UI" w:hAnsi="Segoe UI" w:cs="Segoe UI"/>
                <w:color w:val="000000"/>
                <w:sz w:val="18"/>
                <w:szCs w:val="18"/>
              </w:rPr>
            </w:pPr>
            <w:r>
              <w:rPr>
                <w:rFonts w:ascii="Segoe UI" w:hAnsi="Segoe UI" w:cs="Segoe UI"/>
                <w:color w:val="000000"/>
                <w:sz w:val="18"/>
                <w:szCs w:val="18"/>
              </w:rPr>
              <w:t>Adverse effects in human case study:</w:t>
            </w:r>
          </w:p>
        </w:tc>
        <w:tc>
          <w:tcPr>
            <w:tcW w:w="650" w:type="pct"/>
            <w:tcBorders>
              <w:top w:val="nil"/>
              <w:left w:val="nil"/>
              <w:bottom w:val="nil"/>
              <w:right w:val="nil"/>
            </w:tcBorders>
            <w:shd w:val="clear" w:color="000000" w:fill="FFEB9C"/>
            <w:noWrap/>
            <w:vAlign w:val="center"/>
            <w:hideMark/>
          </w:tcPr>
          <w:p w14:paraId="689FDC8E" w14:textId="77777777" w:rsidR="009240F6" w:rsidRDefault="009240F6">
            <w:pPr>
              <w:jc w:val="center"/>
              <w:rPr>
                <w:rFonts w:ascii="Segoe UI" w:hAnsi="Segoe UI" w:cs="Segoe UI"/>
                <w:color w:val="9C6500"/>
                <w:sz w:val="18"/>
                <w:szCs w:val="18"/>
              </w:rPr>
            </w:pPr>
            <w:r>
              <w:rPr>
                <w:rFonts w:ascii="Segoe UI" w:hAnsi="Segoe UI" w:cs="Segoe UI"/>
                <w:color w:val="9C6500"/>
                <w:sz w:val="18"/>
                <w:szCs w:val="18"/>
              </w:rPr>
              <w:t>yes</w:t>
            </w:r>
          </w:p>
        </w:tc>
        <w:tc>
          <w:tcPr>
            <w:tcW w:w="650" w:type="pct"/>
            <w:tcBorders>
              <w:top w:val="nil"/>
              <w:left w:val="nil"/>
              <w:bottom w:val="nil"/>
              <w:right w:val="nil"/>
            </w:tcBorders>
            <w:shd w:val="clear" w:color="000000" w:fill="C5D9F1"/>
            <w:noWrap/>
            <w:vAlign w:val="center"/>
            <w:hideMark/>
          </w:tcPr>
          <w:p w14:paraId="57DD264D" w14:textId="77777777" w:rsidR="009240F6" w:rsidRDefault="009240F6">
            <w:pPr>
              <w:jc w:val="right"/>
              <w:rPr>
                <w:rFonts w:ascii="Segoe UI" w:hAnsi="Segoe UI" w:cs="Segoe UI"/>
                <w:color w:val="C5D9F1"/>
                <w:sz w:val="18"/>
                <w:szCs w:val="18"/>
              </w:rPr>
            </w:pPr>
            <w:r>
              <w:rPr>
                <w:rFonts w:ascii="Segoe UI" w:hAnsi="Segoe UI" w:cs="Segoe UI"/>
                <w:color w:val="C5D9F1"/>
                <w:sz w:val="18"/>
                <w:szCs w:val="18"/>
              </w:rPr>
              <w:t>4.00</w:t>
            </w:r>
          </w:p>
        </w:tc>
        <w:tc>
          <w:tcPr>
            <w:tcW w:w="1542" w:type="pct"/>
            <w:tcBorders>
              <w:top w:val="nil"/>
              <w:left w:val="nil"/>
              <w:bottom w:val="nil"/>
              <w:right w:val="nil"/>
            </w:tcBorders>
            <w:shd w:val="clear" w:color="000000" w:fill="C5D9F1"/>
            <w:noWrap/>
            <w:vAlign w:val="center"/>
            <w:hideMark/>
          </w:tcPr>
          <w:p w14:paraId="5A133555" w14:textId="77777777" w:rsidR="009240F6" w:rsidRDefault="009240F6">
            <w:pPr>
              <w:rPr>
                <w:rFonts w:ascii="Segoe UI" w:hAnsi="Segoe UI" w:cs="Segoe UI"/>
                <w:color w:val="000000"/>
                <w:sz w:val="18"/>
                <w:szCs w:val="18"/>
              </w:rPr>
            </w:pPr>
            <w:r>
              <w:rPr>
                <w:rFonts w:ascii="Segoe UI" w:hAnsi="Segoe UI" w:cs="Segoe UI"/>
                <w:color w:val="000000"/>
                <w:sz w:val="18"/>
                <w:szCs w:val="18"/>
              </w:rPr>
              <w:t> </w:t>
            </w:r>
          </w:p>
        </w:tc>
      </w:tr>
      <w:tr w:rsidR="009240F6" w14:paraId="4A0B3848" w14:textId="77777777" w:rsidTr="009240F6">
        <w:trPr>
          <w:trHeight w:val="342"/>
        </w:trPr>
        <w:tc>
          <w:tcPr>
            <w:tcW w:w="2158" w:type="pct"/>
            <w:tcBorders>
              <w:top w:val="nil"/>
              <w:left w:val="nil"/>
              <w:bottom w:val="nil"/>
              <w:right w:val="nil"/>
            </w:tcBorders>
            <w:shd w:val="clear" w:color="000000" w:fill="C5D9F1"/>
            <w:noWrap/>
            <w:vAlign w:val="center"/>
            <w:hideMark/>
          </w:tcPr>
          <w:p w14:paraId="33CAAA0C" w14:textId="77777777" w:rsidR="009240F6" w:rsidRDefault="009240F6">
            <w:pPr>
              <w:jc w:val="right"/>
              <w:rPr>
                <w:rFonts w:ascii="Segoe UI" w:hAnsi="Segoe UI" w:cs="Segoe UI"/>
                <w:color w:val="000000"/>
                <w:sz w:val="18"/>
                <w:szCs w:val="18"/>
              </w:rPr>
            </w:pPr>
            <w:r>
              <w:rPr>
                <w:rFonts w:ascii="Segoe UI" w:hAnsi="Segoe UI" w:cs="Segoe UI"/>
                <w:color w:val="000000"/>
                <w:sz w:val="18"/>
                <w:szCs w:val="18"/>
              </w:rPr>
              <w:t>Dermal LD</w:t>
            </w:r>
            <w:r>
              <w:rPr>
                <w:rFonts w:ascii="Segoe UI" w:hAnsi="Segoe UI" w:cs="Segoe UI"/>
                <w:color w:val="000000"/>
                <w:sz w:val="18"/>
                <w:szCs w:val="18"/>
                <w:vertAlign w:val="subscript"/>
              </w:rPr>
              <w:t>50</w:t>
            </w:r>
            <w:r>
              <w:rPr>
                <w:rFonts w:ascii="Segoe UI" w:hAnsi="Segoe UI" w:cs="Segoe UI"/>
                <w:color w:val="000000"/>
                <w:sz w:val="18"/>
                <w:szCs w:val="18"/>
              </w:rPr>
              <w:t xml:space="preserve"> ≤1000 mg/kg:</w:t>
            </w:r>
          </w:p>
        </w:tc>
        <w:tc>
          <w:tcPr>
            <w:tcW w:w="650" w:type="pct"/>
            <w:tcBorders>
              <w:top w:val="nil"/>
              <w:left w:val="nil"/>
              <w:bottom w:val="nil"/>
              <w:right w:val="nil"/>
            </w:tcBorders>
            <w:shd w:val="clear" w:color="000000" w:fill="C5D9F1"/>
            <w:noWrap/>
            <w:vAlign w:val="center"/>
            <w:hideMark/>
          </w:tcPr>
          <w:p w14:paraId="00EA6E32" w14:textId="77777777" w:rsidR="009240F6" w:rsidRDefault="009240F6">
            <w:pPr>
              <w:jc w:val="center"/>
              <w:rPr>
                <w:rFonts w:ascii="Segoe UI" w:hAnsi="Segoe UI" w:cs="Segoe UI"/>
                <w:color w:val="000000"/>
                <w:sz w:val="18"/>
                <w:szCs w:val="18"/>
              </w:rPr>
            </w:pPr>
            <w:r>
              <w:rPr>
                <w:rFonts w:ascii="Segoe UI" w:hAnsi="Segoe UI" w:cs="Segoe UI"/>
                <w:color w:val="000000"/>
                <w:sz w:val="18"/>
                <w:szCs w:val="18"/>
              </w:rPr>
              <w:t>no</w:t>
            </w:r>
          </w:p>
        </w:tc>
        <w:tc>
          <w:tcPr>
            <w:tcW w:w="650" w:type="pct"/>
            <w:tcBorders>
              <w:top w:val="nil"/>
              <w:left w:val="nil"/>
              <w:bottom w:val="nil"/>
              <w:right w:val="nil"/>
            </w:tcBorders>
            <w:shd w:val="clear" w:color="000000" w:fill="C5D9F1"/>
            <w:noWrap/>
            <w:vAlign w:val="center"/>
            <w:hideMark/>
          </w:tcPr>
          <w:p w14:paraId="3C9233DB" w14:textId="77777777" w:rsidR="009240F6" w:rsidRDefault="009240F6">
            <w:pPr>
              <w:rPr>
                <w:rFonts w:ascii="Segoe UI" w:hAnsi="Segoe UI" w:cs="Segoe UI"/>
                <w:color w:val="C5D9F1"/>
                <w:sz w:val="18"/>
                <w:szCs w:val="18"/>
              </w:rPr>
            </w:pPr>
            <w:r>
              <w:rPr>
                <w:rFonts w:ascii="Segoe UI" w:hAnsi="Segoe UI" w:cs="Segoe UI"/>
                <w:color w:val="C5D9F1"/>
                <w:sz w:val="18"/>
                <w:szCs w:val="18"/>
              </w:rPr>
              <w:t> </w:t>
            </w:r>
          </w:p>
        </w:tc>
        <w:tc>
          <w:tcPr>
            <w:tcW w:w="1542" w:type="pct"/>
            <w:tcBorders>
              <w:top w:val="nil"/>
              <w:left w:val="nil"/>
              <w:bottom w:val="nil"/>
              <w:right w:val="nil"/>
            </w:tcBorders>
            <w:shd w:val="clear" w:color="000000" w:fill="C5D9F1"/>
            <w:noWrap/>
            <w:vAlign w:val="center"/>
            <w:hideMark/>
          </w:tcPr>
          <w:p w14:paraId="4FDC1B2C" w14:textId="77777777" w:rsidR="009240F6" w:rsidRDefault="009240F6">
            <w:pPr>
              <w:rPr>
                <w:rFonts w:ascii="Segoe UI" w:hAnsi="Segoe UI" w:cs="Segoe UI"/>
                <w:color w:val="000000"/>
                <w:sz w:val="18"/>
                <w:szCs w:val="18"/>
              </w:rPr>
            </w:pPr>
            <w:r>
              <w:rPr>
                <w:rFonts w:ascii="Segoe UI" w:hAnsi="Segoe UI" w:cs="Segoe UI"/>
                <w:color w:val="000000"/>
                <w:sz w:val="18"/>
                <w:szCs w:val="18"/>
              </w:rPr>
              <w:t> </w:t>
            </w:r>
          </w:p>
        </w:tc>
      </w:tr>
      <w:tr w:rsidR="009240F6" w14:paraId="12422117" w14:textId="77777777" w:rsidTr="009240F6">
        <w:trPr>
          <w:trHeight w:val="342"/>
        </w:trPr>
        <w:tc>
          <w:tcPr>
            <w:tcW w:w="2158" w:type="pct"/>
            <w:tcBorders>
              <w:top w:val="nil"/>
              <w:left w:val="nil"/>
              <w:bottom w:val="nil"/>
              <w:right w:val="nil"/>
            </w:tcBorders>
            <w:shd w:val="clear" w:color="000000" w:fill="C5D9F1"/>
            <w:noWrap/>
            <w:vAlign w:val="center"/>
            <w:hideMark/>
          </w:tcPr>
          <w:p w14:paraId="2B7AFF12" w14:textId="77777777" w:rsidR="009240F6" w:rsidRDefault="009240F6">
            <w:pPr>
              <w:jc w:val="right"/>
              <w:rPr>
                <w:rFonts w:ascii="Segoe UI" w:hAnsi="Segoe UI" w:cs="Segoe UI"/>
                <w:color w:val="000000"/>
                <w:sz w:val="18"/>
                <w:szCs w:val="18"/>
              </w:rPr>
            </w:pPr>
            <w:r>
              <w:rPr>
                <w:rFonts w:ascii="Segoe UI" w:hAnsi="Segoe UI" w:cs="Segoe UI"/>
                <w:color w:val="000000"/>
                <w:sz w:val="18"/>
                <w:szCs w:val="18"/>
              </w:rPr>
              <w:t>Dermal repeat-dose NOAEL ≤200 mg/kg:</w:t>
            </w:r>
          </w:p>
        </w:tc>
        <w:tc>
          <w:tcPr>
            <w:tcW w:w="650" w:type="pct"/>
            <w:tcBorders>
              <w:top w:val="nil"/>
              <w:left w:val="nil"/>
              <w:bottom w:val="nil"/>
              <w:right w:val="nil"/>
            </w:tcBorders>
            <w:shd w:val="clear" w:color="000000" w:fill="C5D9F1"/>
            <w:noWrap/>
            <w:vAlign w:val="center"/>
            <w:hideMark/>
          </w:tcPr>
          <w:p w14:paraId="28981202" w14:textId="77777777" w:rsidR="009240F6" w:rsidRDefault="009240F6">
            <w:pPr>
              <w:jc w:val="center"/>
              <w:rPr>
                <w:rFonts w:ascii="Segoe UI" w:hAnsi="Segoe UI" w:cs="Segoe UI"/>
                <w:color w:val="000000"/>
                <w:sz w:val="18"/>
                <w:szCs w:val="18"/>
              </w:rPr>
            </w:pPr>
            <w:r>
              <w:rPr>
                <w:rFonts w:ascii="Segoe UI" w:hAnsi="Segoe UI" w:cs="Segoe UI"/>
                <w:color w:val="000000"/>
                <w:sz w:val="18"/>
                <w:szCs w:val="18"/>
              </w:rPr>
              <w:t> </w:t>
            </w:r>
          </w:p>
        </w:tc>
        <w:tc>
          <w:tcPr>
            <w:tcW w:w="650" w:type="pct"/>
            <w:tcBorders>
              <w:top w:val="nil"/>
              <w:left w:val="nil"/>
              <w:bottom w:val="nil"/>
              <w:right w:val="nil"/>
            </w:tcBorders>
            <w:shd w:val="clear" w:color="000000" w:fill="C5D9F1"/>
            <w:noWrap/>
            <w:vAlign w:val="center"/>
            <w:hideMark/>
          </w:tcPr>
          <w:p w14:paraId="6CF7A09A" w14:textId="77777777" w:rsidR="009240F6" w:rsidRDefault="009240F6">
            <w:pPr>
              <w:rPr>
                <w:rFonts w:ascii="Segoe UI" w:hAnsi="Segoe UI" w:cs="Segoe UI"/>
                <w:color w:val="C5D9F1"/>
                <w:sz w:val="18"/>
                <w:szCs w:val="18"/>
              </w:rPr>
            </w:pPr>
            <w:r>
              <w:rPr>
                <w:rFonts w:ascii="Segoe UI" w:hAnsi="Segoe UI" w:cs="Segoe UI"/>
                <w:color w:val="C5D9F1"/>
                <w:sz w:val="18"/>
                <w:szCs w:val="18"/>
              </w:rPr>
              <w:t> </w:t>
            </w:r>
          </w:p>
        </w:tc>
        <w:tc>
          <w:tcPr>
            <w:tcW w:w="1542" w:type="pct"/>
            <w:tcBorders>
              <w:top w:val="nil"/>
              <w:left w:val="nil"/>
              <w:bottom w:val="nil"/>
              <w:right w:val="nil"/>
            </w:tcBorders>
            <w:shd w:val="clear" w:color="000000" w:fill="C5D9F1"/>
            <w:noWrap/>
            <w:vAlign w:val="center"/>
            <w:hideMark/>
          </w:tcPr>
          <w:p w14:paraId="72D937E4" w14:textId="77777777" w:rsidR="009240F6" w:rsidRDefault="009240F6">
            <w:pPr>
              <w:rPr>
                <w:rFonts w:ascii="Segoe UI" w:hAnsi="Segoe UI" w:cs="Segoe UI"/>
                <w:color w:val="000000"/>
                <w:sz w:val="18"/>
                <w:szCs w:val="18"/>
              </w:rPr>
            </w:pPr>
            <w:r>
              <w:rPr>
                <w:rFonts w:ascii="Segoe UI" w:hAnsi="Segoe UI" w:cs="Segoe UI"/>
                <w:color w:val="000000"/>
                <w:sz w:val="18"/>
                <w:szCs w:val="18"/>
              </w:rPr>
              <w:t> </w:t>
            </w:r>
          </w:p>
        </w:tc>
      </w:tr>
      <w:tr w:rsidR="009240F6" w14:paraId="163AA1F5" w14:textId="77777777" w:rsidTr="009240F6">
        <w:trPr>
          <w:trHeight w:val="342"/>
        </w:trPr>
        <w:tc>
          <w:tcPr>
            <w:tcW w:w="2158" w:type="pct"/>
            <w:tcBorders>
              <w:top w:val="nil"/>
              <w:left w:val="nil"/>
              <w:bottom w:val="nil"/>
              <w:right w:val="nil"/>
            </w:tcBorders>
            <w:shd w:val="clear" w:color="000000" w:fill="C5D9F1"/>
            <w:noWrap/>
            <w:vAlign w:val="center"/>
            <w:hideMark/>
          </w:tcPr>
          <w:p w14:paraId="0DFC1B31" w14:textId="77777777" w:rsidR="009240F6" w:rsidRDefault="009240F6">
            <w:pPr>
              <w:jc w:val="right"/>
              <w:rPr>
                <w:rFonts w:ascii="Segoe UI" w:hAnsi="Segoe UI" w:cs="Segoe UI"/>
                <w:color w:val="000000"/>
                <w:sz w:val="18"/>
                <w:szCs w:val="18"/>
              </w:rPr>
            </w:pPr>
            <w:r>
              <w:rPr>
                <w:rFonts w:ascii="Segoe UI" w:hAnsi="Segoe UI" w:cs="Segoe UI"/>
                <w:color w:val="000000"/>
                <w:sz w:val="18"/>
                <w:szCs w:val="18"/>
              </w:rPr>
              <w:t>Dermal LD</w:t>
            </w:r>
            <w:r>
              <w:rPr>
                <w:rFonts w:ascii="Segoe UI" w:hAnsi="Segoe UI" w:cs="Segoe UI"/>
                <w:color w:val="000000"/>
                <w:sz w:val="18"/>
                <w:szCs w:val="18"/>
                <w:vertAlign w:val="subscript"/>
              </w:rPr>
              <w:t>50</w:t>
            </w:r>
            <w:r>
              <w:rPr>
                <w:rFonts w:ascii="Segoe UI" w:hAnsi="Segoe UI" w:cs="Segoe UI"/>
                <w:color w:val="000000"/>
                <w:sz w:val="18"/>
                <w:szCs w:val="18"/>
              </w:rPr>
              <w:t>/Inhalation LD</w:t>
            </w:r>
            <w:r>
              <w:rPr>
                <w:rFonts w:ascii="Segoe UI" w:hAnsi="Segoe UI" w:cs="Segoe UI"/>
                <w:color w:val="000000"/>
                <w:sz w:val="18"/>
                <w:szCs w:val="18"/>
                <w:vertAlign w:val="subscript"/>
              </w:rPr>
              <w:t>50</w:t>
            </w:r>
            <w:r>
              <w:rPr>
                <w:rFonts w:ascii="Segoe UI" w:hAnsi="Segoe UI" w:cs="Segoe UI"/>
                <w:color w:val="000000"/>
                <w:sz w:val="18"/>
                <w:szCs w:val="18"/>
              </w:rPr>
              <w:t xml:space="preserve"> &lt;10:</w:t>
            </w:r>
          </w:p>
        </w:tc>
        <w:tc>
          <w:tcPr>
            <w:tcW w:w="650" w:type="pct"/>
            <w:tcBorders>
              <w:top w:val="nil"/>
              <w:left w:val="nil"/>
              <w:bottom w:val="nil"/>
              <w:right w:val="nil"/>
            </w:tcBorders>
            <w:shd w:val="clear" w:color="000000" w:fill="C5D9F1"/>
            <w:noWrap/>
            <w:vAlign w:val="center"/>
            <w:hideMark/>
          </w:tcPr>
          <w:p w14:paraId="1BABE43F" w14:textId="77777777" w:rsidR="009240F6" w:rsidRDefault="009240F6">
            <w:pPr>
              <w:jc w:val="center"/>
              <w:rPr>
                <w:rFonts w:ascii="Segoe UI" w:hAnsi="Segoe UI" w:cs="Segoe UI"/>
                <w:color w:val="000000"/>
                <w:sz w:val="18"/>
                <w:szCs w:val="18"/>
              </w:rPr>
            </w:pPr>
            <w:r>
              <w:rPr>
                <w:rFonts w:ascii="Segoe UI" w:hAnsi="Segoe UI" w:cs="Segoe UI"/>
                <w:color w:val="000000"/>
                <w:sz w:val="18"/>
                <w:szCs w:val="18"/>
              </w:rPr>
              <w:t> </w:t>
            </w:r>
          </w:p>
        </w:tc>
        <w:tc>
          <w:tcPr>
            <w:tcW w:w="650" w:type="pct"/>
            <w:tcBorders>
              <w:top w:val="nil"/>
              <w:left w:val="nil"/>
              <w:bottom w:val="nil"/>
              <w:right w:val="nil"/>
            </w:tcBorders>
            <w:shd w:val="clear" w:color="000000" w:fill="C5D9F1"/>
            <w:noWrap/>
            <w:vAlign w:val="center"/>
            <w:hideMark/>
          </w:tcPr>
          <w:p w14:paraId="2C5FF644" w14:textId="77777777" w:rsidR="009240F6" w:rsidRDefault="009240F6">
            <w:pPr>
              <w:rPr>
                <w:rFonts w:ascii="Segoe UI" w:hAnsi="Segoe UI" w:cs="Segoe UI"/>
                <w:color w:val="C5D9F1"/>
                <w:sz w:val="18"/>
                <w:szCs w:val="18"/>
              </w:rPr>
            </w:pPr>
            <w:r>
              <w:rPr>
                <w:rFonts w:ascii="Segoe UI" w:hAnsi="Segoe UI" w:cs="Segoe UI"/>
                <w:color w:val="C5D9F1"/>
                <w:sz w:val="18"/>
                <w:szCs w:val="18"/>
              </w:rPr>
              <w:t> </w:t>
            </w:r>
          </w:p>
        </w:tc>
        <w:tc>
          <w:tcPr>
            <w:tcW w:w="1542" w:type="pct"/>
            <w:tcBorders>
              <w:top w:val="nil"/>
              <w:left w:val="nil"/>
              <w:bottom w:val="nil"/>
              <w:right w:val="nil"/>
            </w:tcBorders>
            <w:shd w:val="clear" w:color="000000" w:fill="C5D9F1"/>
            <w:noWrap/>
            <w:vAlign w:val="center"/>
            <w:hideMark/>
          </w:tcPr>
          <w:p w14:paraId="78775D13" w14:textId="77777777" w:rsidR="009240F6" w:rsidRDefault="009240F6">
            <w:pPr>
              <w:rPr>
                <w:rFonts w:ascii="Segoe UI" w:hAnsi="Segoe UI" w:cs="Segoe UI"/>
                <w:color w:val="000000"/>
                <w:sz w:val="18"/>
                <w:szCs w:val="18"/>
              </w:rPr>
            </w:pPr>
            <w:r>
              <w:rPr>
                <w:rFonts w:ascii="Segoe UI" w:hAnsi="Segoe UI" w:cs="Segoe UI"/>
                <w:color w:val="000000"/>
                <w:sz w:val="18"/>
                <w:szCs w:val="18"/>
              </w:rPr>
              <w:t> </w:t>
            </w:r>
          </w:p>
        </w:tc>
      </w:tr>
      <w:tr w:rsidR="009240F6" w14:paraId="7FDE2D8E" w14:textId="77777777" w:rsidTr="009240F6">
        <w:trPr>
          <w:trHeight w:val="342"/>
        </w:trPr>
        <w:tc>
          <w:tcPr>
            <w:tcW w:w="2158" w:type="pct"/>
            <w:tcBorders>
              <w:top w:val="nil"/>
              <w:left w:val="nil"/>
              <w:bottom w:val="nil"/>
              <w:right w:val="nil"/>
            </w:tcBorders>
            <w:shd w:val="clear" w:color="000000" w:fill="C5D9F1"/>
            <w:noWrap/>
            <w:vAlign w:val="center"/>
            <w:hideMark/>
          </w:tcPr>
          <w:p w14:paraId="6263F7D0" w14:textId="77777777" w:rsidR="009240F6" w:rsidRDefault="009240F6">
            <w:pPr>
              <w:jc w:val="right"/>
              <w:rPr>
                <w:rFonts w:ascii="Segoe UI" w:hAnsi="Segoe UI" w:cs="Segoe UI"/>
                <w:i/>
                <w:iCs/>
                <w:color w:val="000000"/>
                <w:sz w:val="18"/>
                <w:szCs w:val="18"/>
              </w:rPr>
            </w:pPr>
            <w:r>
              <w:rPr>
                <w:rFonts w:ascii="Segoe UI" w:hAnsi="Segoe UI" w:cs="Segoe UI"/>
                <w:i/>
                <w:iCs/>
                <w:color w:val="000000"/>
                <w:sz w:val="18"/>
                <w:szCs w:val="18"/>
              </w:rPr>
              <w:t>In vivo</w:t>
            </w:r>
            <w:r>
              <w:rPr>
                <w:rFonts w:ascii="Segoe UI" w:hAnsi="Segoe UI" w:cs="Segoe UI"/>
                <w:color w:val="000000"/>
                <w:sz w:val="18"/>
                <w:szCs w:val="18"/>
              </w:rPr>
              <w:t xml:space="preserve"> dermal absorption rate &gt;10%:</w:t>
            </w:r>
          </w:p>
        </w:tc>
        <w:tc>
          <w:tcPr>
            <w:tcW w:w="650" w:type="pct"/>
            <w:tcBorders>
              <w:top w:val="nil"/>
              <w:left w:val="nil"/>
              <w:bottom w:val="nil"/>
              <w:right w:val="nil"/>
            </w:tcBorders>
            <w:shd w:val="clear" w:color="000000" w:fill="C5D9F1"/>
            <w:noWrap/>
            <w:vAlign w:val="center"/>
            <w:hideMark/>
          </w:tcPr>
          <w:p w14:paraId="3026CF2A" w14:textId="77777777" w:rsidR="009240F6" w:rsidRDefault="009240F6">
            <w:pPr>
              <w:jc w:val="center"/>
              <w:rPr>
                <w:rFonts w:ascii="Segoe UI" w:hAnsi="Segoe UI" w:cs="Segoe UI"/>
                <w:color w:val="000000"/>
                <w:sz w:val="18"/>
                <w:szCs w:val="18"/>
              </w:rPr>
            </w:pPr>
            <w:r>
              <w:rPr>
                <w:rFonts w:ascii="Segoe UI" w:hAnsi="Segoe UI" w:cs="Segoe UI"/>
                <w:color w:val="000000"/>
                <w:sz w:val="18"/>
                <w:szCs w:val="18"/>
              </w:rPr>
              <w:t> </w:t>
            </w:r>
          </w:p>
        </w:tc>
        <w:tc>
          <w:tcPr>
            <w:tcW w:w="650" w:type="pct"/>
            <w:tcBorders>
              <w:top w:val="nil"/>
              <w:left w:val="nil"/>
              <w:bottom w:val="nil"/>
              <w:right w:val="nil"/>
            </w:tcBorders>
            <w:shd w:val="clear" w:color="000000" w:fill="C5D9F1"/>
            <w:noWrap/>
            <w:vAlign w:val="center"/>
            <w:hideMark/>
          </w:tcPr>
          <w:p w14:paraId="5BE6479C" w14:textId="77777777" w:rsidR="009240F6" w:rsidRDefault="009240F6">
            <w:pPr>
              <w:rPr>
                <w:rFonts w:ascii="Segoe UI" w:hAnsi="Segoe UI" w:cs="Segoe UI"/>
                <w:color w:val="C5D9F1"/>
                <w:sz w:val="18"/>
                <w:szCs w:val="18"/>
              </w:rPr>
            </w:pPr>
            <w:r>
              <w:rPr>
                <w:rFonts w:ascii="Segoe UI" w:hAnsi="Segoe UI" w:cs="Segoe UI"/>
                <w:color w:val="C5D9F1"/>
                <w:sz w:val="18"/>
                <w:szCs w:val="18"/>
              </w:rPr>
              <w:t> </w:t>
            </w:r>
          </w:p>
        </w:tc>
        <w:tc>
          <w:tcPr>
            <w:tcW w:w="1542" w:type="pct"/>
            <w:tcBorders>
              <w:top w:val="nil"/>
              <w:left w:val="nil"/>
              <w:bottom w:val="nil"/>
              <w:right w:val="nil"/>
            </w:tcBorders>
            <w:shd w:val="clear" w:color="000000" w:fill="C5D9F1"/>
            <w:noWrap/>
            <w:vAlign w:val="center"/>
            <w:hideMark/>
          </w:tcPr>
          <w:p w14:paraId="2C562535" w14:textId="77777777" w:rsidR="009240F6" w:rsidRDefault="009240F6">
            <w:pPr>
              <w:rPr>
                <w:rFonts w:ascii="Segoe UI" w:hAnsi="Segoe UI" w:cs="Segoe UI"/>
                <w:color w:val="000000"/>
                <w:sz w:val="18"/>
                <w:szCs w:val="18"/>
              </w:rPr>
            </w:pPr>
            <w:r>
              <w:rPr>
                <w:rFonts w:ascii="Segoe UI" w:hAnsi="Segoe UI" w:cs="Segoe UI"/>
                <w:color w:val="000000"/>
                <w:sz w:val="18"/>
                <w:szCs w:val="18"/>
              </w:rPr>
              <w:t> </w:t>
            </w:r>
          </w:p>
        </w:tc>
      </w:tr>
      <w:tr w:rsidR="009240F6" w14:paraId="050C8361" w14:textId="77777777" w:rsidTr="009240F6">
        <w:trPr>
          <w:trHeight w:val="342"/>
        </w:trPr>
        <w:tc>
          <w:tcPr>
            <w:tcW w:w="2158" w:type="pct"/>
            <w:tcBorders>
              <w:top w:val="nil"/>
              <w:left w:val="nil"/>
              <w:bottom w:val="nil"/>
              <w:right w:val="nil"/>
            </w:tcBorders>
            <w:shd w:val="clear" w:color="000000" w:fill="C5D9F1"/>
            <w:noWrap/>
            <w:vAlign w:val="center"/>
            <w:hideMark/>
          </w:tcPr>
          <w:p w14:paraId="09868F7C" w14:textId="77777777" w:rsidR="009240F6" w:rsidRDefault="009240F6">
            <w:pPr>
              <w:jc w:val="right"/>
              <w:rPr>
                <w:rFonts w:ascii="Segoe UI" w:hAnsi="Segoe UI" w:cs="Segoe UI"/>
                <w:color w:val="000000"/>
                <w:sz w:val="18"/>
                <w:szCs w:val="18"/>
              </w:rPr>
            </w:pPr>
            <w:r>
              <w:rPr>
                <w:rFonts w:ascii="Segoe UI" w:hAnsi="Segoe UI" w:cs="Segoe UI"/>
                <w:color w:val="000000"/>
                <w:sz w:val="18"/>
                <w:szCs w:val="18"/>
              </w:rPr>
              <w:t>Estimated dermal exposure at WES &gt;10%:</w:t>
            </w:r>
          </w:p>
        </w:tc>
        <w:tc>
          <w:tcPr>
            <w:tcW w:w="650" w:type="pct"/>
            <w:tcBorders>
              <w:top w:val="nil"/>
              <w:left w:val="nil"/>
              <w:bottom w:val="nil"/>
              <w:right w:val="nil"/>
            </w:tcBorders>
            <w:shd w:val="clear" w:color="000000" w:fill="C5D9F1"/>
            <w:noWrap/>
            <w:vAlign w:val="center"/>
            <w:hideMark/>
          </w:tcPr>
          <w:p w14:paraId="0A3B34EF" w14:textId="77777777" w:rsidR="009240F6" w:rsidRDefault="009240F6">
            <w:pPr>
              <w:jc w:val="center"/>
              <w:rPr>
                <w:rFonts w:ascii="Segoe UI" w:hAnsi="Segoe UI" w:cs="Segoe UI"/>
                <w:color w:val="000000"/>
                <w:sz w:val="18"/>
                <w:szCs w:val="18"/>
              </w:rPr>
            </w:pPr>
            <w:r>
              <w:rPr>
                <w:rFonts w:ascii="Segoe UI" w:hAnsi="Segoe UI" w:cs="Segoe UI"/>
                <w:color w:val="000000"/>
                <w:sz w:val="18"/>
                <w:szCs w:val="18"/>
              </w:rPr>
              <w:t> </w:t>
            </w:r>
          </w:p>
        </w:tc>
        <w:tc>
          <w:tcPr>
            <w:tcW w:w="650" w:type="pct"/>
            <w:tcBorders>
              <w:top w:val="nil"/>
              <w:left w:val="nil"/>
              <w:bottom w:val="nil"/>
              <w:right w:val="nil"/>
            </w:tcBorders>
            <w:shd w:val="clear" w:color="000000" w:fill="C5D9F1"/>
            <w:noWrap/>
            <w:vAlign w:val="center"/>
            <w:hideMark/>
          </w:tcPr>
          <w:p w14:paraId="1C6A60BC" w14:textId="77777777" w:rsidR="009240F6" w:rsidRDefault="009240F6">
            <w:pPr>
              <w:rPr>
                <w:rFonts w:ascii="Segoe UI" w:hAnsi="Segoe UI" w:cs="Segoe UI"/>
                <w:color w:val="C5D9F1"/>
                <w:sz w:val="18"/>
                <w:szCs w:val="18"/>
              </w:rPr>
            </w:pPr>
            <w:r>
              <w:rPr>
                <w:rFonts w:ascii="Segoe UI" w:hAnsi="Segoe UI" w:cs="Segoe UI"/>
                <w:color w:val="C5D9F1"/>
                <w:sz w:val="18"/>
                <w:szCs w:val="18"/>
              </w:rPr>
              <w:t> </w:t>
            </w:r>
          </w:p>
        </w:tc>
        <w:tc>
          <w:tcPr>
            <w:tcW w:w="1542" w:type="pct"/>
            <w:tcBorders>
              <w:top w:val="nil"/>
              <w:left w:val="nil"/>
              <w:bottom w:val="nil"/>
              <w:right w:val="nil"/>
            </w:tcBorders>
            <w:shd w:val="clear" w:color="000000" w:fill="C5D9F1"/>
            <w:noWrap/>
            <w:vAlign w:val="center"/>
            <w:hideMark/>
          </w:tcPr>
          <w:p w14:paraId="380DD0B5" w14:textId="77777777" w:rsidR="009240F6" w:rsidRDefault="009240F6">
            <w:pPr>
              <w:rPr>
                <w:rFonts w:ascii="Segoe UI" w:hAnsi="Segoe UI" w:cs="Segoe UI"/>
                <w:color w:val="000000"/>
                <w:sz w:val="18"/>
                <w:szCs w:val="18"/>
              </w:rPr>
            </w:pPr>
            <w:r>
              <w:rPr>
                <w:rFonts w:ascii="Segoe UI" w:hAnsi="Segoe UI" w:cs="Segoe UI"/>
                <w:color w:val="000000"/>
                <w:sz w:val="18"/>
                <w:szCs w:val="18"/>
              </w:rPr>
              <w:t> </w:t>
            </w:r>
          </w:p>
        </w:tc>
      </w:tr>
      <w:tr w:rsidR="009240F6" w14:paraId="632E255C" w14:textId="77777777" w:rsidTr="009240F6">
        <w:trPr>
          <w:trHeight w:val="342"/>
        </w:trPr>
        <w:tc>
          <w:tcPr>
            <w:tcW w:w="2158" w:type="pct"/>
            <w:tcBorders>
              <w:top w:val="nil"/>
              <w:left w:val="nil"/>
              <w:bottom w:val="nil"/>
              <w:right w:val="nil"/>
            </w:tcBorders>
            <w:shd w:val="clear" w:color="000000" w:fill="C5D9F1"/>
            <w:noWrap/>
            <w:vAlign w:val="center"/>
            <w:hideMark/>
          </w:tcPr>
          <w:p w14:paraId="4C18C8A0" w14:textId="77777777" w:rsidR="009240F6" w:rsidRDefault="009240F6">
            <w:pPr>
              <w:jc w:val="right"/>
              <w:rPr>
                <w:rFonts w:ascii="Segoe UI" w:hAnsi="Segoe UI" w:cs="Segoe UI"/>
                <w:color w:val="000000"/>
                <w:sz w:val="18"/>
                <w:szCs w:val="18"/>
              </w:rPr>
            </w:pPr>
            <w:r>
              <w:rPr>
                <w:rFonts w:ascii="Segoe UI" w:hAnsi="Segoe UI" w:cs="Segoe UI"/>
                <w:color w:val="000000"/>
                <w:sz w:val="18"/>
                <w:szCs w:val="18"/>
              </w:rPr>
              <w:t> </w:t>
            </w:r>
          </w:p>
        </w:tc>
        <w:tc>
          <w:tcPr>
            <w:tcW w:w="650" w:type="pct"/>
            <w:tcBorders>
              <w:top w:val="nil"/>
              <w:left w:val="nil"/>
              <w:bottom w:val="nil"/>
              <w:right w:val="nil"/>
            </w:tcBorders>
            <w:shd w:val="clear" w:color="000000" w:fill="C5D9F1"/>
            <w:noWrap/>
            <w:vAlign w:val="center"/>
            <w:hideMark/>
          </w:tcPr>
          <w:p w14:paraId="6DD5784A" w14:textId="77777777" w:rsidR="009240F6" w:rsidRDefault="009240F6">
            <w:pPr>
              <w:jc w:val="center"/>
              <w:rPr>
                <w:rFonts w:ascii="Segoe UI" w:hAnsi="Segoe UI" w:cs="Segoe UI"/>
                <w:color w:val="000000"/>
                <w:sz w:val="18"/>
                <w:szCs w:val="18"/>
              </w:rPr>
            </w:pPr>
            <w:r>
              <w:rPr>
                <w:rFonts w:ascii="Segoe UI" w:hAnsi="Segoe UI" w:cs="Segoe UI"/>
                <w:color w:val="000000"/>
                <w:sz w:val="18"/>
                <w:szCs w:val="18"/>
              </w:rPr>
              <w:t> </w:t>
            </w:r>
          </w:p>
        </w:tc>
        <w:tc>
          <w:tcPr>
            <w:tcW w:w="650" w:type="pct"/>
            <w:tcBorders>
              <w:top w:val="nil"/>
              <w:left w:val="nil"/>
              <w:bottom w:val="nil"/>
              <w:right w:val="nil"/>
            </w:tcBorders>
            <w:shd w:val="clear" w:color="000000" w:fill="C5D9F1"/>
            <w:noWrap/>
            <w:vAlign w:val="center"/>
            <w:hideMark/>
          </w:tcPr>
          <w:p w14:paraId="3174AABE" w14:textId="77777777" w:rsidR="009240F6" w:rsidRDefault="009240F6">
            <w:pPr>
              <w:rPr>
                <w:rFonts w:ascii="Segoe UI" w:hAnsi="Segoe UI" w:cs="Segoe UI"/>
                <w:color w:val="C5D9F1"/>
                <w:sz w:val="18"/>
                <w:szCs w:val="18"/>
              </w:rPr>
            </w:pPr>
            <w:r>
              <w:rPr>
                <w:rFonts w:ascii="Segoe UI" w:hAnsi="Segoe UI" w:cs="Segoe UI"/>
                <w:color w:val="C5D9F1"/>
                <w:sz w:val="18"/>
                <w:szCs w:val="18"/>
              </w:rPr>
              <w:t> </w:t>
            </w:r>
          </w:p>
        </w:tc>
        <w:tc>
          <w:tcPr>
            <w:tcW w:w="1542" w:type="pct"/>
            <w:tcBorders>
              <w:top w:val="nil"/>
              <w:left w:val="nil"/>
              <w:bottom w:val="nil"/>
              <w:right w:val="nil"/>
            </w:tcBorders>
            <w:shd w:val="clear" w:color="000000" w:fill="C5D9F1"/>
            <w:noWrap/>
            <w:vAlign w:val="center"/>
            <w:hideMark/>
          </w:tcPr>
          <w:p w14:paraId="63C6F83D" w14:textId="77777777" w:rsidR="009240F6" w:rsidRDefault="009240F6">
            <w:pPr>
              <w:rPr>
                <w:rFonts w:ascii="Segoe UI" w:hAnsi="Segoe UI" w:cs="Segoe UI"/>
                <w:b/>
                <w:bCs/>
                <w:color w:val="000000"/>
                <w:sz w:val="18"/>
                <w:szCs w:val="18"/>
              </w:rPr>
            </w:pPr>
            <w:r>
              <w:rPr>
                <w:rFonts w:ascii="Segoe UI" w:hAnsi="Segoe UI" w:cs="Segoe UI"/>
                <w:b/>
                <w:bCs/>
                <w:color w:val="000000"/>
                <w:sz w:val="18"/>
                <w:szCs w:val="18"/>
              </w:rPr>
              <w:t>a skin notation is warranted</w:t>
            </w:r>
          </w:p>
        </w:tc>
      </w:tr>
    </w:tbl>
    <w:p w14:paraId="4A0FDEE8" w14:textId="2DDB83DC"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9"/>
        <w:gridCol w:w="4757"/>
      </w:tblGrid>
      <w:tr w:rsidR="00EB3D1B" w14:paraId="53BFA2F1" w14:textId="77777777" w:rsidTr="00610F2E">
        <w:trPr>
          <w:trHeight w:val="454"/>
          <w:tblHeader/>
        </w:trPr>
        <w:tc>
          <w:tcPr>
            <w:tcW w:w="4361" w:type="dxa"/>
            <w:vAlign w:val="center"/>
          </w:tcPr>
          <w:p w14:paraId="5DE738A8"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0A755EB9" w14:textId="4B575EBD" w:rsidR="00EB3D1B" w:rsidRDefault="00A02CD4" w:rsidP="00EB3D1B">
                <w:pPr>
                  <w:pStyle w:val="Tablefont"/>
                </w:pPr>
                <w:r>
                  <w:t>No</w:t>
                </w:r>
              </w:p>
            </w:tc>
          </w:sdtContent>
        </w:sdt>
      </w:tr>
    </w:tbl>
    <w:p w14:paraId="79DAD92E"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4C23F4" w14:paraId="477BC762" w14:textId="77777777" w:rsidTr="00EA6243">
        <w:trPr>
          <w:cantSplit/>
          <w:tblHeader/>
        </w:trPr>
        <w:tc>
          <w:tcPr>
            <w:tcW w:w="4077" w:type="dxa"/>
            <w:vAlign w:val="center"/>
          </w:tcPr>
          <w:p w14:paraId="5BCAAD8C"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0970CD2C" w14:textId="69594022" w:rsidR="001B79E5" w:rsidRDefault="00883EC5" w:rsidP="001B79E5">
                <w:pPr>
                  <w:pStyle w:val="Tablefont"/>
                </w:pPr>
                <w:r>
                  <w:t>199.26</w:t>
                </w:r>
              </w:p>
            </w:tc>
          </w:sdtContent>
        </w:sdt>
      </w:tr>
      <w:tr w:rsidR="00A31D99" w:rsidRPr="004C23F4" w14:paraId="62F679D0" w14:textId="77777777" w:rsidTr="00EA6243">
        <w:trPr>
          <w:cantSplit/>
          <w:tblHeader/>
        </w:trPr>
        <w:tc>
          <w:tcPr>
            <w:tcW w:w="4077" w:type="dxa"/>
            <w:vAlign w:val="center"/>
          </w:tcPr>
          <w:p w14:paraId="729CCF7E"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04D10D43" w14:textId="77777777" w:rsidR="00A31D99" w:rsidRDefault="00A0643F" w:rsidP="00A174CC">
            <w:pPr>
              <w:pStyle w:val="Tablefont"/>
            </w:pPr>
            <w:r>
              <w:t xml:space="preserve">1 ppm = </w:t>
            </w:r>
            <w:sdt>
              <w:sdtPr>
                <w:id w:val="-371151491"/>
                <w:placeholder>
                  <w:docPart w:val="A7231FB73EFF4B2B92EB3BD21C0CEA01"/>
                </w:placeholder>
                <w:showingPlcHdr/>
              </w:sdtPr>
              <w:sdtEndPr/>
              <w:sdtContent>
                <w:r w:rsidR="00A174CC">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174CC" w:rsidRPr="00A174CC">
                  <w:rPr>
                    <w:color w:val="808080"/>
                  </w:rPr>
                  <w:t>Number</w:t>
                </w:r>
              </w:sdtContent>
            </w:sdt>
            <w:r>
              <w:t xml:space="preserve"> ppm</w:t>
            </w:r>
          </w:p>
        </w:tc>
      </w:tr>
      <w:tr w:rsidR="00687890" w:rsidRPr="004C23F4" w14:paraId="10005DCC" w14:textId="77777777" w:rsidTr="00EA6243">
        <w:trPr>
          <w:cantSplit/>
          <w:tblHeader/>
        </w:trPr>
        <w:tc>
          <w:tcPr>
            <w:tcW w:w="4077" w:type="dxa"/>
            <w:vAlign w:val="center"/>
          </w:tcPr>
          <w:p w14:paraId="24ABFC6D" w14:textId="77777777" w:rsidR="00687890" w:rsidRPr="00263255" w:rsidRDefault="00687890" w:rsidP="00263255">
            <w:pPr>
              <w:pStyle w:val="Tablefont"/>
            </w:pPr>
            <w:r w:rsidRPr="00263255">
              <w:t>This chemical is used as a pesticide:</w:t>
            </w:r>
          </w:p>
        </w:tc>
        <w:sdt>
          <w:sdtPr>
            <w:id w:val="1704441067"/>
            <w14:checkbox>
              <w14:checked w14:val="1"/>
              <w14:checkedState w14:val="00FC" w14:font="Wingdings"/>
              <w14:uncheckedState w14:val="2610" w14:font="MS Gothic"/>
            </w14:checkbox>
          </w:sdtPr>
          <w:sdtEndPr/>
          <w:sdtContent>
            <w:tc>
              <w:tcPr>
                <w:tcW w:w="5165" w:type="dxa"/>
                <w:vAlign w:val="center"/>
              </w:tcPr>
              <w:p w14:paraId="74FFAF98" w14:textId="11B14DD6" w:rsidR="00687890" w:rsidRPr="004C23F4" w:rsidRDefault="0095529F" w:rsidP="00717D45">
                <w:pPr>
                  <w:pStyle w:val="Tablefont"/>
                </w:pPr>
                <w:r>
                  <w:sym w:font="Wingdings" w:char="F0FC"/>
                </w:r>
              </w:p>
            </w:tc>
          </w:sdtContent>
        </w:sdt>
      </w:tr>
      <w:tr w:rsidR="00687890" w:rsidRPr="004C23F4" w14:paraId="184178FD" w14:textId="77777777" w:rsidTr="00EA6243">
        <w:trPr>
          <w:cantSplit/>
        </w:trPr>
        <w:tc>
          <w:tcPr>
            <w:tcW w:w="4077" w:type="dxa"/>
            <w:vAlign w:val="center"/>
          </w:tcPr>
          <w:p w14:paraId="791B0D15"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1DD1E4C1"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38AE0426" w14:textId="77777777" w:rsidTr="00EA6243">
        <w:trPr>
          <w:cantSplit/>
        </w:trPr>
        <w:tc>
          <w:tcPr>
            <w:tcW w:w="4077" w:type="dxa"/>
            <w:vAlign w:val="center"/>
          </w:tcPr>
          <w:p w14:paraId="22CB3038"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6805918F"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376B0D1D" w14:textId="77777777" w:rsidTr="00EA6243">
        <w:trPr>
          <w:cantSplit/>
        </w:trPr>
        <w:tc>
          <w:tcPr>
            <w:tcW w:w="4077" w:type="dxa"/>
            <w:vAlign w:val="center"/>
          </w:tcPr>
          <w:p w14:paraId="06E2008C"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273BAD10" w14:textId="77777777" w:rsidR="00E06F40" w:rsidRPr="00A006A0" w:rsidRDefault="002D0583"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20E2E442" w14:textId="77777777" w:rsidR="007F1005" w:rsidRPr="004C23F4" w:rsidRDefault="007F1005" w:rsidP="00EB3D1B">
      <w:pPr>
        <w:pStyle w:val="Heading2"/>
        <w:keepLines/>
      </w:pPr>
      <w:r w:rsidRPr="004C23F4">
        <w:lastRenderedPageBreak/>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094D1137" w14:textId="77777777" w:rsidTr="00F053FA">
        <w:trPr>
          <w:tblHeader/>
        </w:trPr>
        <w:tc>
          <w:tcPr>
            <w:tcW w:w="4077" w:type="dxa"/>
            <w:shd w:val="clear" w:color="auto" w:fill="BFBFBF" w:themeFill="background1" w:themeFillShade="BF"/>
            <w:vAlign w:val="center"/>
          </w:tcPr>
          <w:p w14:paraId="3B5B7FD5"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4043EFA3" w14:textId="77777777" w:rsidR="00224EE2" w:rsidRPr="004C23F4" w:rsidRDefault="00224EE2" w:rsidP="00EB3D1B">
            <w:pPr>
              <w:pStyle w:val="Tableheader"/>
              <w:keepNext/>
              <w:keepLines/>
            </w:pPr>
            <w:r>
              <w:t>Standard</w:t>
            </w:r>
          </w:p>
        </w:tc>
      </w:tr>
      <w:tr w:rsidR="007F1005" w:rsidRPr="004C23F4" w14:paraId="5D66B605" w14:textId="77777777" w:rsidTr="00F053FA">
        <w:trPr>
          <w:tblHeader/>
        </w:trPr>
        <w:sdt>
          <w:sdtPr>
            <w:id w:val="-25557549"/>
            <w:placeholder>
              <w:docPart w:val="2BF891C0AB704CDAB9BC6E80D556473F"/>
            </w:placeholder>
            <w:showingPlcHdr/>
            <w:text/>
          </w:sdtPr>
          <w:sdtEndPr/>
          <w:sdtContent>
            <w:tc>
              <w:tcPr>
                <w:tcW w:w="4077" w:type="dxa"/>
                <w:vAlign w:val="center"/>
              </w:tcPr>
              <w:p w14:paraId="6C9A2C04"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719788C4" w14:textId="77777777" w:rsidR="007F1005" w:rsidRPr="004C23F4" w:rsidRDefault="007F1005" w:rsidP="00EB3D1B">
            <w:pPr>
              <w:pStyle w:val="Tablefont"/>
              <w:keepLines/>
            </w:pPr>
          </w:p>
        </w:tc>
      </w:tr>
    </w:tbl>
    <w:bookmarkEnd w:id="5"/>
    <w:p w14:paraId="4861D088" w14:textId="77777777" w:rsidR="00F87D92" w:rsidRDefault="00F87D92" w:rsidP="00EF7F78">
      <w:pPr>
        <w:pStyle w:val="Heading2"/>
        <w:tabs>
          <w:tab w:val="right" w:pos="8505"/>
        </w:tabs>
      </w:pPr>
      <w:r>
        <w:t>References</w:t>
      </w:r>
      <w:r w:rsidR="00EF7F78">
        <w:tab/>
      </w:r>
    </w:p>
    <w:p w14:paraId="6B89CEC4"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20CE1B7C" w14:textId="25AA5123" w:rsidR="008E4F1F" w:rsidRDefault="008E4F1F" w:rsidP="008E4F1F">
      <w:r w:rsidRPr="002022B6">
        <w:t xml:space="preserve">Deutsche </w:t>
      </w:r>
      <w:proofErr w:type="spellStart"/>
      <w:r w:rsidRPr="002022B6">
        <w:t>Forschungsgemeinschaft</w:t>
      </w:r>
      <w:proofErr w:type="spellEnd"/>
      <w:r w:rsidRPr="002022B6">
        <w:t xml:space="preserve"> (DFG)</w:t>
      </w:r>
      <w:r>
        <w:t xml:space="preserve"> (</w:t>
      </w:r>
      <w:r w:rsidR="00A02CD4">
        <w:t>2009</w:t>
      </w:r>
      <w:r>
        <w:t xml:space="preserve">) </w:t>
      </w:r>
      <w:proofErr w:type="spellStart"/>
      <w:r w:rsidR="00A02CD4" w:rsidRPr="00A02CD4">
        <w:t>Phenothiazin</w:t>
      </w:r>
      <w:proofErr w:type="spellEnd"/>
      <w:r>
        <w:t xml:space="preserve"> – MAK value documentation.</w:t>
      </w:r>
    </w:p>
    <w:p w14:paraId="11F77BF7" w14:textId="00C52245" w:rsidR="002061CA" w:rsidRDefault="002061CA" w:rsidP="008E4F1F">
      <w:pPr>
        <w:rPr>
          <w:b/>
        </w:rPr>
      </w:pPr>
      <w:r w:rsidRPr="00E461B8">
        <w:t>European Chemicals Agency Regulation (ECHA) No 1907/2006 of the European Parliament and of the Council of 18 December 2006 concerning the Registration, Evaluation, Authorisation and Restriction of Chemicals (REACH).</w:t>
      </w:r>
    </w:p>
    <w:p w14:paraId="78C30C9B" w14:textId="7D89D756" w:rsidR="008E4F1F" w:rsidRDefault="002061CA" w:rsidP="00084859">
      <w:r w:rsidRPr="00E819F5">
        <w:t>Organisation for Economic Cooperation and Development (OECD)</w:t>
      </w:r>
      <w:r>
        <w:t xml:space="preserve"> – </w:t>
      </w:r>
      <w:r w:rsidRPr="00E819F5">
        <w:t>(</w:t>
      </w:r>
      <w:r>
        <w:t>2002</w:t>
      </w:r>
      <w:r w:rsidRPr="00E819F5">
        <w:t>) SIDS initial assessment profile</w:t>
      </w:r>
      <w:r>
        <w:t xml:space="preserve"> – 10H Phenothiazine.</w:t>
      </w:r>
    </w:p>
    <w:p w14:paraId="2C16E725" w14:textId="6FE6AFF3" w:rsidR="006D7D98" w:rsidRPr="00351FE0" w:rsidRDefault="006D7D98" w:rsidP="00084859">
      <w:r>
        <w:t xml:space="preserve">US National Institute for Occupational Safety and Health (NIOSH) (2007) NIOSH Pocket Guide </w:t>
      </w:r>
      <w:proofErr w:type="gramStart"/>
      <w:r>
        <w:t>To</w:t>
      </w:r>
      <w:proofErr w:type="gramEnd"/>
      <w:r>
        <w:t xml:space="preserve"> Chemical Hazards, DHHS (NIOSH) Publication No. 2005-149.</w:t>
      </w:r>
    </w:p>
    <w:sectPr w:rsidR="006D7D98" w:rsidRPr="00351FE0" w:rsidSect="00B87D4C">
      <w:headerReference w:type="default" r:id="rId18"/>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A94DB" w14:textId="77777777" w:rsidR="0033212A" w:rsidRDefault="0033212A" w:rsidP="00F43AD5">
      <w:pPr>
        <w:spacing w:after="0" w:line="240" w:lineRule="auto"/>
      </w:pPr>
      <w:r>
        <w:separator/>
      </w:r>
    </w:p>
  </w:endnote>
  <w:endnote w:type="continuationSeparator" w:id="0">
    <w:p w14:paraId="05694EB1" w14:textId="77777777" w:rsidR="0033212A" w:rsidRDefault="0033212A"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4D385" w14:textId="77777777" w:rsidR="002853B4" w:rsidRDefault="00285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3A00FD46" w14:textId="418366C1" w:rsidR="008A36CF" w:rsidRDefault="00804059" w:rsidP="0034744C">
        <w:pPr>
          <w:pStyle w:val="Footer"/>
          <w:rPr>
            <w:sz w:val="18"/>
            <w:szCs w:val="18"/>
          </w:rPr>
        </w:pPr>
        <w:r>
          <w:rPr>
            <w:b/>
            <w:sz w:val="18"/>
            <w:szCs w:val="18"/>
          </w:rPr>
          <w:t>Phenothiazine</w:t>
        </w:r>
        <w:r w:rsidR="008A36CF">
          <w:rPr>
            <w:b/>
            <w:sz w:val="18"/>
            <w:szCs w:val="18"/>
          </w:rPr>
          <w:t xml:space="preserve"> (</w:t>
        </w:r>
        <w:r>
          <w:rPr>
            <w:b/>
            <w:sz w:val="18"/>
            <w:szCs w:val="18"/>
          </w:rPr>
          <w:t>92-84-2</w:t>
        </w:r>
        <w:r w:rsidR="008A36CF">
          <w:rPr>
            <w:b/>
            <w:sz w:val="18"/>
            <w:szCs w:val="18"/>
          </w:rPr>
          <w:t>)</w:t>
        </w:r>
        <w:r w:rsidR="008A36CF" w:rsidRPr="00F43AD5">
          <w:rPr>
            <w:sz w:val="18"/>
            <w:szCs w:val="18"/>
          </w:rPr>
          <w:br/>
          <w:t xml:space="preserve">Safe Work Australia </w:t>
        </w:r>
        <w:r w:rsidR="008A36CF" w:rsidRPr="00F43AD5">
          <w:rPr>
            <w:rFonts w:ascii="Courier New" w:hAnsi="Courier New" w:cs="Courier New"/>
            <w:sz w:val="18"/>
            <w:szCs w:val="18"/>
          </w:rPr>
          <w:t>—</w:t>
        </w:r>
        <w:r w:rsidR="0060516A">
          <w:rPr>
            <w:sz w:val="18"/>
            <w:szCs w:val="18"/>
          </w:rPr>
          <w:t xml:space="preserve"> 2020</w:t>
        </w:r>
      </w:p>
      <w:p w14:paraId="53012FB5" w14:textId="44C89348"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251A0C">
          <w:rPr>
            <w:noProof/>
            <w:sz w:val="18"/>
            <w:szCs w:val="18"/>
          </w:rPr>
          <w:t>6</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193C5" w14:textId="77777777" w:rsidR="002853B4" w:rsidRDefault="00285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B149A" w14:textId="77777777" w:rsidR="0033212A" w:rsidRDefault="0033212A" w:rsidP="00F43AD5">
      <w:pPr>
        <w:spacing w:after="0" w:line="240" w:lineRule="auto"/>
      </w:pPr>
      <w:r>
        <w:separator/>
      </w:r>
    </w:p>
  </w:footnote>
  <w:footnote w:type="continuationSeparator" w:id="0">
    <w:p w14:paraId="62A36789" w14:textId="77777777" w:rsidR="0033212A" w:rsidRDefault="0033212A"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C918C" w14:textId="77777777" w:rsidR="002853B4" w:rsidRDefault="00285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9DA1A" w14:textId="151C120B" w:rsidR="005D7968" w:rsidRDefault="005D7968" w:rsidP="005D7968">
    <w:pPr>
      <w:pStyle w:val="Header"/>
      <w:jc w:val="right"/>
    </w:pPr>
    <w:r>
      <w:pict w14:anchorId="17232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64580" o:spid="_x0000_s16385"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3A898F43" wp14:editId="115C1847">
          <wp:extent cx="2943225" cy="590550"/>
          <wp:effectExtent l="0" t="0" r="0" b="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0E40EC58" w14:textId="77777777" w:rsidR="005D7968" w:rsidRDefault="005D7968" w:rsidP="005D7968">
    <w:pPr>
      <w:pStyle w:val="Header"/>
    </w:pPr>
  </w:p>
  <w:p w14:paraId="3B50AFBA" w14:textId="26409865" w:rsidR="008A36CF" w:rsidRPr="005D7968" w:rsidRDefault="008A36CF" w:rsidP="005D7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AF12" w14:textId="77777777" w:rsidR="002853B4" w:rsidRDefault="002853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8EEC1" w14:textId="4E738DA3" w:rsidR="005D7968" w:rsidRDefault="005D7968" w:rsidP="005D7968">
    <w:pPr>
      <w:pStyle w:val="Header"/>
      <w:jc w:val="right"/>
    </w:pPr>
    <w:r>
      <w:pict w14:anchorId="484FF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6386"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3ED1EB34" wp14:editId="7C1F0E46">
          <wp:extent cx="2943225" cy="590550"/>
          <wp:effectExtent l="0" t="0" r="0" b="0"/>
          <wp:docPr id="2" name="Picture 2"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212C12D2" w14:textId="77777777" w:rsidR="005D7968" w:rsidRDefault="005D7968" w:rsidP="005D7968">
    <w:pPr>
      <w:pStyle w:val="Header"/>
    </w:pPr>
  </w:p>
  <w:p w14:paraId="07F48A38" w14:textId="77777777" w:rsidR="008A36CF" w:rsidRDefault="008A36CF" w:rsidP="00F43A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AAC6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2515458"/>
    <w:multiLevelType w:val="hybridMultilevel"/>
    <w:tmpl w:val="E5C678C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081B"/>
    <w:rsid w:val="00000999"/>
    <w:rsid w:val="00007B80"/>
    <w:rsid w:val="00013A22"/>
    <w:rsid w:val="00014C3F"/>
    <w:rsid w:val="00017C82"/>
    <w:rsid w:val="00032B88"/>
    <w:rsid w:val="00037E52"/>
    <w:rsid w:val="00043BF9"/>
    <w:rsid w:val="00046DF5"/>
    <w:rsid w:val="00052060"/>
    <w:rsid w:val="0005574A"/>
    <w:rsid w:val="00055FE1"/>
    <w:rsid w:val="00056EC2"/>
    <w:rsid w:val="00060B48"/>
    <w:rsid w:val="000614BD"/>
    <w:rsid w:val="00067F32"/>
    <w:rsid w:val="00071807"/>
    <w:rsid w:val="000803E1"/>
    <w:rsid w:val="00084513"/>
    <w:rsid w:val="00084859"/>
    <w:rsid w:val="00092D94"/>
    <w:rsid w:val="00093587"/>
    <w:rsid w:val="000968EE"/>
    <w:rsid w:val="000B0868"/>
    <w:rsid w:val="000B3E12"/>
    <w:rsid w:val="000B3E78"/>
    <w:rsid w:val="000B7B48"/>
    <w:rsid w:val="000C096D"/>
    <w:rsid w:val="000C139A"/>
    <w:rsid w:val="000C2053"/>
    <w:rsid w:val="000C248C"/>
    <w:rsid w:val="000D291C"/>
    <w:rsid w:val="000E5A54"/>
    <w:rsid w:val="000E63D3"/>
    <w:rsid w:val="000E67CF"/>
    <w:rsid w:val="000E71A3"/>
    <w:rsid w:val="0010461E"/>
    <w:rsid w:val="00106FAA"/>
    <w:rsid w:val="00113443"/>
    <w:rsid w:val="001269A7"/>
    <w:rsid w:val="00131092"/>
    <w:rsid w:val="00132F33"/>
    <w:rsid w:val="00140E6A"/>
    <w:rsid w:val="00146545"/>
    <w:rsid w:val="00146B75"/>
    <w:rsid w:val="0015266D"/>
    <w:rsid w:val="0015288A"/>
    <w:rsid w:val="00154738"/>
    <w:rsid w:val="00155C3C"/>
    <w:rsid w:val="00160F47"/>
    <w:rsid w:val="00177CA1"/>
    <w:rsid w:val="00183823"/>
    <w:rsid w:val="00183942"/>
    <w:rsid w:val="001915F6"/>
    <w:rsid w:val="001A009E"/>
    <w:rsid w:val="001A1287"/>
    <w:rsid w:val="001A3859"/>
    <w:rsid w:val="001A3C9D"/>
    <w:rsid w:val="001A43F8"/>
    <w:rsid w:val="001B79E5"/>
    <w:rsid w:val="001D136F"/>
    <w:rsid w:val="001D56F0"/>
    <w:rsid w:val="001D663B"/>
    <w:rsid w:val="001D7B41"/>
    <w:rsid w:val="001E46DA"/>
    <w:rsid w:val="001E7D80"/>
    <w:rsid w:val="001F4B6C"/>
    <w:rsid w:val="001F62CB"/>
    <w:rsid w:val="001F6ED0"/>
    <w:rsid w:val="001F72E6"/>
    <w:rsid w:val="001F73C5"/>
    <w:rsid w:val="002046A6"/>
    <w:rsid w:val="00204956"/>
    <w:rsid w:val="002061CA"/>
    <w:rsid w:val="002073B9"/>
    <w:rsid w:val="00213640"/>
    <w:rsid w:val="00221547"/>
    <w:rsid w:val="002216FC"/>
    <w:rsid w:val="00222533"/>
    <w:rsid w:val="00222F30"/>
    <w:rsid w:val="00224EE2"/>
    <w:rsid w:val="00227EC7"/>
    <w:rsid w:val="00244AD1"/>
    <w:rsid w:val="002463BC"/>
    <w:rsid w:val="002465CE"/>
    <w:rsid w:val="00251A0C"/>
    <w:rsid w:val="0025734A"/>
    <w:rsid w:val="00263255"/>
    <w:rsid w:val="00276494"/>
    <w:rsid w:val="00277B0C"/>
    <w:rsid w:val="0028306E"/>
    <w:rsid w:val="002853B4"/>
    <w:rsid w:val="0029183C"/>
    <w:rsid w:val="002949A6"/>
    <w:rsid w:val="002B1A2C"/>
    <w:rsid w:val="002B703A"/>
    <w:rsid w:val="002C34F2"/>
    <w:rsid w:val="002C58FF"/>
    <w:rsid w:val="002C7AFE"/>
    <w:rsid w:val="002D0583"/>
    <w:rsid w:val="002D05D2"/>
    <w:rsid w:val="002E0D61"/>
    <w:rsid w:val="002E4C7B"/>
    <w:rsid w:val="003006F9"/>
    <w:rsid w:val="0030740C"/>
    <w:rsid w:val="0031287A"/>
    <w:rsid w:val="00315833"/>
    <w:rsid w:val="003215EE"/>
    <w:rsid w:val="003224BF"/>
    <w:rsid w:val="003241A8"/>
    <w:rsid w:val="003253F0"/>
    <w:rsid w:val="0033212A"/>
    <w:rsid w:val="003337DA"/>
    <w:rsid w:val="00334EFB"/>
    <w:rsid w:val="00335CDE"/>
    <w:rsid w:val="003365A5"/>
    <w:rsid w:val="00343005"/>
    <w:rsid w:val="00347192"/>
    <w:rsid w:val="0034744C"/>
    <w:rsid w:val="00351FE0"/>
    <w:rsid w:val="00352615"/>
    <w:rsid w:val="0035412B"/>
    <w:rsid w:val="003567A8"/>
    <w:rsid w:val="00362895"/>
    <w:rsid w:val="00370DBF"/>
    <w:rsid w:val="00384989"/>
    <w:rsid w:val="00386093"/>
    <w:rsid w:val="003904A4"/>
    <w:rsid w:val="00391841"/>
    <w:rsid w:val="00391B6D"/>
    <w:rsid w:val="00394922"/>
    <w:rsid w:val="003A0E32"/>
    <w:rsid w:val="003A2B94"/>
    <w:rsid w:val="003B387D"/>
    <w:rsid w:val="003C0D58"/>
    <w:rsid w:val="003C2F4C"/>
    <w:rsid w:val="003D4FA3"/>
    <w:rsid w:val="003E0807"/>
    <w:rsid w:val="003E51FB"/>
    <w:rsid w:val="003E6B39"/>
    <w:rsid w:val="003F07E1"/>
    <w:rsid w:val="004030BC"/>
    <w:rsid w:val="00403F7D"/>
    <w:rsid w:val="00406785"/>
    <w:rsid w:val="004079B4"/>
    <w:rsid w:val="00417A56"/>
    <w:rsid w:val="00420957"/>
    <w:rsid w:val="00422A10"/>
    <w:rsid w:val="00430179"/>
    <w:rsid w:val="00431E1C"/>
    <w:rsid w:val="004414B5"/>
    <w:rsid w:val="00444482"/>
    <w:rsid w:val="00444B42"/>
    <w:rsid w:val="00445E44"/>
    <w:rsid w:val="004509E2"/>
    <w:rsid w:val="004515EE"/>
    <w:rsid w:val="004529F0"/>
    <w:rsid w:val="004542CD"/>
    <w:rsid w:val="00460A03"/>
    <w:rsid w:val="00472A11"/>
    <w:rsid w:val="00472AAD"/>
    <w:rsid w:val="00474E33"/>
    <w:rsid w:val="00476803"/>
    <w:rsid w:val="00485BFD"/>
    <w:rsid w:val="004867A2"/>
    <w:rsid w:val="004873F2"/>
    <w:rsid w:val="00490D4C"/>
    <w:rsid w:val="00493A35"/>
    <w:rsid w:val="0049527A"/>
    <w:rsid w:val="004966BF"/>
    <w:rsid w:val="00497984"/>
    <w:rsid w:val="004A5088"/>
    <w:rsid w:val="004A6D67"/>
    <w:rsid w:val="004B6174"/>
    <w:rsid w:val="004C1E3F"/>
    <w:rsid w:val="004C23F4"/>
    <w:rsid w:val="004C3475"/>
    <w:rsid w:val="004C58B6"/>
    <w:rsid w:val="004D16A3"/>
    <w:rsid w:val="004D4AA1"/>
    <w:rsid w:val="004D6D68"/>
    <w:rsid w:val="004E5EDD"/>
    <w:rsid w:val="004F448A"/>
    <w:rsid w:val="004F493D"/>
    <w:rsid w:val="004F65E8"/>
    <w:rsid w:val="004F780C"/>
    <w:rsid w:val="0050005E"/>
    <w:rsid w:val="00502B88"/>
    <w:rsid w:val="005142C4"/>
    <w:rsid w:val="0051509C"/>
    <w:rsid w:val="005272E2"/>
    <w:rsid w:val="0053108F"/>
    <w:rsid w:val="00532B56"/>
    <w:rsid w:val="00534B10"/>
    <w:rsid w:val="00534DD7"/>
    <w:rsid w:val="005446A2"/>
    <w:rsid w:val="00544D2F"/>
    <w:rsid w:val="00551BD8"/>
    <w:rsid w:val="005702F2"/>
    <w:rsid w:val="00581055"/>
    <w:rsid w:val="0059017B"/>
    <w:rsid w:val="00591E38"/>
    <w:rsid w:val="00593AA7"/>
    <w:rsid w:val="005A19C5"/>
    <w:rsid w:val="005A3034"/>
    <w:rsid w:val="005A462D"/>
    <w:rsid w:val="005B253B"/>
    <w:rsid w:val="005B771D"/>
    <w:rsid w:val="005C5D16"/>
    <w:rsid w:val="005D3193"/>
    <w:rsid w:val="005D4A6E"/>
    <w:rsid w:val="005D7968"/>
    <w:rsid w:val="005E6979"/>
    <w:rsid w:val="005E75CB"/>
    <w:rsid w:val="005F2979"/>
    <w:rsid w:val="006013C1"/>
    <w:rsid w:val="0060516A"/>
    <w:rsid w:val="0060669E"/>
    <w:rsid w:val="00610F2E"/>
    <w:rsid w:val="00611399"/>
    <w:rsid w:val="00624C4E"/>
    <w:rsid w:val="00625200"/>
    <w:rsid w:val="006363A8"/>
    <w:rsid w:val="00636DB7"/>
    <w:rsid w:val="006470AC"/>
    <w:rsid w:val="00650905"/>
    <w:rsid w:val="006532ED"/>
    <w:rsid w:val="006549F2"/>
    <w:rsid w:val="006567B7"/>
    <w:rsid w:val="00657BFB"/>
    <w:rsid w:val="0066333C"/>
    <w:rsid w:val="006639B4"/>
    <w:rsid w:val="006650FE"/>
    <w:rsid w:val="0067305D"/>
    <w:rsid w:val="00677D9B"/>
    <w:rsid w:val="006867F3"/>
    <w:rsid w:val="00687890"/>
    <w:rsid w:val="006901A2"/>
    <w:rsid w:val="00690368"/>
    <w:rsid w:val="0069079C"/>
    <w:rsid w:val="00690B53"/>
    <w:rsid w:val="00695B72"/>
    <w:rsid w:val="006B1332"/>
    <w:rsid w:val="006B160A"/>
    <w:rsid w:val="006B4E6C"/>
    <w:rsid w:val="006B50B6"/>
    <w:rsid w:val="006C559B"/>
    <w:rsid w:val="006D79EA"/>
    <w:rsid w:val="006D7D98"/>
    <w:rsid w:val="006D7FC3"/>
    <w:rsid w:val="006E5D05"/>
    <w:rsid w:val="00701053"/>
    <w:rsid w:val="00701507"/>
    <w:rsid w:val="0070216F"/>
    <w:rsid w:val="00714021"/>
    <w:rsid w:val="00716A0F"/>
    <w:rsid w:val="00717D45"/>
    <w:rsid w:val="007208F7"/>
    <w:rsid w:val="007218AF"/>
    <w:rsid w:val="007365D1"/>
    <w:rsid w:val="00740E0E"/>
    <w:rsid w:val="00750212"/>
    <w:rsid w:val="00754779"/>
    <w:rsid w:val="0075716D"/>
    <w:rsid w:val="00765F14"/>
    <w:rsid w:val="00766821"/>
    <w:rsid w:val="00770E31"/>
    <w:rsid w:val="00776FA1"/>
    <w:rsid w:val="007770F1"/>
    <w:rsid w:val="00783FB1"/>
    <w:rsid w:val="00785CDD"/>
    <w:rsid w:val="00791847"/>
    <w:rsid w:val="007925F0"/>
    <w:rsid w:val="007939B3"/>
    <w:rsid w:val="0079509C"/>
    <w:rsid w:val="00796708"/>
    <w:rsid w:val="007B1B42"/>
    <w:rsid w:val="007C30EB"/>
    <w:rsid w:val="007D0B1D"/>
    <w:rsid w:val="007D7532"/>
    <w:rsid w:val="007E063C"/>
    <w:rsid w:val="007E2A4B"/>
    <w:rsid w:val="007E307D"/>
    <w:rsid w:val="007E6A4E"/>
    <w:rsid w:val="007E6C94"/>
    <w:rsid w:val="007F1005"/>
    <w:rsid w:val="007F25E0"/>
    <w:rsid w:val="007F5328"/>
    <w:rsid w:val="00804059"/>
    <w:rsid w:val="00804089"/>
    <w:rsid w:val="00804F5A"/>
    <w:rsid w:val="00810C6D"/>
    <w:rsid w:val="00812887"/>
    <w:rsid w:val="00826D93"/>
    <w:rsid w:val="00826F21"/>
    <w:rsid w:val="00834CC8"/>
    <w:rsid w:val="00835E00"/>
    <w:rsid w:val="00837113"/>
    <w:rsid w:val="008414E4"/>
    <w:rsid w:val="00843E21"/>
    <w:rsid w:val="0084508E"/>
    <w:rsid w:val="00847FFC"/>
    <w:rsid w:val="00854C5D"/>
    <w:rsid w:val="00854EC9"/>
    <w:rsid w:val="00857A8A"/>
    <w:rsid w:val="008611DA"/>
    <w:rsid w:val="008630EE"/>
    <w:rsid w:val="00863CBF"/>
    <w:rsid w:val="00864D13"/>
    <w:rsid w:val="00871CD5"/>
    <w:rsid w:val="008745A2"/>
    <w:rsid w:val="008768A8"/>
    <w:rsid w:val="00883EC5"/>
    <w:rsid w:val="0088798F"/>
    <w:rsid w:val="00887E4B"/>
    <w:rsid w:val="008915C8"/>
    <w:rsid w:val="008A36CF"/>
    <w:rsid w:val="008A3BC4"/>
    <w:rsid w:val="008B069A"/>
    <w:rsid w:val="008B403C"/>
    <w:rsid w:val="008B7983"/>
    <w:rsid w:val="008C2511"/>
    <w:rsid w:val="008C2597"/>
    <w:rsid w:val="008D026D"/>
    <w:rsid w:val="008D23AB"/>
    <w:rsid w:val="008D4B8B"/>
    <w:rsid w:val="008D5A78"/>
    <w:rsid w:val="008E4F1F"/>
    <w:rsid w:val="008E7B64"/>
    <w:rsid w:val="008F5DCD"/>
    <w:rsid w:val="00900951"/>
    <w:rsid w:val="009118A6"/>
    <w:rsid w:val="00916909"/>
    <w:rsid w:val="00916EC0"/>
    <w:rsid w:val="00920467"/>
    <w:rsid w:val="00921DE7"/>
    <w:rsid w:val="009240F6"/>
    <w:rsid w:val="0093041A"/>
    <w:rsid w:val="00930714"/>
    <w:rsid w:val="00931B03"/>
    <w:rsid w:val="009323B9"/>
    <w:rsid w:val="00932DCE"/>
    <w:rsid w:val="0093327E"/>
    <w:rsid w:val="00934028"/>
    <w:rsid w:val="0093760E"/>
    <w:rsid w:val="00944906"/>
    <w:rsid w:val="00946044"/>
    <w:rsid w:val="0094660B"/>
    <w:rsid w:val="00946A33"/>
    <w:rsid w:val="0095260E"/>
    <w:rsid w:val="0095529F"/>
    <w:rsid w:val="009578DD"/>
    <w:rsid w:val="00961124"/>
    <w:rsid w:val="009621B6"/>
    <w:rsid w:val="009663ED"/>
    <w:rsid w:val="00974F2D"/>
    <w:rsid w:val="00977524"/>
    <w:rsid w:val="00977E88"/>
    <w:rsid w:val="00981801"/>
    <w:rsid w:val="00984920"/>
    <w:rsid w:val="0099303A"/>
    <w:rsid w:val="009971C2"/>
    <w:rsid w:val="009A1254"/>
    <w:rsid w:val="009A2715"/>
    <w:rsid w:val="009A277F"/>
    <w:rsid w:val="009A78B3"/>
    <w:rsid w:val="009B2FF2"/>
    <w:rsid w:val="009B380C"/>
    <w:rsid w:val="009B4843"/>
    <w:rsid w:val="009B6543"/>
    <w:rsid w:val="009C199D"/>
    <w:rsid w:val="009C278F"/>
    <w:rsid w:val="009C2B94"/>
    <w:rsid w:val="009C5874"/>
    <w:rsid w:val="009D3B5A"/>
    <w:rsid w:val="009E0C05"/>
    <w:rsid w:val="009E0D1C"/>
    <w:rsid w:val="009E10BE"/>
    <w:rsid w:val="009E2214"/>
    <w:rsid w:val="009E355A"/>
    <w:rsid w:val="009E63E2"/>
    <w:rsid w:val="009F04D2"/>
    <w:rsid w:val="009F05CF"/>
    <w:rsid w:val="009F0F3A"/>
    <w:rsid w:val="00A01D0C"/>
    <w:rsid w:val="00A02CD4"/>
    <w:rsid w:val="00A0643F"/>
    <w:rsid w:val="00A067EE"/>
    <w:rsid w:val="00A10FCE"/>
    <w:rsid w:val="00A16D91"/>
    <w:rsid w:val="00A174CC"/>
    <w:rsid w:val="00A2073D"/>
    <w:rsid w:val="00A20751"/>
    <w:rsid w:val="00A27E2D"/>
    <w:rsid w:val="00A31D99"/>
    <w:rsid w:val="00A357BA"/>
    <w:rsid w:val="00A35ADC"/>
    <w:rsid w:val="00A402A3"/>
    <w:rsid w:val="00A53681"/>
    <w:rsid w:val="00A5565E"/>
    <w:rsid w:val="00A633D4"/>
    <w:rsid w:val="00A6461A"/>
    <w:rsid w:val="00A84504"/>
    <w:rsid w:val="00A84F00"/>
    <w:rsid w:val="00A8672F"/>
    <w:rsid w:val="00A93057"/>
    <w:rsid w:val="00A968B0"/>
    <w:rsid w:val="00AB2672"/>
    <w:rsid w:val="00AB2817"/>
    <w:rsid w:val="00AB43C4"/>
    <w:rsid w:val="00AB62D9"/>
    <w:rsid w:val="00AC32E7"/>
    <w:rsid w:val="00AC3A9F"/>
    <w:rsid w:val="00AC6D2F"/>
    <w:rsid w:val="00AD7DAB"/>
    <w:rsid w:val="00AE2745"/>
    <w:rsid w:val="00AE2F64"/>
    <w:rsid w:val="00AE3A77"/>
    <w:rsid w:val="00AF42CB"/>
    <w:rsid w:val="00AF483F"/>
    <w:rsid w:val="00AF5E07"/>
    <w:rsid w:val="00AF5F06"/>
    <w:rsid w:val="00B00A25"/>
    <w:rsid w:val="00B06890"/>
    <w:rsid w:val="00B1422A"/>
    <w:rsid w:val="00B145DB"/>
    <w:rsid w:val="00B1765C"/>
    <w:rsid w:val="00B213C4"/>
    <w:rsid w:val="00B40C60"/>
    <w:rsid w:val="00B479A9"/>
    <w:rsid w:val="00B52EDF"/>
    <w:rsid w:val="00B62E25"/>
    <w:rsid w:val="00B70682"/>
    <w:rsid w:val="00B71188"/>
    <w:rsid w:val="00B72982"/>
    <w:rsid w:val="00B76A41"/>
    <w:rsid w:val="00B87D4C"/>
    <w:rsid w:val="00B93646"/>
    <w:rsid w:val="00BA0B38"/>
    <w:rsid w:val="00BA1DBB"/>
    <w:rsid w:val="00BA4510"/>
    <w:rsid w:val="00BA529A"/>
    <w:rsid w:val="00BB612A"/>
    <w:rsid w:val="00BD499F"/>
    <w:rsid w:val="00BD56DE"/>
    <w:rsid w:val="00BE0B61"/>
    <w:rsid w:val="00BF2406"/>
    <w:rsid w:val="00C0187F"/>
    <w:rsid w:val="00C06E43"/>
    <w:rsid w:val="00C16315"/>
    <w:rsid w:val="00C3091E"/>
    <w:rsid w:val="00C376E6"/>
    <w:rsid w:val="00C40FF1"/>
    <w:rsid w:val="00C419E2"/>
    <w:rsid w:val="00C442AF"/>
    <w:rsid w:val="00C5020E"/>
    <w:rsid w:val="00C5729B"/>
    <w:rsid w:val="00C57452"/>
    <w:rsid w:val="00C61EDF"/>
    <w:rsid w:val="00C6239D"/>
    <w:rsid w:val="00C6594B"/>
    <w:rsid w:val="00C67FFB"/>
    <w:rsid w:val="00C7155E"/>
    <w:rsid w:val="00C71D1E"/>
    <w:rsid w:val="00C71D7D"/>
    <w:rsid w:val="00C73BCB"/>
    <w:rsid w:val="00C74833"/>
    <w:rsid w:val="00C82998"/>
    <w:rsid w:val="00C850A0"/>
    <w:rsid w:val="00C85A86"/>
    <w:rsid w:val="00C92671"/>
    <w:rsid w:val="00C978F0"/>
    <w:rsid w:val="00CA58FE"/>
    <w:rsid w:val="00CB1CB1"/>
    <w:rsid w:val="00CB2585"/>
    <w:rsid w:val="00CB6BC1"/>
    <w:rsid w:val="00CB6CB8"/>
    <w:rsid w:val="00CC1A68"/>
    <w:rsid w:val="00CC2123"/>
    <w:rsid w:val="00CD0E31"/>
    <w:rsid w:val="00CD2BFD"/>
    <w:rsid w:val="00CD5585"/>
    <w:rsid w:val="00CE5AD6"/>
    <w:rsid w:val="00CE617F"/>
    <w:rsid w:val="00CE78EF"/>
    <w:rsid w:val="00D01584"/>
    <w:rsid w:val="00D048F7"/>
    <w:rsid w:val="00D0517E"/>
    <w:rsid w:val="00D122C2"/>
    <w:rsid w:val="00D140FC"/>
    <w:rsid w:val="00D21D8C"/>
    <w:rsid w:val="00D31357"/>
    <w:rsid w:val="00D33220"/>
    <w:rsid w:val="00D334D1"/>
    <w:rsid w:val="00D44C89"/>
    <w:rsid w:val="00D516CD"/>
    <w:rsid w:val="00D668E6"/>
    <w:rsid w:val="00D70670"/>
    <w:rsid w:val="00D734F3"/>
    <w:rsid w:val="00D74D80"/>
    <w:rsid w:val="00D76624"/>
    <w:rsid w:val="00D87570"/>
    <w:rsid w:val="00D91CB9"/>
    <w:rsid w:val="00D97989"/>
    <w:rsid w:val="00D97D8D"/>
    <w:rsid w:val="00DA352E"/>
    <w:rsid w:val="00DC7694"/>
    <w:rsid w:val="00DD1BF6"/>
    <w:rsid w:val="00DD2F9B"/>
    <w:rsid w:val="00DE2513"/>
    <w:rsid w:val="00DE26E8"/>
    <w:rsid w:val="00DF6F36"/>
    <w:rsid w:val="00E0084C"/>
    <w:rsid w:val="00E025AB"/>
    <w:rsid w:val="00E02B23"/>
    <w:rsid w:val="00E06F40"/>
    <w:rsid w:val="00E07CE8"/>
    <w:rsid w:val="00E26A07"/>
    <w:rsid w:val="00E32595"/>
    <w:rsid w:val="00E37CFD"/>
    <w:rsid w:val="00E41A26"/>
    <w:rsid w:val="00E46BCB"/>
    <w:rsid w:val="00E51CAF"/>
    <w:rsid w:val="00E60F04"/>
    <w:rsid w:val="00E62AAC"/>
    <w:rsid w:val="00E67C2F"/>
    <w:rsid w:val="00E67EF5"/>
    <w:rsid w:val="00E804EA"/>
    <w:rsid w:val="00E80A71"/>
    <w:rsid w:val="00E82337"/>
    <w:rsid w:val="00E92499"/>
    <w:rsid w:val="00E9457B"/>
    <w:rsid w:val="00E949AF"/>
    <w:rsid w:val="00E96077"/>
    <w:rsid w:val="00E97891"/>
    <w:rsid w:val="00E97C76"/>
    <w:rsid w:val="00EA0A06"/>
    <w:rsid w:val="00EA6243"/>
    <w:rsid w:val="00EA74AB"/>
    <w:rsid w:val="00EB3D1B"/>
    <w:rsid w:val="00EB7AE2"/>
    <w:rsid w:val="00ED125F"/>
    <w:rsid w:val="00ED1D89"/>
    <w:rsid w:val="00ED66BC"/>
    <w:rsid w:val="00EF0829"/>
    <w:rsid w:val="00EF233A"/>
    <w:rsid w:val="00EF303E"/>
    <w:rsid w:val="00EF3A40"/>
    <w:rsid w:val="00EF7F78"/>
    <w:rsid w:val="00F01B08"/>
    <w:rsid w:val="00F01C4D"/>
    <w:rsid w:val="00F04E65"/>
    <w:rsid w:val="00F053FA"/>
    <w:rsid w:val="00F10C97"/>
    <w:rsid w:val="00F11C71"/>
    <w:rsid w:val="00F16019"/>
    <w:rsid w:val="00F20E68"/>
    <w:rsid w:val="00F22093"/>
    <w:rsid w:val="00F236DF"/>
    <w:rsid w:val="00F236F1"/>
    <w:rsid w:val="00F43AD5"/>
    <w:rsid w:val="00F4402E"/>
    <w:rsid w:val="00F56DD0"/>
    <w:rsid w:val="00F6491C"/>
    <w:rsid w:val="00F67BBB"/>
    <w:rsid w:val="00F87D92"/>
    <w:rsid w:val="00F90AA7"/>
    <w:rsid w:val="00F92498"/>
    <w:rsid w:val="00F9496B"/>
    <w:rsid w:val="00F970C9"/>
    <w:rsid w:val="00FA06A8"/>
    <w:rsid w:val="00FA30D8"/>
    <w:rsid w:val="00FA3DF5"/>
    <w:rsid w:val="00FA741F"/>
    <w:rsid w:val="00FB4E07"/>
    <w:rsid w:val="00FB755A"/>
    <w:rsid w:val="00FC09E8"/>
    <w:rsid w:val="00FC60A2"/>
    <w:rsid w:val="00FD1871"/>
    <w:rsid w:val="00FD3110"/>
    <w:rsid w:val="00FE59BC"/>
    <w:rsid w:val="00FF3EA1"/>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5AD9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8E4F1F"/>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styleId="CommentReference">
    <w:name w:val="annotation reference"/>
    <w:basedOn w:val="DefaultParagraphFont"/>
    <w:uiPriority w:val="99"/>
    <w:semiHidden/>
    <w:unhideWhenUsed/>
    <w:rsid w:val="00804059"/>
    <w:rPr>
      <w:sz w:val="16"/>
      <w:szCs w:val="16"/>
    </w:rPr>
  </w:style>
  <w:style w:type="paragraph" w:styleId="CommentText">
    <w:name w:val="annotation text"/>
    <w:basedOn w:val="Normal"/>
    <w:link w:val="CommentTextChar"/>
    <w:uiPriority w:val="99"/>
    <w:semiHidden/>
    <w:unhideWhenUsed/>
    <w:rsid w:val="00804059"/>
    <w:pPr>
      <w:spacing w:line="240" w:lineRule="auto"/>
    </w:pPr>
    <w:rPr>
      <w:szCs w:val="20"/>
    </w:rPr>
  </w:style>
  <w:style w:type="character" w:customStyle="1" w:styleId="CommentTextChar">
    <w:name w:val="Comment Text Char"/>
    <w:basedOn w:val="DefaultParagraphFont"/>
    <w:link w:val="CommentText"/>
    <w:uiPriority w:val="99"/>
    <w:semiHidden/>
    <w:rsid w:val="00804059"/>
    <w:rPr>
      <w:szCs w:val="20"/>
    </w:rPr>
  </w:style>
  <w:style w:type="paragraph" w:styleId="CommentSubject">
    <w:name w:val="annotation subject"/>
    <w:basedOn w:val="CommentText"/>
    <w:next w:val="CommentText"/>
    <w:link w:val="CommentSubjectChar"/>
    <w:uiPriority w:val="99"/>
    <w:semiHidden/>
    <w:unhideWhenUsed/>
    <w:rsid w:val="00804059"/>
    <w:rPr>
      <w:b/>
      <w:bCs/>
    </w:rPr>
  </w:style>
  <w:style w:type="character" w:customStyle="1" w:styleId="CommentSubjectChar">
    <w:name w:val="Comment Subject Char"/>
    <w:basedOn w:val="CommentTextChar"/>
    <w:link w:val="CommentSubject"/>
    <w:uiPriority w:val="99"/>
    <w:semiHidden/>
    <w:rsid w:val="00804059"/>
    <w:rPr>
      <w:b/>
      <w:bCs/>
      <w:szCs w:val="20"/>
    </w:rPr>
  </w:style>
  <w:style w:type="paragraph" w:styleId="ListBullet">
    <w:name w:val="List Bullet"/>
    <w:basedOn w:val="Normal"/>
    <w:uiPriority w:val="99"/>
    <w:unhideWhenUsed/>
    <w:rsid w:val="004B617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466313">
      <w:bodyDiv w:val="1"/>
      <w:marLeft w:val="0"/>
      <w:marRight w:val="0"/>
      <w:marTop w:val="0"/>
      <w:marBottom w:val="0"/>
      <w:divBdr>
        <w:top w:val="none" w:sz="0" w:space="0" w:color="auto"/>
        <w:left w:val="none" w:sz="0" w:space="0" w:color="auto"/>
        <w:bottom w:val="none" w:sz="0" w:space="0" w:color="auto"/>
        <w:right w:val="none" w:sz="0" w:space="0" w:color="auto"/>
      </w:divBdr>
    </w:div>
    <w:div w:id="1056396194">
      <w:bodyDiv w:val="1"/>
      <w:marLeft w:val="0"/>
      <w:marRight w:val="0"/>
      <w:marTop w:val="0"/>
      <w:marBottom w:val="0"/>
      <w:divBdr>
        <w:top w:val="none" w:sz="0" w:space="0" w:color="auto"/>
        <w:left w:val="none" w:sz="0" w:space="0" w:color="auto"/>
        <w:bottom w:val="none" w:sz="0" w:space="0" w:color="auto"/>
        <w:right w:val="none" w:sz="0" w:space="0" w:color="auto"/>
      </w:divBdr>
    </w:div>
    <w:div w:id="198823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EA32968BF93744FAABC5FC124DBE04BD"/>
        <w:category>
          <w:name w:val="General"/>
          <w:gallery w:val="placeholder"/>
        </w:category>
        <w:types>
          <w:type w:val="bbPlcHdr"/>
        </w:types>
        <w:behaviors>
          <w:behavior w:val="content"/>
        </w:behaviors>
        <w:guid w:val="{E83D2459-1556-46A4-AC27-2E79E2305DAC}"/>
      </w:docPartPr>
      <w:docPartBody>
        <w:p w:rsidR="00D21A9F" w:rsidRDefault="00D21A9F">
          <w:pPr>
            <w:pStyle w:val="EA32968BF93744FAABC5FC124DBE04BD"/>
          </w:pPr>
          <w:r w:rsidRPr="00724F1C">
            <w:rPr>
              <w:rStyle w:val="PlaceholderText"/>
            </w:rPr>
            <w:t>Choose an item.</w:t>
          </w:r>
        </w:p>
      </w:docPartBody>
    </w:docPart>
    <w:docPart>
      <w:docPartPr>
        <w:name w:val="320A77D155374054996F168A20882C28"/>
        <w:category>
          <w:name w:val="General"/>
          <w:gallery w:val="placeholder"/>
        </w:category>
        <w:types>
          <w:type w:val="bbPlcHdr"/>
        </w:types>
        <w:behaviors>
          <w:behavior w:val="content"/>
        </w:behaviors>
        <w:guid w:val="{F4DC0181-19B2-490D-83F0-D85D1689E2A9}"/>
      </w:docPartPr>
      <w:docPartBody>
        <w:p w:rsidR="00D21A9F" w:rsidRDefault="00D21A9F">
          <w:pPr>
            <w:pStyle w:val="320A77D155374054996F168A20882C28"/>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5CBFEC560F894890BBD09B93174FFAE0"/>
        <w:category>
          <w:name w:val="General"/>
          <w:gallery w:val="placeholder"/>
        </w:category>
        <w:types>
          <w:type w:val="bbPlcHdr"/>
        </w:types>
        <w:behaviors>
          <w:behavior w:val="content"/>
        </w:behaviors>
        <w:guid w:val="{7DD8AA47-26C1-43F2-BE0B-3C03EF3669BD}"/>
      </w:docPartPr>
      <w:docPartBody>
        <w:p w:rsidR="00D21A9F" w:rsidRDefault="00D21A9F">
          <w:pPr>
            <w:pStyle w:val="5CBFEC560F894890BBD09B93174FFAE0"/>
          </w:pPr>
          <w:r w:rsidRPr="00F4402E">
            <w:rPr>
              <w:rStyle w:val="PlaceholderText"/>
              <w:color w:val="FFFFFF" w:themeColor="background1"/>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812CBB1116B54ED286AAFCCCE2BA0818"/>
        <w:category>
          <w:name w:val="General"/>
          <w:gallery w:val="placeholder"/>
        </w:category>
        <w:types>
          <w:type w:val="bbPlcHdr"/>
        </w:types>
        <w:behaviors>
          <w:behavior w:val="content"/>
        </w:behaviors>
        <w:guid w:val="{1A5548AC-F66D-4BF5-B2DB-A600719EADA3}"/>
      </w:docPartPr>
      <w:docPartBody>
        <w:p w:rsidR="008D77C1" w:rsidRDefault="00EA25A4" w:rsidP="00EA25A4">
          <w:pPr>
            <w:pStyle w:val="812CBB1116B54ED286AAFCCCE2BA0818"/>
          </w:pPr>
          <w:r>
            <w:rPr>
              <w:rStyle w:val="PlaceholderText"/>
            </w:rPr>
            <w:t>Has this value changed?</w:t>
          </w:r>
        </w:p>
      </w:docPartBody>
    </w:docPart>
    <w:docPart>
      <w:docPartPr>
        <w:name w:val="B45907C2E3E04BFEAAD52061E9725024"/>
        <w:category>
          <w:name w:val="General"/>
          <w:gallery w:val="placeholder"/>
        </w:category>
        <w:types>
          <w:type w:val="bbPlcHdr"/>
        </w:types>
        <w:behaviors>
          <w:behavior w:val="content"/>
        </w:behaviors>
        <w:guid w:val="{AE29C65A-FF82-462E-98D6-4B16CA278D37}"/>
      </w:docPartPr>
      <w:docPartBody>
        <w:p w:rsidR="003A4E71" w:rsidRDefault="00BC76AA" w:rsidP="00BC76AA">
          <w:pPr>
            <w:pStyle w:val="B45907C2E3E04BFEAAD52061E9725024"/>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347D16"/>
    <w:rsid w:val="003A4E71"/>
    <w:rsid w:val="003E0149"/>
    <w:rsid w:val="00546EE7"/>
    <w:rsid w:val="00853F1C"/>
    <w:rsid w:val="008D77C1"/>
    <w:rsid w:val="00BC76AA"/>
    <w:rsid w:val="00D21A9F"/>
    <w:rsid w:val="00EA25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6AA"/>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5CFDE21C857404F9FEFED685E085F4D">
    <w:name w:val="B5CFDE21C857404F9FEFED685E085F4D"/>
    <w:rsid w:val="00347D16"/>
    <w:rPr>
      <w:lang w:val="en-US" w:eastAsia="en-US"/>
    </w:rPr>
  </w:style>
  <w:style w:type="paragraph" w:customStyle="1" w:styleId="6BB57C39631949C4B4C47D3978D25A26">
    <w:name w:val="6BB57C39631949C4B4C47D3978D25A26"/>
    <w:rsid w:val="00347D16"/>
    <w:rPr>
      <w:lang w:val="en-US" w:eastAsia="en-US"/>
    </w:rPr>
  </w:style>
  <w:style w:type="paragraph" w:customStyle="1" w:styleId="F6336CC4CFA040E9B9321C7AA205723D">
    <w:name w:val="F6336CC4CFA040E9B9321C7AA205723D"/>
    <w:rsid w:val="00347D16"/>
    <w:rPr>
      <w:lang w:val="en-US" w:eastAsia="en-US"/>
    </w:rPr>
  </w:style>
  <w:style w:type="paragraph" w:customStyle="1" w:styleId="58AB8EB8E0694D709F78DDDDFF8053AF">
    <w:name w:val="58AB8EB8E0694D709F78DDDDFF8053AF"/>
    <w:rsid w:val="00347D16"/>
    <w:rPr>
      <w:lang w:val="en-US" w:eastAsia="en-US"/>
    </w:rPr>
  </w:style>
  <w:style w:type="paragraph" w:customStyle="1" w:styleId="D83A27157E294A98BF103E9BA5C24469">
    <w:name w:val="D83A27157E294A98BF103E9BA5C24469"/>
    <w:rsid w:val="00347D16"/>
    <w:rPr>
      <w:lang w:val="en-US" w:eastAsia="en-US"/>
    </w:rPr>
  </w:style>
  <w:style w:type="paragraph" w:customStyle="1" w:styleId="C02304FCE5E444CC91858DC7F6B36569">
    <w:name w:val="C02304FCE5E444CC91858DC7F6B36569"/>
    <w:rsid w:val="00347D16"/>
    <w:rPr>
      <w:lang w:val="en-US" w:eastAsia="en-US"/>
    </w:rPr>
  </w:style>
  <w:style w:type="paragraph" w:customStyle="1" w:styleId="0CA242CE4A894B91804C854EFF498506">
    <w:name w:val="0CA242CE4A894B91804C854EFF498506"/>
    <w:rsid w:val="00347D16"/>
    <w:rPr>
      <w:lang w:val="en-US" w:eastAsia="en-US"/>
    </w:rPr>
  </w:style>
  <w:style w:type="paragraph" w:customStyle="1" w:styleId="E4C65E42AA1B46E49036B1117E798206">
    <w:name w:val="E4C65E42AA1B46E49036B1117E798206"/>
    <w:rsid w:val="00347D16"/>
    <w:rPr>
      <w:lang w:val="en-US" w:eastAsia="en-US"/>
    </w:rPr>
  </w:style>
  <w:style w:type="paragraph" w:customStyle="1" w:styleId="765596AF291C401F8FF734B196C5B66D">
    <w:name w:val="765596AF291C401F8FF734B196C5B66D"/>
    <w:rsid w:val="00347D16"/>
    <w:rPr>
      <w:lang w:val="en-US" w:eastAsia="en-US"/>
    </w:rPr>
  </w:style>
  <w:style w:type="paragraph" w:customStyle="1" w:styleId="E1F508F611B14EAD81A9E7706A8B0D6B">
    <w:name w:val="E1F508F611B14EAD81A9E7706A8B0D6B"/>
    <w:rsid w:val="00347D16"/>
    <w:rPr>
      <w:lang w:val="en-US" w:eastAsia="en-US"/>
    </w:rPr>
  </w:style>
  <w:style w:type="paragraph" w:customStyle="1" w:styleId="34F7093F5FBF4BA8A1CB5E44087BC282">
    <w:name w:val="34F7093F5FBF4BA8A1CB5E44087BC282"/>
    <w:rsid w:val="00347D16"/>
    <w:rPr>
      <w:lang w:val="en-US" w:eastAsia="en-US"/>
    </w:rPr>
  </w:style>
  <w:style w:type="paragraph" w:customStyle="1" w:styleId="26FC8EB56520491CACA9FCEB0ECBEB87">
    <w:name w:val="26FC8EB56520491CACA9FCEB0ECBEB87"/>
    <w:rsid w:val="00347D16"/>
    <w:rPr>
      <w:lang w:val="en-US" w:eastAsia="en-US"/>
    </w:rPr>
  </w:style>
  <w:style w:type="paragraph" w:customStyle="1" w:styleId="BD790799C48E499DAA3B2110345ED3D6">
    <w:name w:val="BD790799C48E499DAA3B2110345ED3D6"/>
    <w:rsid w:val="00347D16"/>
    <w:rPr>
      <w:lang w:val="en-US" w:eastAsia="en-US"/>
    </w:rPr>
  </w:style>
  <w:style w:type="paragraph" w:customStyle="1" w:styleId="3449B0DC08A1430EB9AEF6ED75130148">
    <w:name w:val="3449B0DC08A1430EB9AEF6ED75130148"/>
    <w:rsid w:val="00347D16"/>
    <w:rPr>
      <w:lang w:val="en-US" w:eastAsia="en-US"/>
    </w:rPr>
  </w:style>
  <w:style w:type="paragraph" w:customStyle="1" w:styleId="D8858E08CDF0401CB750E98F7CA8DE9B">
    <w:name w:val="D8858E08CDF0401CB750E98F7CA8DE9B"/>
    <w:rsid w:val="00347D16"/>
    <w:rPr>
      <w:lang w:val="en-US" w:eastAsia="en-US"/>
    </w:rPr>
  </w:style>
  <w:style w:type="paragraph" w:customStyle="1" w:styleId="3E37342461F94466AC5FC31DE44A5773">
    <w:name w:val="3E37342461F94466AC5FC31DE44A5773"/>
    <w:rsid w:val="00347D16"/>
    <w:rPr>
      <w:lang w:val="en-US" w:eastAsia="en-US"/>
    </w:rPr>
  </w:style>
  <w:style w:type="paragraph" w:customStyle="1" w:styleId="FF4B5AA193D14B4CA9A1E95ECAB9F3C9">
    <w:name w:val="FF4B5AA193D14B4CA9A1E95ECAB9F3C9"/>
    <w:rsid w:val="00347D16"/>
    <w:rPr>
      <w:lang w:val="en-US" w:eastAsia="en-US"/>
    </w:rPr>
  </w:style>
  <w:style w:type="paragraph" w:customStyle="1" w:styleId="C0C66143CD704D439CDB5BE6C54F4B45">
    <w:name w:val="C0C66143CD704D439CDB5BE6C54F4B45"/>
    <w:rsid w:val="00347D16"/>
    <w:rPr>
      <w:lang w:val="en-US" w:eastAsia="en-US"/>
    </w:rPr>
  </w:style>
  <w:style w:type="paragraph" w:customStyle="1" w:styleId="E035055C98A7460090CF375CCF93B664">
    <w:name w:val="E035055C98A7460090CF375CCF93B664"/>
    <w:rsid w:val="00347D16"/>
    <w:rPr>
      <w:lang w:val="en-US" w:eastAsia="en-US"/>
    </w:rPr>
  </w:style>
  <w:style w:type="paragraph" w:customStyle="1" w:styleId="44ABE665556845C0BEFD555ED8765A6C">
    <w:name w:val="44ABE665556845C0BEFD555ED8765A6C"/>
    <w:rsid w:val="00347D16"/>
    <w:rPr>
      <w:lang w:val="en-US" w:eastAsia="en-US"/>
    </w:rPr>
  </w:style>
  <w:style w:type="paragraph" w:customStyle="1" w:styleId="4435E3CDB9FB44189EC6DC83A9A444D6">
    <w:name w:val="4435E3CDB9FB44189EC6DC83A9A444D6"/>
    <w:rsid w:val="00347D16"/>
    <w:rPr>
      <w:lang w:val="en-US" w:eastAsia="en-US"/>
    </w:rPr>
  </w:style>
  <w:style w:type="paragraph" w:customStyle="1" w:styleId="1CC15CBB93EB481CB8D82FFE5BFD2D9B">
    <w:name w:val="1CC15CBB93EB481CB8D82FFE5BFD2D9B"/>
    <w:rsid w:val="00347D16"/>
    <w:rPr>
      <w:lang w:val="en-US" w:eastAsia="en-US"/>
    </w:rPr>
  </w:style>
  <w:style w:type="paragraph" w:customStyle="1" w:styleId="E715A9059B4D4192BFF43F02640F6538">
    <w:name w:val="E715A9059B4D4192BFF43F02640F6538"/>
    <w:rsid w:val="00347D16"/>
    <w:rPr>
      <w:lang w:val="en-US" w:eastAsia="en-US"/>
    </w:rPr>
  </w:style>
  <w:style w:type="paragraph" w:customStyle="1" w:styleId="0BA82130F7D946FFA18908296418232F">
    <w:name w:val="0BA82130F7D946FFA18908296418232F"/>
    <w:rsid w:val="00347D16"/>
    <w:rPr>
      <w:lang w:val="en-US" w:eastAsia="en-US"/>
    </w:rPr>
  </w:style>
  <w:style w:type="paragraph" w:customStyle="1" w:styleId="29CEDC1DEFB64CBCB141AE461C60BD40">
    <w:name w:val="29CEDC1DEFB64CBCB141AE461C60BD40"/>
    <w:rsid w:val="00347D16"/>
    <w:rPr>
      <w:lang w:val="en-US" w:eastAsia="en-US"/>
    </w:rPr>
  </w:style>
  <w:style w:type="paragraph" w:customStyle="1" w:styleId="1FE3EE30DD3940DB82381ABC845380CB">
    <w:name w:val="1FE3EE30DD3940DB82381ABC845380CB"/>
    <w:rsid w:val="00347D16"/>
    <w:rPr>
      <w:lang w:val="en-US" w:eastAsia="en-US"/>
    </w:rPr>
  </w:style>
  <w:style w:type="paragraph" w:customStyle="1" w:styleId="6159E7D7E1784F989FAB17CA95A66931">
    <w:name w:val="6159E7D7E1784F989FAB17CA95A66931"/>
    <w:rsid w:val="00347D16"/>
    <w:rPr>
      <w:lang w:val="en-US" w:eastAsia="en-US"/>
    </w:rPr>
  </w:style>
  <w:style w:type="paragraph" w:customStyle="1" w:styleId="A7967B9552E94A109AFB97AE998EDBEC">
    <w:name w:val="A7967B9552E94A109AFB97AE998EDBEC"/>
    <w:rsid w:val="00347D16"/>
    <w:rPr>
      <w:lang w:val="en-US" w:eastAsia="en-US"/>
    </w:rPr>
  </w:style>
  <w:style w:type="paragraph" w:customStyle="1" w:styleId="85303D690FD640D08170C75075190C4B">
    <w:name w:val="85303D690FD640D08170C75075190C4B"/>
    <w:rsid w:val="00347D16"/>
    <w:rPr>
      <w:lang w:val="en-US" w:eastAsia="en-US"/>
    </w:rPr>
  </w:style>
  <w:style w:type="paragraph" w:customStyle="1" w:styleId="A070BFA618804340AABDA79FF681FE29">
    <w:name w:val="A070BFA618804340AABDA79FF681FE29"/>
    <w:rsid w:val="00347D16"/>
    <w:rPr>
      <w:lang w:val="en-US" w:eastAsia="en-US"/>
    </w:rPr>
  </w:style>
  <w:style w:type="paragraph" w:customStyle="1" w:styleId="364F05E0071B464399205E1EA7EF0B93">
    <w:name w:val="364F05E0071B464399205E1EA7EF0B93"/>
    <w:rsid w:val="00347D16"/>
    <w:rPr>
      <w:lang w:val="en-US" w:eastAsia="en-US"/>
    </w:rPr>
  </w:style>
  <w:style w:type="paragraph" w:customStyle="1" w:styleId="2CB4F544E2C14C8FA4754C0EF86EDCBB">
    <w:name w:val="2CB4F544E2C14C8FA4754C0EF86EDCBB"/>
    <w:rsid w:val="00347D16"/>
    <w:rPr>
      <w:lang w:val="en-US" w:eastAsia="en-US"/>
    </w:rPr>
  </w:style>
  <w:style w:type="paragraph" w:customStyle="1" w:styleId="FB0307FD2095404C9CFBE1E594ADF091">
    <w:name w:val="FB0307FD2095404C9CFBE1E594ADF091"/>
    <w:rsid w:val="00347D16"/>
    <w:rPr>
      <w:lang w:val="en-US" w:eastAsia="en-US"/>
    </w:rPr>
  </w:style>
  <w:style w:type="paragraph" w:customStyle="1" w:styleId="A076971D269D49F190680C4D26C5D6D6">
    <w:name w:val="A076971D269D49F190680C4D26C5D6D6"/>
    <w:rsid w:val="00347D16"/>
    <w:rPr>
      <w:lang w:val="en-US" w:eastAsia="en-US"/>
    </w:rPr>
  </w:style>
  <w:style w:type="paragraph" w:customStyle="1" w:styleId="812CBB1116B54ED286AAFCCCE2BA0818">
    <w:name w:val="812CBB1116B54ED286AAFCCCE2BA0818"/>
    <w:rsid w:val="00EA25A4"/>
  </w:style>
  <w:style w:type="paragraph" w:customStyle="1" w:styleId="B45907C2E3E04BFEAAD52061E9725024">
    <w:name w:val="B45907C2E3E04BFEAAD52061E9725024"/>
    <w:rsid w:val="00BC7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8440B83D59604CAF872C6C0778D4EE" ma:contentTypeVersion="4" ma:contentTypeDescription="Create a new document." ma:contentTypeScope="" ma:versionID="13b51b7518afb46499292cdac2b630da">
  <xsd:schema xmlns:xsd="http://www.w3.org/2001/XMLSchema" xmlns:xs="http://www.w3.org/2001/XMLSchema" xmlns:p="http://schemas.microsoft.com/office/2006/metadata/properties" xmlns:ns2="4d89c9d3-cf9d-4152-ac9f-ad3059f15688" targetNamespace="http://schemas.microsoft.com/office/2006/metadata/properties" ma:root="true" ma:fieldsID="328df578f351ff0db5c2ec2ce4235965" ns2:_="">
    <xsd:import namespace="4d89c9d3-cf9d-4152-ac9f-ad3059f156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9c9d3-cf9d-4152-ac9f-ad3059f15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5286-71FE-45D4-8910-4823427457D8}">
  <ds:schemaRefs>
    <ds:schemaRef ds:uri="http://schemas.microsoft.com/office/2006/documentManagement/types"/>
    <ds:schemaRef ds:uri="4d89c9d3-cf9d-4152-ac9f-ad3059f15688"/>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B86215-8F89-42D2-A0D1-4377B3639137}">
  <ds:schemaRefs>
    <ds:schemaRef ds:uri="http://schemas.microsoft.com/sharepoint/v3/contenttype/forms"/>
  </ds:schemaRefs>
</ds:datastoreItem>
</file>

<file path=customXml/itemProps3.xml><?xml version="1.0" encoding="utf-8"?>
<ds:datastoreItem xmlns:ds="http://schemas.openxmlformats.org/officeDocument/2006/customXml" ds:itemID="{2C01EDFA-A818-49EE-8195-7980752D0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9c9d3-cf9d-4152-ac9f-ad3059f15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71AE3-12AF-4979-B63B-FE124102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2020-03-18T04:20:00Z</dcterms:created>
  <dcterms:modified xsi:type="dcterms:W3CDTF">2020-07-21T00:32:00Z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0x010100ED8440B83D59604CAF872C6C0778D4EE</vt:lpwstr>
  </property>
</Properties>
</file>