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C936ECD" w14:textId="77777777" w:rsidR="00BD499F" w:rsidRPr="004C23F4" w:rsidRDefault="00881369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Phorate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33F21550" w14:textId="77777777" w:rsidTr="00B76A41">
        <w:trPr>
          <w:cantSplit/>
          <w:tblHeader/>
        </w:trPr>
        <w:tc>
          <w:tcPr>
            <w:tcW w:w="4077" w:type="dxa"/>
          </w:tcPr>
          <w:p w14:paraId="3F0EB6FE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28F0651" w14:textId="77777777" w:rsidR="00F43AD5" w:rsidRPr="00717D45" w:rsidRDefault="00A3760C" w:rsidP="00B76A41">
            <w:pPr>
              <w:pStyle w:val="Tablefont"/>
            </w:pPr>
            <w:r>
              <w:t>298-02-2</w:t>
            </w:r>
          </w:p>
        </w:tc>
      </w:tr>
      <w:tr w:rsidR="00F43AD5" w:rsidRPr="004C23F4" w14:paraId="1E696885" w14:textId="77777777" w:rsidTr="00B76A41">
        <w:trPr>
          <w:cantSplit/>
        </w:trPr>
        <w:tc>
          <w:tcPr>
            <w:tcW w:w="4077" w:type="dxa"/>
          </w:tcPr>
          <w:p w14:paraId="6928674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E0E874D" w14:textId="77777777" w:rsidR="00F43AD5" w:rsidRPr="00717D45" w:rsidRDefault="00F33015" w:rsidP="00B76A41">
            <w:pPr>
              <w:pStyle w:val="Tablefont"/>
            </w:pPr>
            <w:proofErr w:type="gramStart"/>
            <w:r>
              <w:t>O,O</w:t>
            </w:r>
            <w:proofErr w:type="gramEnd"/>
            <w:r>
              <w:t>-Diethyl (S-</w:t>
            </w:r>
            <w:proofErr w:type="spellStart"/>
            <w:r>
              <w:t>ethylmercaptomethyl</w:t>
            </w:r>
            <w:proofErr w:type="spellEnd"/>
            <w:r>
              <w:t xml:space="preserve">) </w:t>
            </w:r>
            <w:proofErr w:type="spellStart"/>
            <w:r>
              <w:t>dithiophosphate</w:t>
            </w:r>
            <w:proofErr w:type="spellEnd"/>
            <w:r>
              <w:t xml:space="preserve">, </w:t>
            </w:r>
            <w:proofErr w:type="spellStart"/>
            <w:r>
              <w:t>o,o</w:t>
            </w:r>
            <w:proofErr w:type="spellEnd"/>
            <w:r>
              <w:t>-diethyl (s-</w:t>
            </w:r>
            <w:proofErr w:type="spellStart"/>
            <w:r>
              <w:t>ethylthiomethyl</w:t>
            </w:r>
            <w:proofErr w:type="spellEnd"/>
            <w:r>
              <w:t xml:space="preserve">) </w:t>
            </w:r>
            <w:proofErr w:type="spellStart"/>
            <w:r>
              <w:t>phosphorodithioate</w:t>
            </w:r>
            <w:proofErr w:type="spellEnd"/>
            <w:r>
              <w:t xml:space="preserve">, </w:t>
            </w:r>
            <w:proofErr w:type="spellStart"/>
            <w:r>
              <w:t>granatox</w:t>
            </w:r>
            <w:proofErr w:type="spellEnd"/>
            <w:r>
              <w:t xml:space="preserve">, rampart, </w:t>
            </w:r>
            <w:proofErr w:type="spellStart"/>
            <w:r>
              <w:t>thimet</w:t>
            </w:r>
            <w:proofErr w:type="spellEnd"/>
            <w:r>
              <w:t xml:space="preserve">, </w:t>
            </w:r>
            <w:proofErr w:type="spellStart"/>
            <w:r>
              <w:t>timet</w:t>
            </w:r>
            <w:proofErr w:type="spellEnd"/>
          </w:p>
        </w:tc>
      </w:tr>
      <w:tr w:rsidR="00F43AD5" w:rsidRPr="004C23F4" w14:paraId="4D3494A1" w14:textId="77777777" w:rsidTr="00B76A41">
        <w:trPr>
          <w:cantSplit/>
        </w:trPr>
        <w:tc>
          <w:tcPr>
            <w:tcW w:w="4077" w:type="dxa"/>
          </w:tcPr>
          <w:p w14:paraId="4CDB7E1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B815F60" w14:textId="77777777" w:rsidR="00F43AD5" w:rsidRPr="00717D45" w:rsidRDefault="00D50030" w:rsidP="00B76A41">
            <w:pPr>
              <w:pStyle w:val="Tablefont"/>
            </w:pPr>
            <w:r>
              <w:t>C</w:t>
            </w:r>
            <w:r w:rsidRPr="00D50030">
              <w:rPr>
                <w:vertAlign w:val="subscript"/>
              </w:rPr>
              <w:t>7</w:t>
            </w:r>
            <w:r>
              <w:t>H</w:t>
            </w:r>
            <w:r w:rsidRPr="00D50030">
              <w:rPr>
                <w:vertAlign w:val="subscript"/>
              </w:rPr>
              <w:t>17</w:t>
            </w:r>
            <w:r>
              <w:t>O</w:t>
            </w:r>
            <w:r w:rsidRPr="00D50030">
              <w:rPr>
                <w:vertAlign w:val="subscript"/>
              </w:rPr>
              <w:t>2</w:t>
            </w:r>
            <w:r>
              <w:t>PS</w:t>
            </w:r>
            <w:r w:rsidRPr="00D50030">
              <w:rPr>
                <w:vertAlign w:val="subscript"/>
              </w:rPr>
              <w:t>3</w:t>
            </w:r>
          </w:p>
        </w:tc>
      </w:tr>
      <w:tr w:rsidR="00F43AD5" w:rsidRPr="004C23F4" w14:paraId="3D68CDBC" w14:textId="77777777" w:rsidTr="00B76A41">
        <w:trPr>
          <w:cantSplit/>
        </w:trPr>
        <w:tc>
          <w:tcPr>
            <w:tcW w:w="4077" w:type="dxa"/>
          </w:tcPr>
          <w:p w14:paraId="7536CB8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22A576D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8A976AA" w14:textId="77EB826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F038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5FC883F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183A620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12CE78CA" w14:textId="06E7C705" w:rsidR="002C7AFE" w:rsidRPr="006A60CA" w:rsidRDefault="00D52A8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0.05 mg/m</w:t>
            </w:r>
            <w:r>
              <w:rPr>
                <w:b/>
                <w:vertAlign w:val="superscript"/>
              </w:rPr>
              <w:t>3</w:t>
            </w:r>
            <w:r w:rsidR="006A60CA">
              <w:rPr>
                <w:b/>
              </w:rPr>
              <w:t xml:space="preserve"> </w:t>
            </w:r>
            <w:r>
              <w:rPr>
                <w:b/>
              </w:rPr>
              <w:t>(5 ppb</w:t>
            </w:r>
            <w:r w:rsidR="006A60CA">
              <w:rPr>
                <w:b/>
              </w:rPr>
              <w:t>)</w:t>
            </w:r>
          </w:p>
        </w:tc>
      </w:tr>
      <w:tr w:rsidR="00037E52" w:rsidRPr="004C23F4" w14:paraId="4F53E894" w14:textId="77777777" w:rsidTr="00037E52">
        <w:trPr>
          <w:cantSplit/>
        </w:trPr>
        <w:tc>
          <w:tcPr>
            <w:tcW w:w="4010" w:type="dxa"/>
            <w:vAlign w:val="center"/>
          </w:tcPr>
          <w:p w14:paraId="1403887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697242E" w14:textId="68352C2D" w:rsidR="00037E52" w:rsidRPr="00EB3D1B" w:rsidRDefault="003F038F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F299BF7" w14:textId="77777777" w:rsidTr="00037E52">
        <w:trPr>
          <w:cantSplit/>
        </w:trPr>
        <w:tc>
          <w:tcPr>
            <w:tcW w:w="4010" w:type="dxa"/>
            <w:vAlign w:val="center"/>
          </w:tcPr>
          <w:p w14:paraId="610E56DF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7E27926F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BB7A934" w14:textId="77777777" w:rsidTr="00037E52">
        <w:trPr>
          <w:cantSplit/>
        </w:trPr>
        <w:tc>
          <w:tcPr>
            <w:tcW w:w="4010" w:type="dxa"/>
          </w:tcPr>
          <w:p w14:paraId="0A514573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AE203C6" w14:textId="77777777" w:rsidR="00037E52" w:rsidRPr="00EB3D1B" w:rsidRDefault="00F23794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37617EDF" w14:textId="77777777" w:rsidTr="00037E52">
        <w:trPr>
          <w:cantSplit/>
        </w:trPr>
        <w:tc>
          <w:tcPr>
            <w:tcW w:w="4010" w:type="dxa"/>
            <w:vAlign w:val="center"/>
          </w:tcPr>
          <w:p w14:paraId="4FE32DD8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9629E5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E2988" w:rsidRPr="004C23F4" w14:paraId="4C9B4D6D" w14:textId="77777777" w:rsidTr="00D53734">
        <w:trPr>
          <w:cantSplit/>
        </w:trPr>
        <w:tc>
          <w:tcPr>
            <w:tcW w:w="9026" w:type="dxa"/>
            <w:gridSpan w:val="2"/>
            <w:vAlign w:val="center"/>
          </w:tcPr>
          <w:p w14:paraId="324CEFE1" w14:textId="77777777" w:rsidR="001E2988" w:rsidRDefault="001E2988" w:rsidP="001E2988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17C5F551EB64FD2B758472C6CACD64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CF61B6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885F8DE" w14:textId="33A4A67F" w:rsidR="006639B4" w:rsidRDefault="006A60CA" w:rsidP="000C139A">
      <w:pPr>
        <w:rPr>
          <w:rFonts w:cs="Arial"/>
        </w:rPr>
      </w:pPr>
      <w:r w:rsidRPr="006A60CA">
        <w:rPr>
          <w:rFonts w:cs="Arial"/>
        </w:rPr>
        <w:t xml:space="preserve">A TWA of </w:t>
      </w:r>
      <w:r w:rsidR="00D52A88">
        <w:rPr>
          <w:rFonts w:cs="Arial"/>
        </w:rPr>
        <w:t>0.05</w:t>
      </w:r>
      <w:r w:rsidR="00D52A88" w:rsidRPr="006A60CA">
        <w:rPr>
          <w:rFonts w:cs="Arial"/>
        </w:rPr>
        <w:t xml:space="preserve"> mg/m</w:t>
      </w:r>
      <w:r w:rsidR="00D52A88" w:rsidRPr="006A60CA">
        <w:rPr>
          <w:rFonts w:cs="Arial"/>
          <w:vertAlign w:val="superscript"/>
        </w:rPr>
        <w:t>3</w:t>
      </w:r>
      <w:r w:rsidRPr="006A60CA">
        <w:rPr>
          <w:rFonts w:cs="Arial"/>
        </w:rPr>
        <w:t xml:space="preserve"> (</w:t>
      </w:r>
      <w:r w:rsidR="00D52A88">
        <w:rPr>
          <w:rFonts w:cs="Arial"/>
        </w:rPr>
        <w:t>5</w:t>
      </w:r>
      <w:r w:rsidR="00D52A88" w:rsidRPr="006A60CA">
        <w:rPr>
          <w:rFonts w:cs="Arial"/>
        </w:rPr>
        <w:t xml:space="preserve"> pp</w:t>
      </w:r>
      <w:r w:rsidR="00D52A88">
        <w:rPr>
          <w:rFonts w:cs="Arial"/>
        </w:rPr>
        <w:t>b</w:t>
      </w:r>
      <w:r w:rsidRPr="006A60CA">
        <w:rPr>
          <w:rFonts w:cs="Arial"/>
        </w:rPr>
        <w:t xml:space="preserve">) is recommended to protect for </w:t>
      </w:r>
      <w:r>
        <w:rPr>
          <w:rFonts w:cs="Arial"/>
        </w:rPr>
        <w:t>cholinergic</w:t>
      </w:r>
      <w:r w:rsidRPr="006A60CA">
        <w:rPr>
          <w:rFonts w:cs="Arial"/>
        </w:rPr>
        <w:t xml:space="preserve"> effects in exposed workers</w:t>
      </w:r>
      <w:r>
        <w:rPr>
          <w:rFonts w:cs="Arial"/>
        </w:rPr>
        <w:t>.</w:t>
      </w:r>
    </w:p>
    <w:p w14:paraId="16A903D7" w14:textId="72BE48F2" w:rsidR="006A60CA" w:rsidRPr="004C23F4" w:rsidRDefault="003F038F" w:rsidP="000C139A">
      <w:pPr>
        <w:rPr>
          <w:rFonts w:cs="Arial"/>
        </w:rPr>
      </w:pPr>
      <w:r w:rsidRPr="003F038F">
        <w:rPr>
          <w:rFonts w:cs="Arial"/>
        </w:rPr>
        <w:t>Insufficient data</w:t>
      </w:r>
      <w:r>
        <w:rPr>
          <w:rFonts w:cs="Arial"/>
        </w:rPr>
        <w:t xml:space="preserve"> available to recommend a</w:t>
      </w:r>
      <w:r w:rsidRPr="003F038F">
        <w:rPr>
          <w:rFonts w:cs="Arial"/>
        </w:rPr>
        <w:t xml:space="preserve"> STEL</w:t>
      </w:r>
      <w:r w:rsidR="00B57DFE">
        <w:rPr>
          <w:rFonts w:cs="Arial"/>
        </w:rPr>
        <w:t>.</w:t>
      </w:r>
      <w:r w:rsidR="00B57DFE" w:rsidRPr="00B57DFE">
        <w:rPr>
          <w:rFonts w:cs="Arial"/>
        </w:rPr>
        <w:t xml:space="preserve"> </w:t>
      </w:r>
      <w:r w:rsidR="00F262CB">
        <w:rPr>
          <w:rFonts w:cs="Arial"/>
        </w:rPr>
        <w:t>The previous STEL is recommended to be withdrawn.</w:t>
      </w:r>
    </w:p>
    <w:p w14:paraId="6D05028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A009750" w14:textId="77777777" w:rsidR="00D32F2A" w:rsidRDefault="00530936" w:rsidP="006639B4">
      <w:pPr>
        <w:rPr>
          <w:rFonts w:cs="Arial"/>
        </w:rPr>
      </w:pPr>
      <w:r>
        <w:rPr>
          <w:rFonts w:cs="Arial"/>
        </w:rPr>
        <w:t xml:space="preserve">Phorate is used as a contact insecticide and acaricide. </w:t>
      </w:r>
    </w:p>
    <w:p w14:paraId="743DFFED" w14:textId="719F5C0F" w:rsidR="006639B4" w:rsidRDefault="009951D4" w:rsidP="006639B4">
      <w:pPr>
        <w:rPr>
          <w:rFonts w:cs="Arial"/>
        </w:rPr>
      </w:pPr>
      <w:r>
        <w:rPr>
          <w:rFonts w:cs="Arial"/>
        </w:rPr>
        <w:t>The c</w:t>
      </w:r>
      <w:r w:rsidR="00530936">
        <w:rPr>
          <w:rFonts w:cs="Arial"/>
        </w:rPr>
        <w:t>ritical effect</w:t>
      </w:r>
      <w:r>
        <w:rPr>
          <w:rFonts w:cs="Arial"/>
        </w:rPr>
        <w:t xml:space="preserve"> of exposure is</w:t>
      </w:r>
      <w:r w:rsidR="00530936">
        <w:rPr>
          <w:rFonts w:cs="Arial"/>
        </w:rPr>
        <w:t xml:space="preserve"> cholinesterase (ChE) inhibition, which result</w:t>
      </w:r>
      <w:r>
        <w:rPr>
          <w:rFonts w:cs="Arial"/>
        </w:rPr>
        <w:t>s</w:t>
      </w:r>
      <w:r w:rsidR="00530936">
        <w:rPr>
          <w:rFonts w:cs="Arial"/>
        </w:rPr>
        <w:t xml:space="preserve"> in cholinergic symptoms including decreased blood pressure, miosis, convulsions</w:t>
      </w:r>
      <w:r w:rsidR="00320B8D">
        <w:rPr>
          <w:rFonts w:cs="Arial"/>
        </w:rPr>
        <w:t xml:space="preserve"> </w:t>
      </w:r>
      <w:r w:rsidR="00530936">
        <w:rPr>
          <w:rFonts w:cs="Arial"/>
        </w:rPr>
        <w:t>and coma (ACGIH, 2018; HCOTN, 2003).</w:t>
      </w:r>
    </w:p>
    <w:p w14:paraId="3749EFFB" w14:textId="2E8E314D" w:rsidR="00D52A88" w:rsidRDefault="00CF14B3" w:rsidP="006639B4">
      <w:pPr>
        <w:rPr>
          <w:rFonts w:cs="Arial"/>
        </w:rPr>
      </w:pPr>
      <w:r>
        <w:rPr>
          <w:rFonts w:cs="Arial"/>
        </w:rPr>
        <w:t xml:space="preserve">Inhalational exposure data are </w:t>
      </w:r>
      <w:proofErr w:type="gramStart"/>
      <w:r w:rsidR="003A218E">
        <w:rPr>
          <w:rFonts w:cs="Arial"/>
        </w:rPr>
        <w:t>limited</w:t>
      </w:r>
      <w:proofErr w:type="gramEnd"/>
      <w:r>
        <w:rPr>
          <w:rFonts w:cs="Arial"/>
        </w:rPr>
        <w:t xml:space="preserve"> and no quantitative human toxicological data are available. </w:t>
      </w:r>
      <w:r w:rsidR="00D67CA8">
        <w:rPr>
          <w:rFonts w:cs="Arial"/>
        </w:rPr>
        <w:t>ChE inhibition is considered the most sensitive endpoint, which precedes cholinergic symptoms as demonstrated in rats and dogs (ACGIH, 2018; HCOTN, 2003). NOAEL of 0.05 and 0.07 mg/kg/day for red blood cell</w:t>
      </w:r>
      <w:r w:rsidR="00366CF8">
        <w:rPr>
          <w:rFonts w:cs="Arial"/>
        </w:rPr>
        <w:t>s</w:t>
      </w:r>
      <w:r w:rsidR="00D67CA8">
        <w:rPr>
          <w:rFonts w:cs="Arial"/>
        </w:rPr>
        <w:t xml:space="preserve"> (RBC) and brain ChE inhibition in male and female rats, respectively, are reported in chronic feeding studies</w:t>
      </w:r>
      <w:r w:rsidR="00320B8D">
        <w:rPr>
          <w:rFonts w:cs="Arial"/>
        </w:rPr>
        <w:t>.</w:t>
      </w:r>
      <w:r w:rsidR="00D67CA8">
        <w:rPr>
          <w:rFonts w:cs="Arial"/>
        </w:rPr>
        <w:t xml:space="preserve"> </w:t>
      </w:r>
      <w:r w:rsidR="00320B8D">
        <w:rPr>
          <w:rFonts w:cs="Arial"/>
        </w:rPr>
        <w:t xml:space="preserve">This is </w:t>
      </w:r>
      <w:r w:rsidR="00D67CA8">
        <w:rPr>
          <w:rFonts w:cs="Arial"/>
        </w:rPr>
        <w:t>supported by a NOAEL of 0.033 mg/kg/day for the same endpoints in a sub</w:t>
      </w:r>
      <w:r w:rsidR="003A218E">
        <w:rPr>
          <w:rFonts w:cs="Arial"/>
        </w:rPr>
        <w:t>-</w:t>
      </w:r>
      <w:r w:rsidR="00D67CA8">
        <w:rPr>
          <w:rFonts w:cs="Arial"/>
        </w:rPr>
        <w:t xml:space="preserve">chronic feeding </w:t>
      </w:r>
      <w:r w:rsidR="003A218E">
        <w:rPr>
          <w:rFonts w:cs="Arial"/>
        </w:rPr>
        <w:t xml:space="preserve">rat </w:t>
      </w:r>
      <w:r w:rsidR="00D67CA8">
        <w:rPr>
          <w:rFonts w:cs="Arial"/>
        </w:rPr>
        <w:t xml:space="preserve">study </w:t>
      </w:r>
      <w:r w:rsidR="00204269">
        <w:rPr>
          <w:rFonts w:cs="Arial"/>
        </w:rPr>
        <w:t xml:space="preserve">with a corresponding LOAEL of 0.1 mg/kg/day </w:t>
      </w:r>
      <w:r w:rsidR="00D67CA8">
        <w:rPr>
          <w:rFonts w:cs="Arial"/>
        </w:rPr>
        <w:t>(ACGIH, 2018; HCOTN, 2003)</w:t>
      </w:r>
      <w:r>
        <w:rPr>
          <w:rFonts w:cs="Arial"/>
        </w:rPr>
        <w:t>.</w:t>
      </w:r>
    </w:p>
    <w:p w14:paraId="468CA718" w14:textId="77777777" w:rsidR="006B2BBB" w:rsidRDefault="00204269" w:rsidP="003F038F">
      <w:pPr>
        <w:rPr>
          <w:rFonts w:cs="Arial"/>
        </w:rPr>
      </w:pPr>
      <w:r>
        <w:rPr>
          <w:rFonts w:cs="Arial"/>
        </w:rPr>
        <w:t>Due to the limited inhalational exposure data, ACGIH (2018) recommend a TWA equivalent of 0.05 mg/</w:t>
      </w:r>
      <w:r w:rsidRPr="003F038F">
        <w:rPr>
          <w:rFonts w:cs="Arial"/>
        </w:rPr>
        <w:t>m</w:t>
      </w:r>
      <w:r w:rsidRPr="003F038F">
        <w:rPr>
          <w:rFonts w:cs="Arial"/>
          <w:vertAlign w:val="superscript"/>
        </w:rPr>
        <w:t>3</w:t>
      </w:r>
      <w:r>
        <w:rPr>
          <w:rFonts w:cs="Arial"/>
        </w:rPr>
        <w:t xml:space="preserve"> based on the conversion of the sub-chronic NOAEL in rats to an inhalational equivalent of 0.2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(ACGIH, 2018). Following the same conversion, an inhalational equivalent of the LOAEL from this study would be 0.6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. </w:t>
      </w:r>
    </w:p>
    <w:p w14:paraId="223DCFBD" w14:textId="7F640D76" w:rsidR="006A60CA" w:rsidRPr="00B57DFE" w:rsidRDefault="00204269" w:rsidP="003F038F">
      <w:pPr>
        <w:rPr>
          <w:rFonts w:cs="Arial"/>
        </w:rPr>
      </w:pPr>
      <w:r>
        <w:rPr>
          <w:rFonts w:cs="Arial"/>
        </w:rPr>
        <w:lastRenderedPageBreak/>
        <w:t xml:space="preserve">In the absence of suitable inhalation </w:t>
      </w:r>
      <w:r w:rsidR="006B2BBB">
        <w:rPr>
          <w:rFonts w:cs="Arial"/>
        </w:rPr>
        <w:t xml:space="preserve">exposure </w:t>
      </w:r>
      <w:r>
        <w:rPr>
          <w:rFonts w:cs="Arial"/>
        </w:rPr>
        <w:t>data, the recommended TWA of 0.05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by ACGIH (2018)</w:t>
      </w:r>
      <w:r w:rsidR="003F038F">
        <w:rPr>
          <w:rFonts w:cs="Arial"/>
        </w:rPr>
        <w:t xml:space="preserve"> </w:t>
      </w:r>
      <w:r w:rsidR="006B2BBB">
        <w:rPr>
          <w:rFonts w:cs="Arial"/>
        </w:rPr>
        <w:t xml:space="preserve">is retained </w:t>
      </w:r>
      <w:r w:rsidR="003F038F">
        <w:rPr>
          <w:rFonts w:cs="Arial"/>
        </w:rPr>
        <w:t>and expected to be protective of RBC ChE inhibition and subsequent cholinergic effects</w:t>
      </w:r>
      <w:r>
        <w:rPr>
          <w:rFonts w:cs="Arial"/>
        </w:rPr>
        <w:t xml:space="preserve">. </w:t>
      </w:r>
      <w:r w:rsidR="006B2BBB">
        <w:rPr>
          <w:rFonts w:cs="Arial"/>
        </w:rPr>
        <w:t>T</w:t>
      </w:r>
      <w:r>
        <w:rPr>
          <w:rFonts w:cs="Arial"/>
        </w:rPr>
        <w:t xml:space="preserve">here is </w:t>
      </w:r>
      <w:r w:rsidR="003F038F">
        <w:rPr>
          <w:rFonts w:cs="Arial"/>
        </w:rPr>
        <w:t>insufficient</w:t>
      </w:r>
      <w:r>
        <w:rPr>
          <w:rFonts w:cs="Arial"/>
        </w:rPr>
        <w:t xml:space="preserve"> evidence for </w:t>
      </w:r>
      <w:r w:rsidR="003F038F">
        <w:rPr>
          <w:rFonts w:cs="Arial"/>
        </w:rPr>
        <w:t>cholinergic</w:t>
      </w:r>
      <w:r>
        <w:rPr>
          <w:rFonts w:cs="Arial"/>
        </w:rPr>
        <w:t xml:space="preserve"> effects within an order of magnitude of the TWA. </w:t>
      </w:r>
      <w:r w:rsidR="006B2BBB">
        <w:rPr>
          <w:rFonts w:cs="Arial"/>
        </w:rPr>
        <w:t>Therefore, t</w:t>
      </w:r>
      <w:r>
        <w:rPr>
          <w:rFonts w:cs="Arial"/>
        </w:rPr>
        <w:t>he previous STEL of 0.2 mg/m</w:t>
      </w:r>
      <w:r>
        <w:rPr>
          <w:rFonts w:cs="Arial"/>
          <w:vertAlign w:val="superscript"/>
        </w:rPr>
        <w:t>3</w:t>
      </w:r>
      <w:r w:rsidR="003F038F">
        <w:rPr>
          <w:rFonts w:cs="Arial"/>
        </w:rPr>
        <w:t xml:space="preserve"> is </w:t>
      </w:r>
      <w:r w:rsidR="006B2BBB">
        <w:rPr>
          <w:rFonts w:cs="Arial"/>
        </w:rPr>
        <w:t xml:space="preserve">recommended to be </w:t>
      </w:r>
      <w:r w:rsidR="003F038F">
        <w:rPr>
          <w:rFonts w:cs="Arial"/>
        </w:rPr>
        <w:t>withdrawn, which is supported by the withdrawal of the TLV-STEL by ACGIH (2018).</w:t>
      </w:r>
    </w:p>
    <w:p w14:paraId="38573C2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5AAC038" w14:textId="77777777" w:rsidR="008E4F1F" w:rsidRPr="006A60CA" w:rsidRDefault="008E4F1F" w:rsidP="008E4F1F">
      <w:pPr>
        <w:rPr>
          <w:rFonts w:cs="Arial"/>
        </w:rPr>
      </w:pPr>
      <w:r w:rsidRPr="006A60CA">
        <w:rPr>
          <w:rFonts w:cs="Arial"/>
        </w:rPr>
        <w:t>Not classified as a carcinogen according to the Globally Harmonized System of Classification and Labelling o</w:t>
      </w:r>
      <w:r w:rsidR="00294D98">
        <w:rPr>
          <w:rFonts w:cs="Arial"/>
        </w:rPr>
        <w:t>f</w:t>
      </w:r>
      <w:r w:rsidRPr="006A60CA">
        <w:rPr>
          <w:rFonts w:cs="Arial"/>
        </w:rPr>
        <w:t xml:space="preserve"> Chemicals (GHS). </w:t>
      </w:r>
    </w:p>
    <w:p w14:paraId="029CCBFC" w14:textId="77777777" w:rsidR="008E4F1F" w:rsidRPr="006A60CA" w:rsidRDefault="008E4F1F" w:rsidP="008E4F1F">
      <w:pPr>
        <w:rPr>
          <w:rFonts w:cs="Arial"/>
        </w:rPr>
      </w:pPr>
      <w:r w:rsidRPr="006A60CA">
        <w:rPr>
          <w:rFonts w:cs="Arial"/>
        </w:rPr>
        <w:t xml:space="preserve">Not classified as a skin </w:t>
      </w:r>
      <w:r w:rsidR="00294D98">
        <w:rPr>
          <w:rFonts w:cs="Arial"/>
        </w:rPr>
        <w:t xml:space="preserve">sensitiser </w:t>
      </w:r>
      <w:r w:rsidRPr="006A60CA">
        <w:rPr>
          <w:rFonts w:cs="Arial"/>
        </w:rPr>
        <w:t>or respiratory sensitiser according to the GHS.</w:t>
      </w:r>
    </w:p>
    <w:p w14:paraId="544A3965" w14:textId="77777777" w:rsidR="006A60CA" w:rsidRPr="006A60CA" w:rsidRDefault="006A60CA" w:rsidP="006A60CA">
      <w:pPr>
        <w:rPr>
          <w:rFonts w:cs="Arial"/>
        </w:rPr>
      </w:pPr>
      <w:r w:rsidRPr="006A60CA">
        <w:rPr>
          <w:rFonts w:cs="Arial"/>
        </w:rPr>
        <w:t>A skin notation</w:t>
      </w:r>
      <w:r w:rsidR="00294D98">
        <w:rPr>
          <w:rFonts w:cs="Arial"/>
        </w:rPr>
        <w:t xml:space="preserve"> is</w:t>
      </w:r>
      <w:r w:rsidRPr="006A60CA">
        <w:rPr>
          <w:rFonts w:cs="Arial"/>
        </w:rPr>
        <w:t xml:space="preserve"> recommended based on evidence for dermal absorption and adverse systemic effects in animals.</w:t>
      </w:r>
    </w:p>
    <w:p w14:paraId="3E88B009" w14:textId="77777777" w:rsidR="0025734A" w:rsidRPr="004C23F4" w:rsidRDefault="0025734A">
      <w:pPr>
        <w:rPr>
          <w:rFonts w:cs="Arial"/>
        </w:rPr>
      </w:pPr>
    </w:p>
    <w:p w14:paraId="1CD619A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CA38B2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91DABA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19D3C11" w14:textId="77777777" w:rsidTr="0030227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24E519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298A284" w14:textId="77777777" w:rsidTr="0030227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81617B7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9518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9518B">
                  <w:t>TWA: 0.05 mg/m</w:t>
                </w:r>
                <w:r w:rsidR="0059518B" w:rsidRPr="0059518B">
                  <w:rPr>
                    <w:vertAlign w:val="superscript"/>
                  </w:rPr>
                  <w:t>3</w:t>
                </w:r>
                <w:r w:rsidR="0059518B">
                  <w:t>; STEL: 0.2 mg/m</w:t>
                </w:r>
                <w:r w:rsidR="0059518B" w:rsidRPr="0059518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9595EA8" w14:textId="77777777" w:rsidTr="0030227E">
        <w:trPr>
          <w:gridAfter w:val="1"/>
          <w:wAfter w:w="8" w:type="pct"/>
        </w:trPr>
        <w:tc>
          <w:tcPr>
            <w:tcW w:w="4992" w:type="pct"/>
          </w:tcPr>
          <w:p w14:paraId="649F9664" w14:textId="1CD554C2" w:rsidR="00C978F0" w:rsidRPr="00DA352E" w:rsidRDefault="00152D37" w:rsidP="000B53B2">
            <w:pPr>
              <w:pStyle w:val="Tabletextprimarysource"/>
            </w:pPr>
            <w:r>
              <w:t xml:space="preserve">Based on </w:t>
            </w:r>
            <w:r w:rsidR="000B53B2">
              <w:t xml:space="preserve">the recommendation by </w:t>
            </w:r>
            <w:r>
              <w:t>ACGIH</w:t>
            </w:r>
            <w:r w:rsidR="00CA7799">
              <w:t xml:space="preserve"> (</w:t>
            </w:r>
            <w:r w:rsidR="000B53B2">
              <w:t>1991</w:t>
            </w:r>
            <w:r w:rsidR="00CA7799">
              <w:t>)</w:t>
            </w:r>
            <w:r w:rsidR="000B53B2">
              <w:t xml:space="preserve">. </w:t>
            </w:r>
            <w:r w:rsidR="000B53B2" w:rsidRPr="000B53B2">
              <w:t>Previous TLV-STEL of 0.2 mg/m</w:t>
            </w:r>
            <w:r w:rsidR="000B53B2" w:rsidRPr="006B2BBB">
              <w:rPr>
                <w:vertAlign w:val="superscript"/>
              </w:rPr>
              <w:t>3</w:t>
            </w:r>
            <w:r w:rsidR="000B53B2" w:rsidRPr="000B53B2">
              <w:t xml:space="preserve"> </w:t>
            </w:r>
            <w:r w:rsidR="000B53B2">
              <w:t xml:space="preserve">was withdrawn by ACGIH </w:t>
            </w:r>
            <w:r w:rsidR="000B53B2" w:rsidRPr="000B53B2">
              <w:t>in 2004</w:t>
            </w:r>
            <w:r w:rsidR="000B53B2">
              <w:t>.</w:t>
            </w:r>
          </w:p>
        </w:tc>
      </w:tr>
      <w:tr w:rsidR="00C978F0" w:rsidRPr="00DA352E" w14:paraId="61B24A54" w14:textId="77777777" w:rsidTr="0030227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491353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F54A3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F54A3">
                  <w:t>TLV-</w:t>
                </w:r>
                <w:r w:rsidR="007F54A3" w:rsidRPr="007F54A3">
                  <w:t>TWA:</w:t>
                </w:r>
                <w:r w:rsidR="003F4D6D">
                  <w:t xml:space="preserve"> 5</w:t>
                </w:r>
                <w:r w:rsidR="00722461">
                  <w:t xml:space="preserve"> </w:t>
                </w:r>
                <w:r w:rsidR="003F4D6D">
                  <w:t>ppb</w:t>
                </w:r>
                <w:r w:rsidR="007F54A3" w:rsidRPr="007F54A3">
                  <w:t xml:space="preserve"> </w:t>
                </w:r>
                <w:r w:rsidR="003F4D6D">
                  <w:t>(</w:t>
                </w:r>
                <w:r w:rsidR="007F54A3" w:rsidRPr="007F54A3">
                  <w:t>0.05 mg/m</w:t>
                </w:r>
                <w:r w:rsidR="007F54A3" w:rsidRPr="00626B7A">
                  <w:rPr>
                    <w:vertAlign w:val="superscript"/>
                  </w:rPr>
                  <w:t>3</w:t>
                </w:r>
                <w:r w:rsidR="003F4D6D">
                  <w:t>) (inhalable fraction and vapo</w:t>
                </w:r>
                <w:r w:rsidR="00294D98">
                  <w:t>u</w:t>
                </w:r>
                <w:r w:rsidR="003F4D6D">
                  <w:t>r)</w:t>
                </w:r>
              </w:sdtContent>
            </w:sdt>
          </w:p>
        </w:tc>
      </w:tr>
      <w:tr w:rsidR="00C978F0" w:rsidRPr="00DA352E" w14:paraId="5631027D" w14:textId="77777777" w:rsidTr="0030227E">
        <w:trPr>
          <w:gridAfter w:val="1"/>
          <w:wAfter w:w="8" w:type="pct"/>
        </w:trPr>
        <w:tc>
          <w:tcPr>
            <w:tcW w:w="4992" w:type="pct"/>
          </w:tcPr>
          <w:p w14:paraId="0FDA54D5" w14:textId="30C8556A" w:rsidR="00CF14B3" w:rsidRDefault="00321709" w:rsidP="003365A5">
            <w:pPr>
              <w:pStyle w:val="Tabletextprimarysource"/>
            </w:pPr>
            <w:r>
              <w:t xml:space="preserve">TLV-TWA intended to protect for </w:t>
            </w:r>
            <w:r w:rsidR="008A4863">
              <w:t>cholinergic effects. Skin notation recommended based on dermal absorption and systemic poisoning in animals. Not classifiable as a human carcinogen based on negative results for carcinogenicity in chronic animal feedings studies.</w:t>
            </w:r>
            <w:r w:rsidR="00FA3807">
              <w:t xml:space="preserve"> </w:t>
            </w:r>
          </w:p>
          <w:p w14:paraId="45F51A76" w14:textId="40F282D1" w:rsidR="008A4863" w:rsidRDefault="008A4863" w:rsidP="003365A5">
            <w:pPr>
              <w:pStyle w:val="Tabletextprimarysource"/>
            </w:pPr>
            <w:r>
              <w:t>Summary of information</w:t>
            </w:r>
          </w:p>
          <w:p w14:paraId="1F6CF8C1" w14:textId="77777777" w:rsidR="003E378D" w:rsidRDefault="004A08CA" w:rsidP="003365A5">
            <w:pPr>
              <w:pStyle w:val="Tabletextprimarysource"/>
            </w:pPr>
            <w:r>
              <w:t>No controlled human exposure data available</w:t>
            </w:r>
            <w:r w:rsidR="003E378D">
              <w:t>.</w:t>
            </w:r>
          </w:p>
          <w:p w14:paraId="67050BB6" w14:textId="6FFAF14F" w:rsidR="00294D98" w:rsidRDefault="004A08CA" w:rsidP="003365A5">
            <w:pPr>
              <w:pStyle w:val="Tabletextprimarysource"/>
            </w:pPr>
            <w:r>
              <w:t xml:space="preserve">TLV-TWA based on </w:t>
            </w:r>
            <w:r w:rsidR="00322F37">
              <w:t>NOAEL of 0.0</w:t>
            </w:r>
            <w:r w:rsidR="00CF14B3">
              <w:t>3</w:t>
            </w:r>
            <w:r w:rsidR="00322F37">
              <w:t>3 mg/kg/d for RBC ChE inhibition in rats. Assuming 100% absorption in a 70</w:t>
            </w:r>
            <w:r w:rsidR="00366CF8">
              <w:t xml:space="preserve"> </w:t>
            </w:r>
            <w:r w:rsidR="00322F37">
              <w:t>kg individual with a respiratory volume of 10 m</w:t>
            </w:r>
            <w:r w:rsidR="00322F37">
              <w:rPr>
                <w:vertAlign w:val="superscript"/>
              </w:rPr>
              <w:t>3</w:t>
            </w:r>
            <w:r w:rsidR="00322F37">
              <w:t xml:space="preserve"> during an 8</w:t>
            </w:r>
            <w:r w:rsidR="00366CF8">
              <w:t xml:space="preserve"> </w:t>
            </w:r>
            <w:r w:rsidR="00322F37">
              <w:t>h shift, an equivalent inhalational dose at the NOAEL is 0.2 mg/m</w:t>
            </w:r>
            <w:r w:rsidR="00322F37">
              <w:rPr>
                <w:vertAlign w:val="superscript"/>
              </w:rPr>
              <w:t>3</w:t>
            </w:r>
            <w:r w:rsidR="00322F37">
              <w:t>; TLV-TWA of 0.05 mg/m</w:t>
            </w:r>
            <w:r w:rsidR="00322F37">
              <w:rPr>
                <w:vertAlign w:val="superscript"/>
              </w:rPr>
              <w:t>3</w:t>
            </w:r>
            <w:r w:rsidR="00322F37">
              <w:t xml:space="preserve"> considered protective of RBC ChE inhibit</w:t>
            </w:r>
            <w:r w:rsidR="003E378D">
              <w:t>i</w:t>
            </w:r>
            <w:r w:rsidR="00322F37">
              <w:t xml:space="preserve">on and subsequent cholinergic effects. </w:t>
            </w:r>
          </w:p>
          <w:p w14:paraId="479F4612" w14:textId="77777777" w:rsidR="004A08CA" w:rsidRDefault="004A08CA" w:rsidP="003365A5">
            <w:pPr>
              <w:pStyle w:val="Tabletextprimarysource"/>
            </w:pPr>
            <w:r>
              <w:t xml:space="preserve">Particulate and vapour phase </w:t>
            </w:r>
            <w:r w:rsidR="00322F37">
              <w:t>concentrations should be considered during monitoring to account for evaporative losses during sampling.</w:t>
            </w:r>
          </w:p>
          <w:p w14:paraId="444FEB2B" w14:textId="329159C7" w:rsidR="008A4863" w:rsidRDefault="008A4863" w:rsidP="003365A5">
            <w:pPr>
              <w:pStyle w:val="Tabletextprimarysource"/>
            </w:pPr>
            <w:r>
              <w:t>Human data</w:t>
            </w:r>
          </w:p>
          <w:p w14:paraId="48FDA72A" w14:textId="77777777" w:rsidR="008A4863" w:rsidRDefault="002B1B55" w:rsidP="002B1B55">
            <w:pPr>
              <w:pStyle w:val="Tabletextprimarysource"/>
              <w:numPr>
                <w:ilvl w:val="0"/>
                <w:numId w:val="2"/>
              </w:numPr>
            </w:pPr>
            <w:r>
              <w:t>Case of accidental overexposure caused coma, miosis, frothy sputum, and convulsions; RBC and plasma ChE activities were 21 and 49% of baseline, respectively</w:t>
            </w:r>
          </w:p>
          <w:p w14:paraId="4602C83B" w14:textId="77777777" w:rsidR="002B1B55" w:rsidRDefault="002B1B55" w:rsidP="002B1B55">
            <w:pPr>
              <w:pStyle w:val="Tabletextprimarysource"/>
              <w:numPr>
                <w:ilvl w:val="0"/>
                <w:numId w:val="2"/>
              </w:numPr>
            </w:pPr>
            <w:r>
              <w:t>Cholinergic effects in formulation workers (n=24/40, exposure details not provided)</w:t>
            </w:r>
          </w:p>
          <w:p w14:paraId="73C84E55" w14:textId="77777777" w:rsidR="004A08CA" w:rsidRDefault="004A08CA" w:rsidP="004A08CA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Cholinergic symptoms in 2 </w:t>
            </w:r>
            <w:r w:rsidR="00294D98">
              <w:t>workers in formulation plant at</w:t>
            </w:r>
            <w:r>
              <w:t xml:space="preserve"> 0.07–14.6 mg/m</w:t>
            </w:r>
            <w:r>
              <w:rPr>
                <w:vertAlign w:val="superscript"/>
              </w:rPr>
              <w:t>3</w:t>
            </w:r>
            <w:r w:rsidR="00366CF8">
              <w:t>.</w:t>
            </w:r>
          </w:p>
          <w:p w14:paraId="6671F6FB" w14:textId="0D2DF692" w:rsidR="008A4863" w:rsidRDefault="008A4863" w:rsidP="003365A5">
            <w:pPr>
              <w:pStyle w:val="Tabletextprimarysource"/>
            </w:pPr>
            <w:r>
              <w:t>Animal data</w:t>
            </w:r>
          </w:p>
          <w:p w14:paraId="3D1CEECC" w14:textId="77777777" w:rsidR="00294D98" w:rsidRDefault="008A4863" w:rsidP="008A4863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1.1–2.3 mg/kg (rats</w:t>
            </w:r>
            <w:r w:rsidR="00294D98">
              <w:t>, oral)</w:t>
            </w:r>
          </w:p>
          <w:p w14:paraId="1A01EC5E" w14:textId="77777777" w:rsidR="008A4863" w:rsidRDefault="008A4863" w:rsidP="008A4863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2.5–6.2 mg/kg (rats</w:t>
            </w:r>
            <w:r w:rsidR="00294D98">
              <w:t>, dermal</w:t>
            </w:r>
            <w:r>
              <w:t>)</w:t>
            </w:r>
          </w:p>
          <w:p w14:paraId="56D586F9" w14:textId="77777777" w:rsidR="008A4863" w:rsidRDefault="008A4863" w:rsidP="008A4863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11–60 mg/m</w:t>
            </w:r>
            <w:r>
              <w:rPr>
                <w:vertAlign w:val="superscript"/>
              </w:rPr>
              <w:t>3</w:t>
            </w:r>
            <w:r>
              <w:t xml:space="preserve"> (rats, 1</w:t>
            </w:r>
            <w:r w:rsidR="00366CF8">
              <w:t xml:space="preserve"> </w:t>
            </w:r>
            <w:r>
              <w:t>h); survivors recovered from cholinergic symptoms in 14 d</w:t>
            </w:r>
          </w:p>
          <w:p w14:paraId="58A7DA78" w14:textId="18198ABB" w:rsidR="00845A91" w:rsidRDefault="00845A91" w:rsidP="008A4863">
            <w:pPr>
              <w:pStyle w:val="Tabletextprimarysource"/>
              <w:numPr>
                <w:ilvl w:val="0"/>
                <w:numId w:val="1"/>
              </w:numPr>
            </w:pPr>
            <w:r>
              <w:t>Rapid dermal absorption</w:t>
            </w:r>
            <w:r w:rsidR="00264FD4">
              <w:t>:</w:t>
            </w:r>
            <w:r w:rsidR="003E378D">
              <w:t xml:space="preserve"> </w:t>
            </w:r>
            <w:r>
              <w:t>77% of dose excreted in urine, 12% in faeces within 24 h (rats)</w:t>
            </w:r>
          </w:p>
          <w:p w14:paraId="3A750988" w14:textId="42E82A53" w:rsidR="00F70D26" w:rsidRDefault="00F70D26" w:rsidP="008A4863">
            <w:pPr>
              <w:pStyle w:val="Tabletextprimarysource"/>
              <w:numPr>
                <w:ilvl w:val="0"/>
                <w:numId w:val="1"/>
              </w:numPr>
            </w:pPr>
            <w:r>
              <w:t>Similar endpoint concentrations (for RBC ChE inhibition) reported in chronic and sub</w:t>
            </w:r>
            <w:r w:rsidR="003E378D">
              <w:noBreakHyphen/>
            </w:r>
            <w:r>
              <w:t>chronic feeding/oral dose studies with rats and dogs</w:t>
            </w:r>
            <w:r w:rsidR="003E378D">
              <w:t xml:space="preserve"> - </w:t>
            </w:r>
            <w:r w:rsidR="00134182">
              <w:t>mice less sensitive</w:t>
            </w:r>
            <w:r w:rsidR="00320B8D">
              <w:t>:</w:t>
            </w:r>
          </w:p>
          <w:p w14:paraId="36FB7B60" w14:textId="77777777" w:rsidR="008A4863" w:rsidRDefault="00F70D26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</w:t>
            </w:r>
            <w:r w:rsidR="00CF14B3">
              <w:t xml:space="preserve"> 0.033</w:t>
            </w:r>
            <w:r>
              <w:t xml:space="preserve"> mg/kg/d feeding (rats, 13 wk), LOAEL: </w:t>
            </w:r>
            <w:r>
              <w:rPr>
                <w:rFonts w:cs="Arial"/>
              </w:rPr>
              <w:t>0.1 mg/kg/d</w:t>
            </w:r>
          </w:p>
          <w:p w14:paraId="68B8EAF6" w14:textId="77777777" w:rsidR="00F70D26" w:rsidRDefault="00F70D26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0.05 mg/kg/d oral dose (dogs, 6 d/wk, 13–15 wk); LOAEL: 0.25 mg/kg/d</w:t>
            </w:r>
          </w:p>
          <w:p w14:paraId="191ADE73" w14:textId="77777777" w:rsidR="00F70D26" w:rsidRDefault="00F70D26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0.05 (females) and 0.15 mg/kg/d (males) feeding (rats, 2 yr); LOAEL: 0.15 (females) and 0.3 mg/kg/d (males)</w:t>
            </w:r>
            <w:r w:rsidR="00056E22">
              <w:t>, brain ChE inhibition also shown</w:t>
            </w:r>
          </w:p>
          <w:p w14:paraId="36D497A7" w14:textId="77777777" w:rsidR="00134182" w:rsidRDefault="00134182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0.05 mg/kg/d oral dose (dogs, 1 yr); LOAEL: 0.25 mg/kg/d, brain ChE inhibition and slight tremor also observed</w:t>
            </w:r>
          </w:p>
          <w:p w14:paraId="14CAAC26" w14:textId="77777777" w:rsidR="00134182" w:rsidRDefault="00134182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0.9 mg/kg/d (highest tested dose) feeding (mice, 78 wk)</w:t>
            </w:r>
          </w:p>
          <w:p w14:paraId="3E3AF669" w14:textId="77777777" w:rsidR="00134182" w:rsidRDefault="00134182" w:rsidP="00134182">
            <w:pPr>
              <w:pStyle w:val="Tabletextprimarysource"/>
              <w:numPr>
                <w:ilvl w:val="0"/>
                <w:numId w:val="1"/>
              </w:numPr>
            </w:pPr>
            <w:r>
              <w:t>No evidence for carcinogenicity observed in chronic feeding studies (mice, rats, dogs)</w:t>
            </w:r>
          </w:p>
          <w:p w14:paraId="770BF45B" w14:textId="257EE256" w:rsidR="00845A91" w:rsidRDefault="00845A91" w:rsidP="00134182">
            <w:pPr>
              <w:pStyle w:val="Tabletextprimarysource"/>
              <w:numPr>
                <w:ilvl w:val="0"/>
                <w:numId w:val="1"/>
              </w:numPr>
            </w:pPr>
            <w:r>
              <w:t>Reproductive and developmental endpoints observed above endpoints for chronic toxicity</w:t>
            </w:r>
            <w:r w:rsidR="00A02630">
              <w:t>:</w:t>
            </w:r>
          </w:p>
          <w:p w14:paraId="20AA3B93" w14:textId="3B5F3772" w:rsidR="00074748" w:rsidRDefault="00294D98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r</w:t>
            </w:r>
            <w:r w:rsidR="00074748">
              <w:t>eproductive NOAEL</w:t>
            </w:r>
            <w:r w:rsidR="00EF317F">
              <w:t xml:space="preserve"> of</w:t>
            </w:r>
            <w:r w:rsidR="00074748">
              <w:t xml:space="preserve"> </w:t>
            </w:r>
            <w:r w:rsidR="00EF317F">
              <w:t>1.5 ppm (</w:t>
            </w:r>
            <w:r w:rsidR="00074748">
              <w:t>0.23 mg/kg/d</w:t>
            </w:r>
            <w:r w:rsidR="00EF317F">
              <w:t>) from a 3 generation mice study (0, 0.6, 1.5 and 3 ppm</w:t>
            </w:r>
            <w:r w:rsidR="00CE338F">
              <w:t xml:space="preserve"> equivalent to 0, 0.09,</w:t>
            </w:r>
            <w:r w:rsidR="00FA3807">
              <w:t xml:space="preserve"> 0.23 and 0.45 mg/kg/d</w:t>
            </w:r>
            <w:r w:rsidR="00EF317F">
              <w:t>)</w:t>
            </w:r>
            <w:r w:rsidR="00074748">
              <w:t>; LOAEL</w:t>
            </w:r>
            <w:r w:rsidR="00CE7FBA">
              <w:t xml:space="preserve"> of </w:t>
            </w:r>
            <w:r w:rsidR="00EF317F">
              <w:t>3 ppm (</w:t>
            </w:r>
            <w:r w:rsidR="00074748">
              <w:t>0.45</w:t>
            </w:r>
            <w:r w:rsidR="00FA3807">
              <w:t> </w:t>
            </w:r>
            <w:r w:rsidR="00074748">
              <w:t>mg/kg/d</w:t>
            </w:r>
            <w:r w:rsidR="00EF317F">
              <w:t>) based on viability and lactation index in repeat feeding study</w:t>
            </w:r>
          </w:p>
          <w:p w14:paraId="3DBC3B43" w14:textId="4EDEF1D2" w:rsidR="00074748" w:rsidRDefault="00EF317F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NOAEL for both </w:t>
            </w:r>
            <w:r w:rsidR="00294D98">
              <w:t>m</w:t>
            </w:r>
            <w:r w:rsidR="00845A91">
              <w:t>aternal and d</w:t>
            </w:r>
            <w:r w:rsidR="00074748">
              <w:t>evelopmental</w:t>
            </w:r>
            <w:r>
              <w:t xml:space="preserve"> was</w:t>
            </w:r>
            <w:r w:rsidR="00074748">
              <w:t xml:space="preserve"> </w:t>
            </w:r>
            <w:r w:rsidR="00845A91">
              <w:t>0.25 mg/kg/d</w:t>
            </w:r>
            <w:r w:rsidR="00CE7FBA">
              <w:t xml:space="preserve"> in a repeat gavage study (rats, GD 6–15</w:t>
            </w:r>
            <w:r w:rsidR="00FA3807">
              <w:t>, 0, 0.125, 0.25 and 0.5 mg/kg/d</w:t>
            </w:r>
            <w:r w:rsidR="00CE7FBA">
              <w:t>);</w:t>
            </w:r>
            <w:r w:rsidR="00845A91">
              <w:t xml:space="preserve"> </w:t>
            </w:r>
            <w:r w:rsidR="00CE7FBA">
              <w:t xml:space="preserve">LOAEL of 0.5 mg/kg/d </w:t>
            </w:r>
            <w:r w:rsidR="00845A91">
              <w:t xml:space="preserve">for </w:t>
            </w:r>
            <w:r w:rsidR="00845A91">
              <w:lastRenderedPageBreak/>
              <w:t>maternal mortality, cholinergic effects and hypothermia, and foetal heart enlargement</w:t>
            </w:r>
            <w:r w:rsidR="00FA3807">
              <w:t xml:space="preserve"> due to increased </w:t>
            </w:r>
            <w:proofErr w:type="spellStart"/>
            <w:r w:rsidR="00FA3807">
              <w:t>ChE</w:t>
            </w:r>
            <w:proofErr w:type="spellEnd"/>
            <w:r w:rsidR="00FA3807">
              <w:t xml:space="preserve"> producing excessive stimulation of myocardium</w:t>
            </w:r>
          </w:p>
          <w:p w14:paraId="793A5067" w14:textId="77777777" w:rsidR="00134182" w:rsidRDefault="00134182" w:rsidP="0013418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Non-genotoxic </w:t>
            </w:r>
            <w:r>
              <w:rPr>
                <w:i/>
              </w:rPr>
              <w:t>in vitro</w:t>
            </w:r>
            <w:r>
              <w:t xml:space="preserve">, no evidence for chromosomal aberrations </w:t>
            </w:r>
            <w:r>
              <w:rPr>
                <w:i/>
              </w:rPr>
              <w:t>in vivo</w:t>
            </w:r>
            <w:r>
              <w:t xml:space="preserve"> (mice, rats)</w:t>
            </w:r>
            <w:r w:rsidR="00074748">
              <w:t>; increased sister chromatid exchange reported in human lymphoblastoid cell line</w:t>
            </w:r>
            <w:r w:rsidR="00366CF8">
              <w:t>.</w:t>
            </w:r>
          </w:p>
          <w:p w14:paraId="4D2B822B" w14:textId="77777777" w:rsidR="00A02630" w:rsidRDefault="00A02630" w:rsidP="00F70D26">
            <w:pPr>
              <w:pStyle w:val="Tabletextprimarysource"/>
            </w:pPr>
          </w:p>
          <w:p w14:paraId="192D841D" w14:textId="77777777" w:rsidR="008A4863" w:rsidRDefault="008A4863" w:rsidP="00F70D26">
            <w:pPr>
              <w:pStyle w:val="Tabletextprimarysource"/>
            </w:pPr>
            <w:r>
              <w:t>Insufficient data to recommend a TLV-STEL or sensitisation notation.</w:t>
            </w:r>
          </w:p>
          <w:p w14:paraId="023213DF" w14:textId="77777777" w:rsidR="00A02630" w:rsidRPr="00DA352E" w:rsidRDefault="00A02630" w:rsidP="00F70D26">
            <w:pPr>
              <w:pStyle w:val="Tabletextprimarysource"/>
            </w:pPr>
          </w:p>
        </w:tc>
      </w:tr>
      <w:tr w:rsidR="00C978F0" w:rsidRPr="00DA352E" w14:paraId="01A1B066" w14:textId="77777777" w:rsidTr="0030227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139634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5550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55501">
                  <w:t>NA</w:t>
                </w:r>
              </w:sdtContent>
            </w:sdt>
          </w:p>
        </w:tc>
      </w:tr>
      <w:tr w:rsidR="00C978F0" w:rsidRPr="00DA352E" w14:paraId="12FE6A6D" w14:textId="77777777" w:rsidTr="0030227E">
        <w:trPr>
          <w:gridAfter w:val="1"/>
          <w:wAfter w:w="8" w:type="pct"/>
        </w:trPr>
        <w:tc>
          <w:tcPr>
            <w:tcW w:w="4992" w:type="pct"/>
          </w:tcPr>
          <w:p w14:paraId="32F8EF3B" w14:textId="77777777" w:rsidR="00C978F0" w:rsidRPr="00DA352E" w:rsidRDefault="00655501" w:rsidP="003365A5">
            <w:pPr>
              <w:pStyle w:val="Tabletextprimarysource"/>
            </w:pPr>
            <w:r>
              <w:t>No report</w:t>
            </w:r>
            <w:r w:rsidR="00366CF8">
              <w:t>.</w:t>
            </w:r>
          </w:p>
        </w:tc>
      </w:tr>
      <w:tr w:rsidR="00C978F0" w:rsidRPr="00DA352E" w14:paraId="1A609DB5" w14:textId="77777777" w:rsidTr="0030227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5459B3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E2DC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E2DCF">
                  <w:t>NA</w:t>
                </w:r>
              </w:sdtContent>
            </w:sdt>
          </w:p>
        </w:tc>
      </w:tr>
      <w:tr w:rsidR="00C978F0" w:rsidRPr="00DA352E" w14:paraId="1094DEBC" w14:textId="77777777" w:rsidTr="0030227E">
        <w:trPr>
          <w:gridAfter w:val="1"/>
          <w:wAfter w:w="8" w:type="pct"/>
        </w:trPr>
        <w:tc>
          <w:tcPr>
            <w:tcW w:w="4992" w:type="pct"/>
          </w:tcPr>
          <w:p w14:paraId="078EE932" w14:textId="77777777" w:rsidR="00C978F0" w:rsidRPr="00DA352E" w:rsidRDefault="00BE2DCF" w:rsidP="003365A5">
            <w:pPr>
              <w:pStyle w:val="Tabletextprimarysource"/>
            </w:pPr>
            <w:r>
              <w:t>No report</w:t>
            </w:r>
            <w:r w:rsidR="00366CF8">
              <w:t>.</w:t>
            </w:r>
          </w:p>
        </w:tc>
      </w:tr>
      <w:tr w:rsidR="00DA352E" w:rsidRPr="00DA352E" w14:paraId="1B38D3D5" w14:textId="77777777" w:rsidTr="0030227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A31954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E2DC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BE2DCF">
                  <w:t>NA</w:t>
                </w:r>
              </w:sdtContent>
            </w:sdt>
          </w:p>
        </w:tc>
      </w:tr>
      <w:tr w:rsidR="00DA352E" w:rsidRPr="00DA352E" w14:paraId="5E8E6270" w14:textId="77777777" w:rsidTr="0030227E">
        <w:trPr>
          <w:gridAfter w:val="1"/>
          <w:wAfter w:w="8" w:type="pct"/>
        </w:trPr>
        <w:tc>
          <w:tcPr>
            <w:tcW w:w="4992" w:type="pct"/>
          </w:tcPr>
          <w:p w14:paraId="6E2362B3" w14:textId="77777777" w:rsidR="00DA352E" w:rsidRPr="00DA352E" w:rsidRDefault="00BE2DCF" w:rsidP="003365A5">
            <w:pPr>
              <w:pStyle w:val="Tabletextprimarysource"/>
            </w:pPr>
            <w:r>
              <w:t>No report</w:t>
            </w:r>
            <w:r w:rsidR="00366CF8">
              <w:t>.</w:t>
            </w:r>
          </w:p>
        </w:tc>
      </w:tr>
      <w:tr w:rsidR="00DA352E" w:rsidRPr="00DA352E" w14:paraId="58B92ED0" w14:textId="77777777" w:rsidTr="0030227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76354C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2659A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2659A" w:rsidRPr="0092659A">
                  <w:t>TWA 8 hours:</w:t>
                </w:r>
                <w:r w:rsidR="0092659A">
                  <w:t xml:space="preserve"> 0.05 mg/m</w:t>
                </w:r>
                <w:r w:rsidR="0092659A" w:rsidRPr="0092659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4718A8A4" w14:textId="77777777" w:rsidTr="0030227E">
        <w:trPr>
          <w:gridAfter w:val="1"/>
          <w:wAfter w:w="8" w:type="pct"/>
        </w:trPr>
        <w:tc>
          <w:tcPr>
            <w:tcW w:w="4992" w:type="pct"/>
          </w:tcPr>
          <w:p w14:paraId="5345C272" w14:textId="77777777" w:rsidR="00DA352E" w:rsidRDefault="005179D5" w:rsidP="003365A5">
            <w:pPr>
              <w:pStyle w:val="Tabletextprimarysource"/>
            </w:pPr>
            <w:r>
              <w:t>Summary of additional information:</w:t>
            </w:r>
          </w:p>
          <w:p w14:paraId="6871EF7C" w14:textId="7A7ED5E2" w:rsidR="000B53B2" w:rsidRDefault="005179D5" w:rsidP="003365A5">
            <w:pPr>
              <w:pStyle w:val="Tabletextprimarysource"/>
            </w:pPr>
            <w:r>
              <w:t>Current administrative OEL considered too high</w:t>
            </w:r>
            <w:r w:rsidR="000B53B2">
              <w:t>.</w:t>
            </w:r>
            <w:r>
              <w:t xml:space="preserve"> </w:t>
            </w:r>
          </w:p>
          <w:p w14:paraId="364163EF" w14:textId="6EE04BD0" w:rsidR="005179D5" w:rsidRPr="00530936" w:rsidRDefault="000B53B2" w:rsidP="003365A5">
            <w:pPr>
              <w:pStyle w:val="Tabletextprimarysource"/>
            </w:pPr>
            <w:r>
              <w:t>H</w:t>
            </w:r>
            <w:r w:rsidR="005179D5">
              <w:t>ealth-based</w:t>
            </w:r>
            <w:r w:rsidR="00530936">
              <w:t xml:space="preserve"> recommended OEL (HBR</w:t>
            </w:r>
            <w:r w:rsidR="005179D5">
              <w:t>OEL) is derived from NOAEL of 0.07 mg/kg/d in chronic rat feeding study in the absence of quantitative short- or long-term inhalational exposure in animals and humans. Exposure duration is adjusted with a factor of 7/5, an allometric scaling factor of 4 for rats, and an overall factor of 9 to account for inter- and intraspecies differences are applied, which arrives at a human NAEL equivalent of 0.003 mg/kg/d. An inhal</w:t>
            </w:r>
            <w:r w:rsidR="00530936">
              <w:t xml:space="preserve">ational equivalent of this NAEL, and thus the HBROEL, </w:t>
            </w:r>
            <w:r w:rsidR="005179D5">
              <w:t>is 0.02 mg/m</w:t>
            </w:r>
            <w:r w:rsidR="005179D5">
              <w:rPr>
                <w:vertAlign w:val="superscript"/>
              </w:rPr>
              <w:t>3</w:t>
            </w:r>
            <w:r w:rsidR="00530936">
              <w:t>.</w:t>
            </w:r>
          </w:p>
          <w:p w14:paraId="05A39D79" w14:textId="77777777" w:rsidR="005179D5" w:rsidRDefault="005179D5" w:rsidP="003365A5">
            <w:pPr>
              <w:pStyle w:val="Tabletextprimarysource"/>
            </w:pPr>
            <w:r>
              <w:t>Animal data:</w:t>
            </w:r>
          </w:p>
          <w:p w14:paraId="70DCCFAB" w14:textId="77777777" w:rsidR="005179D5" w:rsidRDefault="005179D5" w:rsidP="005179D5">
            <w:pPr>
              <w:pStyle w:val="Tabletextprimarysource"/>
              <w:numPr>
                <w:ilvl w:val="0"/>
                <w:numId w:val="1"/>
              </w:numPr>
            </w:pPr>
            <w:r>
              <w:t>NOAEL: 0.05 (males) and 0.07 mg/kg/d (females) for brain ChE inhibition in chronic feeding study (rats, 2 yr, unclear if also cited in ACGIH, 2018)</w:t>
            </w:r>
            <w:r w:rsidR="00F23794">
              <w:t>.</w:t>
            </w:r>
          </w:p>
          <w:p w14:paraId="6217D379" w14:textId="77777777" w:rsidR="00A02630" w:rsidRPr="00DA352E" w:rsidRDefault="00A02630" w:rsidP="00D3551E">
            <w:pPr>
              <w:pStyle w:val="Tabletextprimarysource"/>
            </w:pPr>
          </w:p>
        </w:tc>
      </w:tr>
    </w:tbl>
    <w:p w14:paraId="180A73B2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2"/>
        <w:gridCol w:w="661"/>
        <w:gridCol w:w="6452"/>
      </w:tblGrid>
      <w:tr w:rsidR="004966BF" w:rsidRPr="00263255" w14:paraId="45CF3A37" w14:textId="77777777" w:rsidTr="00302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64053E8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383C3967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972EA0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4888DE9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92675DB" w14:textId="77777777" w:rsidTr="0030227E">
        <w:trPr>
          <w:cantSplit/>
        </w:trPr>
        <w:tc>
          <w:tcPr>
            <w:tcW w:w="1491" w:type="dxa"/>
          </w:tcPr>
          <w:p w14:paraId="39F92C25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271F4AF4" w14:textId="77777777" w:rsidR="004966BF" w:rsidRDefault="0030227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3093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68B3F5D" w14:textId="77777777" w:rsidR="004966BF" w:rsidRPr="004C23F4" w:rsidRDefault="00CF14B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2" w:type="dxa"/>
          </w:tcPr>
          <w:p w14:paraId="570AD2FD" w14:textId="77777777" w:rsidR="00017BA9" w:rsidRDefault="00017BA9" w:rsidP="00D3551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</w:pPr>
            <w:r w:rsidRPr="00017BA9">
              <w:t>No quantitative dermal absorption studies available, capacity for systemic poisoning from dermal absorption inferred from acute dermal application studies (rats)</w:t>
            </w:r>
          </w:p>
          <w:p w14:paraId="554D05A8" w14:textId="77777777" w:rsidR="009951D4" w:rsidRPr="00017BA9" w:rsidRDefault="009951D4" w:rsidP="00D3551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</w:pPr>
            <w:r>
              <w:t>High calculated ratio of skin dose to inhalation dose (SI): 3.3</w:t>
            </w:r>
          </w:p>
          <w:p w14:paraId="06DEDE65" w14:textId="77777777" w:rsidR="00017BA9" w:rsidRDefault="00017BA9" w:rsidP="00D3551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</w:pPr>
            <w:r w:rsidRPr="00017BA9">
              <w:t>Animal and workplace exposure studies indicate high toxicity, potential lethality, and ability to inhibit ChE from skin contact</w:t>
            </w:r>
            <w:r w:rsidR="00A02630">
              <w:t>:</w:t>
            </w:r>
          </w:p>
          <w:p w14:paraId="2F066C6F" w14:textId="0A18F040" w:rsidR="00017BA9" w:rsidRDefault="00017BA9" w:rsidP="00D3551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55–71% plasma ChE inhibition and bradycardia in 60% of exposed production plant workers (exposures not monitored, but involved both inhalation and dermal routes)</w:t>
            </w:r>
          </w:p>
          <w:p w14:paraId="247AAA74" w14:textId="77777777" w:rsidR="00017BA9" w:rsidRPr="00017BA9" w:rsidRDefault="00017BA9" w:rsidP="00D3551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 w:rsidRPr="00017BA9">
              <w:t>L</w:t>
            </w:r>
            <w:r w:rsidR="00CF14B3" w:rsidRPr="00017BA9">
              <w:t xml:space="preserve">imited number of human patch tests did not </w:t>
            </w:r>
            <w:r w:rsidRPr="00017BA9">
              <w:t xml:space="preserve">suggest </w:t>
            </w:r>
            <w:r w:rsidR="00CF14B3" w:rsidRPr="00017BA9">
              <w:t>skin sensitization</w:t>
            </w:r>
            <w:r w:rsidRPr="00017BA9">
              <w:t xml:space="preserve"> potential</w:t>
            </w:r>
          </w:p>
          <w:p w14:paraId="10E9EC99" w14:textId="77777777" w:rsidR="004966BF" w:rsidRPr="00017BA9" w:rsidRDefault="00017BA9" w:rsidP="00D3551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017BA9">
              <w:t>C</w:t>
            </w:r>
            <w:r w:rsidR="00CF14B3" w:rsidRPr="00017BA9">
              <w:t>omposite s</w:t>
            </w:r>
            <w:r w:rsidRPr="00017BA9">
              <w:t>kin notation of SK: SYS (FATAL) assigned.</w:t>
            </w:r>
          </w:p>
        </w:tc>
      </w:tr>
    </w:tbl>
    <w:bookmarkEnd w:id="0"/>
    <w:p w14:paraId="53844F50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9B431FA" w14:textId="77777777" w:rsidTr="00CF14B3">
        <w:trPr>
          <w:trHeight w:val="454"/>
          <w:tblHeader/>
        </w:trPr>
        <w:tc>
          <w:tcPr>
            <w:tcW w:w="6603" w:type="dxa"/>
            <w:vAlign w:val="center"/>
          </w:tcPr>
          <w:p w14:paraId="15E39A8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7AC57E1" w14:textId="77777777" w:rsidR="002E0D61" w:rsidRDefault="00CF14B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4F84917" w14:textId="77777777" w:rsidTr="00CF14B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0EDF220" w14:textId="77777777" w:rsidR="008A36CF" w:rsidRPr="006901A2" w:rsidRDefault="00CF14B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36E993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418D21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9E22402" w14:textId="77777777" w:rsidTr="00302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740BB4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95DADD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82B17FC" w14:textId="77777777" w:rsidTr="0030227E">
        <w:trPr>
          <w:cantSplit/>
        </w:trPr>
        <w:tc>
          <w:tcPr>
            <w:tcW w:w="3227" w:type="dxa"/>
          </w:tcPr>
          <w:p w14:paraId="538C4EF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8BD7B2C" w14:textId="77777777" w:rsidR="00687890" w:rsidRPr="00DD2F9B" w:rsidRDefault="00F23794" w:rsidP="00DD2F9B">
            <w:pPr>
              <w:pStyle w:val="Tablefont"/>
            </w:pPr>
            <w:r>
              <w:t>Sk.</w:t>
            </w:r>
          </w:p>
        </w:tc>
      </w:tr>
      <w:tr w:rsidR="007925F0" w:rsidRPr="004C23F4" w14:paraId="3D65BFCC" w14:textId="77777777" w:rsidTr="0030227E">
        <w:trPr>
          <w:cantSplit/>
        </w:trPr>
        <w:tc>
          <w:tcPr>
            <w:tcW w:w="3227" w:type="dxa"/>
          </w:tcPr>
          <w:p w14:paraId="1843DF9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EE54A71" w14:textId="77777777" w:rsidR="007925F0" w:rsidRPr="00DD2F9B" w:rsidRDefault="00530936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754FEE67" w14:textId="77777777" w:rsidTr="0030227E">
        <w:trPr>
          <w:cantSplit/>
        </w:trPr>
        <w:tc>
          <w:tcPr>
            <w:tcW w:w="3227" w:type="dxa"/>
          </w:tcPr>
          <w:p w14:paraId="037BBA9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CB13520" w14:textId="77777777" w:rsidR="00AF483F" w:rsidRPr="00DD2F9B" w:rsidRDefault="00530936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277E96A" w14:textId="77777777" w:rsidTr="0030227E">
        <w:trPr>
          <w:cantSplit/>
        </w:trPr>
        <w:tc>
          <w:tcPr>
            <w:tcW w:w="3227" w:type="dxa"/>
          </w:tcPr>
          <w:p w14:paraId="1679E732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DA733B7" w14:textId="77777777" w:rsidR="00687890" w:rsidRPr="00DD2F9B" w:rsidRDefault="00530936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124EAA30" w14:textId="77777777" w:rsidTr="0030227E">
        <w:trPr>
          <w:cantSplit/>
        </w:trPr>
        <w:tc>
          <w:tcPr>
            <w:tcW w:w="3227" w:type="dxa"/>
          </w:tcPr>
          <w:p w14:paraId="7D4283F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BCD6954" w14:textId="77777777" w:rsidR="00E41A26" w:rsidRPr="00DD2F9B" w:rsidRDefault="0053093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78BC0A2" w14:textId="77777777" w:rsidTr="0030227E">
        <w:trPr>
          <w:cantSplit/>
        </w:trPr>
        <w:tc>
          <w:tcPr>
            <w:tcW w:w="3227" w:type="dxa"/>
          </w:tcPr>
          <w:p w14:paraId="6EE3B1D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02ADDCD" w14:textId="77777777" w:rsidR="002E0D61" w:rsidRPr="00DD2F9B" w:rsidRDefault="00842CCD" w:rsidP="00DD2F9B">
            <w:pPr>
              <w:pStyle w:val="Tablefont"/>
            </w:pPr>
            <w:r w:rsidRPr="00842CCD">
              <w:t>Carcinogenicity – A4</w:t>
            </w:r>
            <w:r w:rsidR="00655501">
              <w:t>, Skin</w:t>
            </w:r>
          </w:p>
        </w:tc>
      </w:tr>
      <w:tr w:rsidR="002E0D61" w:rsidRPr="004C23F4" w14:paraId="5C153BB8" w14:textId="77777777" w:rsidTr="0030227E">
        <w:trPr>
          <w:cantSplit/>
        </w:trPr>
        <w:tc>
          <w:tcPr>
            <w:tcW w:w="3227" w:type="dxa"/>
          </w:tcPr>
          <w:p w14:paraId="476A0BC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A528DC3" w14:textId="77777777" w:rsidR="002E0D61" w:rsidRPr="00DD2F9B" w:rsidRDefault="00E407B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FA2EAD0" w14:textId="77777777" w:rsidTr="0030227E">
        <w:trPr>
          <w:cantSplit/>
        </w:trPr>
        <w:tc>
          <w:tcPr>
            <w:tcW w:w="3227" w:type="dxa"/>
          </w:tcPr>
          <w:p w14:paraId="35A0DF6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7A853C7" w14:textId="77777777" w:rsidR="002E0D61" w:rsidRPr="00DD2F9B" w:rsidRDefault="0092659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6CD5560" w14:textId="77777777" w:rsidTr="0030227E">
        <w:trPr>
          <w:cantSplit/>
        </w:trPr>
        <w:tc>
          <w:tcPr>
            <w:tcW w:w="3227" w:type="dxa"/>
          </w:tcPr>
          <w:p w14:paraId="7816E83A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1D801E4" w14:textId="77777777" w:rsidR="002E0D61" w:rsidRPr="00DD2F9B" w:rsidRDefault="0092659A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03911A6F" w14:textId="77777777" w:rsidTr="0030227E">
        <w:trPr>
          <w:cantSplit/>
        </w:trPr>
        <w:tc>
          <w:tcPr>
            <w:tcW w:w="3227" w:type="dxa"/>
          </w:tcPr>
          <w:p w14:paraId="3E51440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EAAA537" w14:textId="77777777" w:rsidR="00386093" w:rsidRPr="00DD2F9B" w:rsidRDefault="0047463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B0A175A" w14:textId="77777777" w:rsidTr="0030227E">
        <w:trPr>
          <w:cantSplit/>
        </w:trPr>
        <w:tc>
          <w:tcPr>
            <w:tcW w:w="3227" w:type="dxa"/>
          </w:tcPr>
          <w:p w14:paraId="70AFB39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F88B811" w14:textId="77777777" w:rsidR="00386093" w:rsidRPr="00DD2F9B" w:rsidRDefault="00530936" w:rsidP="00D87570">
            <w:pPr>
              <w:pStyle w:val="Tablefont"/>
              <w:keepNext/>
            </w:pPr>
            <w:r>
              <w:t>SK:SYS (Fatal)</w:t>
            </w:r>
          </w:p>
        </w:tc>
      </w:tr>
    </w:tbl>
    <w:bookmarkEnd w:id="2"/>
    <w:p w14:paraId="2D2EB3D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3B6C26E" w14:textId="77777777" w:rsidR="00474E33" w:rsidRDefault="00474E33" w:rsidP="00474E33">
      <w:pPr>
        <w:pStyle w:val="Heading3"/>
      </w:pPr>
      <w:r w:rsidRPr="009951D4"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8F2718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54DE90D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F27312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28" w:type="dxa"/>
              <w:tblLook w:val="04A0" w:firstRow="1" w:lastRow="0" w:firstColumn="1" w:lastColumn="0" w:noHBand="0" w:noVBand="1"/>
            </w:tblPr>
            <w:tblGrid>
              <w:gridCol w:w="3823"/>
              <w:gridCol w:w="1131"/>
              <w:gridCol w:w="1131"/>
              <w:gridCol w:w="2725"/>
            </w:tblGrid>
            <w:tr w:rsidR="009951D4" w:rsidRPr="009951D4" w14:paraId="0114D752" w14:textId="77777777" w:rsidTr="009951D4">
              <w:trPr>
                <w:trHeight w:val="231"/>
              </w:trPr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FB72FB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47706F0" w14:textId="77777777" w:rsidR="009951D4" w:rsidRPr="009951D4" w:rsidRDefault="009951D4" w:rsidP="009951D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51F369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F3F543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951D4" w:rsidRPr="009951D4" w14:paraId="76997D0C" w14:textId="77777777" w:rsidTr="009951D4">
              <w:trPr>
                <w:trHeight w:val="231"/>
              </w:trPr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951F50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EDEEE38" w14:textId="77777777" w:rsidR="009951D4" w:rsidRPr="009951D4" w:rsidRDefault="009951D4" w:rsidP="009951D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65BB7D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D6842D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951D4" w:rsidRPr="009951D4" w14:paraId="32AB9C3C" w14:textId="77777777" w:rsidTr="009951D4">
              <w:trPr>
                <w:trHeight w:val="231"/>
              </w:trPr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5F393B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2380A5" w14:textId="77777777" w:rsidR="009951D4" w:rsidRPr="009951D4" w:rsidRDefault="009951D4" w:rsidP="009951D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0B2FA7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300139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951D4" w:rsidRPr="009951D4" w14:paraId="1901361A" w14:textId="77777777" w:rsidTr="009951D4">
              <w:trPr>
                <w:trHeight w:val="231"/>
              </w:trPr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9569EF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B0DE240" w14:textId="77777777" w:rsidR="009951D4" w:rsidRPr="009951D4" w:rsidRDefault="009951D4" w:rsidP="009951D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AD5E6F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0C901B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951D4" w:rsidRPr="009951D4" w14:paraId="361A1920" w14:textId="77777777" w:rsidTr="009951D4">
              <w:trPr>
                <w:trHeight w:val="231"/>
              </w:trPr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853233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E3B58E" w14:textId="77777777" w:rsidR="009951D4" w:rsidRPr="009951D4" w:rsidRDefault="009951D4" w:rsidP="009951D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B8D90F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6BF16F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951D4" w:rsidRPr="009951D4" w14:paraId="33D5D3E8" w14:textId="77777777" w:rsidTr="009951D4">
              <w:trPr>
                <w:trHeight w:val="231"/>
              </w:trPr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42A663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F5DB8F" w14:textId="77777777" w:rsidR="009951D4" w:rsidRPr="009951D4" w:rsidRDefault="009951D4" w:rsidP="009951D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F4F49B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58E1A8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951D4" w:rsidRPr="009951D4" w14:paraId="22C8D3F4" w14:textId="77777777" w:rsidTr="009951D4">
              <w:trPr>
                <w:trHeight w:val="231"/>
              </w:trPr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F3816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875E71" w14:textId="77777777" w:rsidR="009951D4" w:rsidRPr="009951D4" w:rsidRDefault="009951D4" w:rsidP="009951D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3EBC3C" w14:textId="77777777" w:rsidR="009951D4" w:rsidRPr="009951D4" w:rsidRDefault="009951D4" w:rsidP="009951D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C849EC" w14:textId="77777777" w:rsidR="009951D4" w:rsidRPr="009951D4" w:rsidRDefault="009951D4" w:rsidP="009951D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951D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0D77FCB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D9681B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84E12C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1FBE2D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73A07E8" w14:textId="77777777" w:rsidR="00EB3D1B" w:rsidRDefault="007838B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633D9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35E940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E2AEE1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FFCE15E" w14:textId="77777777" w:rsidR="001B79E5" w:rsidRDefault="007838B7" w:rsidP="001B79E5">
                <w:pPr>
                  <w:pStyle w:val="Tablefont"/>
                </w:pPr>
                <w:r>
                  <w:t>260.4</w:t>
                </w:r>
              </w:p>
            </w:tc>
          </w:sdtContent>
        </w:sdt>
      </w:tr>
      <w:tr w:rsidR="00A31D99" w:rsidRPr="004C23F4" w14:paraId="3471D0E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6202A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10C6B00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4B360E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67984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A492F96" w14:textId="77777777" w:rsidR="00687890" w:rsidRPr="004C23F4" w:rsidRDefault="008A4863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1D4B6D2" w14:textId="77777777" w:rsidTr="00EA6243">
        <w:trPr>
          <w:cantSplit/>
        </w:trPr>
        <w:tc>
          <w:tcPr>
            <w:tcW w:w="4077" w:type="dxa"/>
            <w:vAlign w:val="center"/>
          </w:tcPr>
          <w:p w14:paraId="3098C4A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FBDDD03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40A760C" w14:textId="77777777" w:rsidTr="00EA6243">
        <w:trPr>
          <w:cantSplit/>
        </w:trPr>
        <w:tc>
          <w:tcPr>
            <w:tcW w:w="4077" w:type="dxa"/>
            <w:vAlign w:val="center"/>
          </w:tcPr>
          <w:p w14:paraId="3876848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C6507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16F162F" w14:textId="77777777" w:rsidTr="00EA6243">
        <w:trPr>
          <w:cantSplit/>
        </w:trPr>
        <w:tc>
          <w:tcPr>
            <w:tcW w:w="4077" w:type="dxa"/>
            <w:vAlign w:val="center"/>
          </w:tcPr>
          <w:p w14:paraId="705F6B6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7A7F502" w14:textId="77777777" w:rsidR="00E06F40" w:rsidRPr="00A006A0" w:rsidRDefault="0030227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F14B3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DB2D55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5DBC57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0AFB41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9C9A6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09534E1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B336FF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F5A91B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p w14:paraId="571A914D" w14:textId="77777777" w:rsidR="00F87D92" w:rsidRDefault="00F87D92" w:rsidP="00EF7F78">
      <w:pPr>
        <w:pStyle w:val="Heading2"/>
        <w:tabs>
          <w:tab w:val="right" w:pos="8505"/>
        </w:tabs>
      </w:pPr>
      <w:bookmarkStart w:id="5" w:name="_GoBack"/>
      <w:bookmarkEnd w:id="4"/>
      <w:r>
        <w:t>References</w:t>
      </w:r>
      <w:r w:rsidR="00EF7F78">
        <w:tab/>
      </w:r>
    </w:p>
    <w:bookmarkEnd w:id="5"/>
    <w:p w14:paraId="31451097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19A2D9F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E03839">
        <w:t>2003</w:t>
      </w:r>
      <w:r>
        <w:t xml:space="preserve">) </w:t>
      </w:r>
      <w:r w:rsidR="00E03839">
        <w:t>Phorate</w:t>
      </w:r>
      <w:r w:rsidRPr="005F7416">
        <w:t xml:space="preserve">. </w:t>
      </w:r>
      <w:r w:rsidR="00E03839" w:rsidRPr="00E03839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E03839">
        <w:t>2000/15OSH/075</w:t>
      </w:r>
      <w:r>
        <w:t>.</w:t>
      </w:r>
    </w:p>
    <w:p w14:paraId="52D51283" w14:textId="77777777" w:rsidR="008E4F1F" w:rsidRPr="00351FE0" w:rsidRDefault="009951D4" w:rsidP="009951D4">
      <w:r>
        <w:t>US National Institute for Occupational Safety and Health (NIOSH) (2011) Skin Notation Profiles: Phorate.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85CA" w14:textId="77777777" w:rsidR="00916BCE" w:rsidRDefault="00916BCE" w:rsidP="00F43AD5">
      <w:pPr>
        <w:spacing w:after="0" w:line="240" w:lineRule="auto"/>
      </w:pPr>
      <w:r>
        <w:separator/>
      </w:r>
    </w:p>
  </w:endnote>
  <w:endnote w:type="continuationSeparator" w:id="0">
    <w:p w14:paraId="61319B6F" w14:textId="77777777" w:rsidR="00916BCE" w:rsidRDefault="00916BC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4F3D" w14:textId="77777777" w:rsidR="000005D2" w:rsidRDefault="00000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EBD73E3" w14:textId="77777777" w:rsidR="008A36CF" w:rsidRDefault="00F33015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Phorate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298-02-2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294D98">
          <w:rPr>
            <w:sz w:val="18"/>
            <w:szCs w:val="18"/>
          </w:rPr>
          <w:t>20</w:t>
        </w:r>
      </w:p>
      <w:p w14:paraId="5513BBDB" w14:textId="214ED9DD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F038F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D0F9" w14:textId="77777777" w:rsidR="000005D2" w:rsidRDefault="00000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A48A8" w14:textId="77777777" w:rsidR="00916BCE" w:rsidRDefault="00916BCE" w:rsidP="00F43AD5">
      <w:pPr>
        <w:spacing w:after="0" w:line="240" w:lineRule="auto"/>
      </w:pPr>
      <w:r>
        <w:separator/>
      </w:r>
    </w:p>
  </w:footnote>
  <w:footnote w:type="continuationSeparator" w:id="0">
    <w:p w14:paraId="02BFC3E8" w14:textId="77777777" w:rsidR="00916BCE" w:rsidRDefault="00916BC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66E8C" w14:textId="77777777" w:rsidR="000005D2" w:rsidRDefault="00000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24F2" w14:textId="0ABF76EF" w:rsidR="000005D2" w:rsidRDefault="000005D2" w:rsidP="000005D2">
    <w:pPr>
      <w:pStyle w:val="Header"/>
      <w:jc w:val="right"/>
    </w:pPr>
    <w:r>
      <w:pict w14:anchorId="60E27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4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AAC00AF" wp14:editId="24A28B1C">
          <wp:extent cx="2945130" cy="593725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D3CEC" w14:textId="77777777" w:rsidR="000005D2" w:rsidRDefault="000005D2" w:rsidP="000005D2">
    <w:pPr>
      <w:pStyle w:val="Header"/>
    </w:pPr>
  </w:p>
  <w:p w14:paraId="17ADEF07" w14:textId="33E48581" w:rsidR="008A36CF" w:rsidRPr="000005D2" w:rsidRDefault="008A36CF" w:rsidP="00000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5BB6" w14:textId="77777777" w:rsidR="000005D2" w:rsidRDefault="000005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C85E" w14:textId="2475AF6C" w:rsidR="000005D2" w:rsidRDefault="000005D2" w:rsidP="000005D2">
    <w:pPr>
      <w:pStyle w:val="Header"/>
      <w:jc w:val="right"/>
    </w:pPr>
    <w:r>
      <w:pict w14:anchorId="2C4BF3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5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8D7F3D9" wp14:editId="618773E3">
          <wp:extent cx="2945130" cy="593725"/>
          <wp:effectExtent l="0" t="0" r="0" b="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D6D6D" w14:textId="77777777" w:rsidR="000005D2" w:rsidRDefault="000005D2" w:rsidP="000005D2">
    <w:pPr>
      <w:pStyle w:val="Header"/>
    </w:pPr>
  </w:p>
  <w:p w14:paraId="27486E35" w14:textId="77777777" w:rsidR="008A36CF" w:rsidRDefault="008A36CF" w:rsidP="000005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A3E9D"/>
    <w:multiLevelType w:val="hybridMultilevel"/>
    <w:tmpl w:val="23222F50"/>
    <w:lvl w:ilvl="0" w:tplc="C6202B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D4542"/>
    <w:multiLevelType w:val="hybridMultilevel"/>
    <w:tmpl w:val="B22CE116"/>
    <w:lvl w:ilvl="0" w:tplc="34864E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05D2"/>
    <w:rsid w:val="00001BDA"/>
    <w:rsid w:val="00007B80"/>
    <w:rsid w:val="00013A22"/>
    <w:rsid w:val="00014C3F"/>
    <w:rsid w:val="00017BA9"/>
    <w:rsid w:val="00017C82"/>
    <w:rsid w:val="00032B88"/>
    <w:rsid w:val="00037E52"/>
    <w:rsid w:val="00046DF5"/>
    <w:rsid w:val="00052060"/>
    <w:rsid w:val="0005574A"/>
    <w:rsid w:val="00055FE1"/>
    <w:rsid w:val="00056E22"/>
    <w:rsid w:val="00056EC2"/>
    <w:rsid w:val="00060B48"/>
    <w:rsid w:val="00067F32"/>
    <w:rsid w:val="00071807"/>
    <w:rsid w:val="00074748"/>
    <w:rsid w:val="000803E1"/>
    <w:rsid w:val="00082F77"/>
    <w:rsid w:val="00084513"/>
    <w:rsid w:val="00084859"/>
    <w:rsid w:val="00092D94"/>
    <w:rsid w:val="000B0868"/>
    <w:rsid w:val="000B3E12"/>
    <w:rsid w:val="000B3E78"/>
    <w:rsid w:val="000B53B2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4182"/>
    <w:rsid w:val="00140E6A"/>
    <w:rsid w:val="00146545"/>
    <w:rsid w:val="00146B75"/>
    <w:rsid w:val="0015266D"/>
    <w:rsid w:val="0015288A"/>
    <w:rsid w:val="00152D37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6155"/>
    <w:rsid w:val="001B79E5"/>
    <w:rsid w:val="001D56F0"/>
    <w:rsid w:val="001D663B"/>
    <w:rsid w:val="001D7B41"/>
    <w:rsid w:val="001E2988"/>
    <w:rsid w:val="001E46DA"/>
    <w:rsid w:val="001E7D80"/>
    <w:rsid w:val="001F4B6C"/>
    <w:rsid w:val="001F62CB"/>
    <w:rsid w:val="001F6ED0"/>
    <w:rsid w:val="001F72E6"/>
    <w:rsid w:val="001F73C5"/>
    <w:rsid w:val="00204269"/>
    <w:rsid w:val="002046A6"/>
    <w:rsid w:val="00204956"/>
    <w:rsid w:val="00213640"/>
    <w:rsid w:val="00221547"/>
    <w:rsid w:val="002216FC"/>
    <w:rsid w:val="00222533"/>
    <w:rsid w:val="00222F30"/>
    <w:rsid w:val="00224EE2"/>
    <w:rsid w:val="00226C11"/>
    <w:rsid w:val="00227EC7"/>
    <w:rsid w:val="00244AD1"/>
    <w:rsid w:val="002463BC"/>
    <w:rsid w:val="002465CE"/>
    <w:rsid w:val="0025734A"/>
    <w:rsid w:val="00262280"/>
    <w:rsid w:val="00263255"/>
    <w:rsid w:val="00264FD4"/>
    <w:rsid w:val="00274157"/>
    <w:rsid w:val="00276494"/>
    <w:rsid w:val="00277B0C"/>
    <w:rsid w:val="00294D98"/>
    <w:rsid w:val="002B1A2C"/>
    <w:rsid w:val="002B1B55"/>
    <w:rsid w:val="002C34F2"/>
    <w:rsid w:val="002C58FF"/>
    <w:rsid w:val="002C7AFE"/>
    <w:rsid w:val="002D05D2"/>
    <w:rsid w:val="002E0D61"/>
    <w:rsid w:val="002E4C7B"/>
    <w:rsid w:val="002F3828"/>
    <w:rsid w:val="002F602B"/>
    <w:rsid w:val="0030227E"/>
    <w:rsid w:val="0030740C"/>
    <w:rsid w:val="00315833"/>
    <w:rsid w:val="00320B8D"/>
    <w:rsid w:val="003215EE"/>
    <w:rsid w:val="00321709"/>
    <w:rsid w:val="003224BF"/>
    <w:rsid w:val="00322F37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6CF8"/>
    <w:rsid w:val="00370DBF"/>
    <w:rsid w:val="00386093"/>
    <w:rsid w:val="003904A4"/>
    <w:rsid w:val="00391841"/>
    <w:rsid w:val="00391B6D"/>
    <w:rsid w:val="00394922"/>
    <w:rsid w:val="003A0E32"/>
    <w:rsid w:val="003A218E"/>
    <w:rsid w:val="003A2B94"/>
    <w:rsid w:val="003B387D"/>
    <w:rsid w:val="003C0D58"/>
    <w:rsid w:val="003D35C0"/>
    <w:rsid w:val="003D4FA3"/>
    <w:rsid w:val="003E0227"/>
    <w:rsid w:val="003E0807"/>
    <w:rsid w:val="003E378D"/>
    <w:rsid w:val="003E51FB"/>
    <w:rsid w:val="003E6B39"/>
    <w:rsid w:val="003F038F"/>
    <w:rsid w:val="003F07E1"/>
    <w:rsid w:val="003F4D6D"/>
    <w:rsid w:val="004030BC"/>
    <w:rsid w:val="00403F7D"/>
    <w:rsid w:val="00406785"/>
    <w:rsid w:val="004079B4"/>
    <w:rsid w:val="00417A56"/>
    <w:rsid w:val="00420957"/>
    <w:rsid w:val="00421690"/>
    <w:rsid w:val="00422A10"/>
    <w:rsid w:val="00430179"/>
    <w:rsid w:val="0043073F"/>
    <w:rsid w:val="00430AF9"/>
    <w:rsid w:val="004414B5"/>
    <w:rsid w:val="00444482"/>
    <w:rsid w:val="00444B42"/>
    <w:rsid w:val="00445E44"/>
    <w:rsid w:val="004509E2"/>
    <w:rsid w:val="004515EE"/>
    <w:rsid w:val="004529F0"/>
    <w:rsid w:val="00460A03"/>
    <w:rsid w:val="00461AC8"/>
    <w:rsid w:val="00472A11"/>
    <w:rsid w:val="00472AAD"/>
    <w:rsid w:val="00474631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08CA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454"/>
    <w:rsid w:val="004F65E8"/>
    <w:rsid w:val="0050005E"/>
    <w:rsid w:val="00502B88"/>
    <w:rsid w:val="005142C4"/>
    <w:rsid w:val="0051509C"/>
    <w:rsid w:val="005179D5"/>
    <w:rsid w:val="005272E2"/>
    <w:rsid w:val="00530936"/>
    <w:rsid w:val="0053108F"/>
    <w:rsid w:val="00532B56"/>
    <w:rsid w:val="00534B10"/>
    <w:rsid w:val="005446A2"/>
    <w:rsid w:val="00544D2F"/>
    <w:rsid w:val="00544DEC"/>
    <w:rsid w:val="00551BD8"/>
    <w:rsid w:val="00581055"/>
    <w:rsid w:val="00591E38"/>
    <w:rsid w:val="00592AAD"/>
    <w:rsid w:val="0059518B"/>
    <w:rsid w:val="005A19C5"/>
    <w:rsid w:val="005A3034"/>
    <w:rsid w:val="005A462D"/>
    <w:rsid w:val="005B253B"/>
    <w:rsid w:val="005B771D"/>
    <w:rsid w:val="005C26A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26B7A"/>
    <w:rsid w:val="006363A8"/>
    <w:rsid w:val="00636DB7"/>
    <w:rsid w:val="00650905"/>
    <w:rsid w:val="006532ED"/>
    <w:rsid w:val="006549F2"/>
    <w:rsid w:val="00655501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1D1D"/>
    <w:rsid w:val="006A60CA"/>
    <w:rsid w:val="006B160A"/>
    <w:rsid w:val="006B2BBB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2461"/>
    <w:rsid w:val="007365D1"/>
    <w:rsid w:val="00740E0E"/>
    <w:rsid w:val="00750212"/>
    <w:rsid w:val="00754779"/>
    <w:rsid w:val="0075716D"/>
    <w:rsid w:val="00761B91"/>
    <w:rsid w:val="00765F14"/>
    <w:rsid w:val="00770E31"/>
    <w:rsid w:val="007770F1"/>
    <w:rsid w:val="007838B7"/>
    <w:rsid w:val="00783FB1"/>
    <w:rsid w:val="00785CDD"/>
    <w:rsid w:val="00791847"/>
    <w:rsid w:val="007925F0"/>
    <w:rsid w:val="007939B3"/>
    <w:rsid w:val="0079509C"/>
    <w:rsid w:val="00796708"/>
    <w:rsid w:val="00797A08"/>
    <w:rsid w:val="007B1B42"/>
    <w:rsid w:val="007C30EB"/>
    <w:rsid w:val="007D536E"/>
    <w:rsid w:val="007E063C"/>
    <w:rsid w:val="007E2A4B"/>
    <w:rsid w:val="007E307D"/>
    <w:rsid w:val="007E6A4E"/>
    <w:rsid w:val="007E6C94"/>
    <w:rsid w:val="007F1005"/>
    <w:rsid w:val="007F25E0"/>
    <w:rsid w:val="007F5328"/>
    <w:rsid w:val="007F54A3"/>
    <w:rsid w:val="00804F5A"/>
    <w:rsid w:val="00810C6D"/>
    <w:rsid w:val="00812887"/>
    <w:rsid w:val="00826F21"/>
    <w:rsid w:val="00834CC8"/>
    <w:rsid w:val="00835E00"/>
    <w:rsid w:val="00837113"/>
    <w:rsid w:val="008414E4"/>
    <w:rsid w:val="00842CCD"/>
    <w:rsid w:val="00843E21"/>
    <w:rsid w:val="0084508E"/>
    <w:rsid w:val="00845A91"/>
    <w:rsid w:val="00857A8A"/>
    <w:rsid w:val="008630EE"/>
    <w:rsid w:val="00864D13"/>
    <w:rsid w:val="00866896"/>
    <w:rsid w:val="00871CD5"/>
    <w:rsid w:val="008745A2"/>
    <w:rsid w:val="008768A8"/>
    <w:rsid w:val="00881216"/>
    <w:rsid w:val="00881369"/>
    <w:rsid w:val="0088798F"/>
    <w:rsid w:val="00887E4B"/>
    <w:rsid w:val="008915C8"/>
    <w:rsid w:val="008A36CF"/>
    <w:rsid w:val="008A3BC4"/>
    <w:rsid w:val="008A4863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36CC"/>
    <w:rsid w:val="008F5DCD"/>
    <w:rsid w:val="00900951"/>
    <w:rsid w:val="009118A6"/>
    <w:rsid w:val="00916909"/>
    <w:rsid w:val="00916BCE"/>
    <w:rsid w:val="00916EC0"/>
    <w:rsid w:val="00920467"/>
    <w:rsid w:val="00921DE7"/>
    <w:rsid w:val="0092659A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3E66"/>
    <w:rsid w:val="009951D4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2630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760C"/>
    <w:rsid w:val="00A37E67"/>
    <w:rsid w:val="00A402A3"/>
    <w:rsid w:val="00A53681"/>
    <w:rsid w:val="00A612F5"/>
    <w:rsid w:val="00A633D4"/>
    <w:rsid w:val="00A6461A"/>
    <w:rsid w:val="00A84504"/>
    <w:rsid w:val="00A8672F"/>
    <w:rsid w:val="00A93057"/>
    <w:rsid w:val="00A968B0"/>
    <w:rsid w:val="00AA3FD4"/>
    <w:rsid w:val="00AB2672"/>
    <w:rsid w:val="00AB2817"/>
    <w:rsid w:val="00AB2982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AF608A"/>
    <w:rsid w:val="00B00A25"/>
    <w:rsid w:val="00B100CD"/>
    <w:rsid w:val="00B1422A"/>
    <w:rsid w:val="00B1765C"/>
    <w:rsid w:val="00B213C4"/>
    <w:rsid w:val="00B40C60"/>
    <w:rsid w:val="00B479A9"/>
    <w:rsid w:val="00B52EDF"/>
    <w:rsid w:val="00B536F9"/>
    <w:rsid w:val="00B57DFE"/>
    <w:rsid w:val="00B71188"/>
    <w:rsid w:val="00B76A41"/>
    <w:rsid w:val="00B80110"/>
    <w:rsid w:val="00B8048A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2DCF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7799"/>
    <w:rsid w:val="00CB1CB1"/>
    <w:rsid w:val="00CB6BC1"/>
    <w:rsid w:val="00CB6CB8"/>
    <w:rsid w:val="00CC1A68"/>
    <w:rsid w:val="00CC2123"/>
    <w:rsid w:val="00CD2BFD"/>
    <w:rsid w:val="00CE338F"/>
    <w:rsid w:val="00CE5AD6"/>
    <w:rsid w:val="00CE617F"/>
    <w:rsid w:val="00CE78EF"/>
    <w:rsid w:val="00CE7FBA"/>
    <w:rsid w:val="00CF14B3"/>
    <w:rsid w:val="00D048F7"/>
    <w:rsid w:val="00D0517E"/>
    <w:rsid w:val="00D140FC"/>
    <w:rsid w:val="00D21D8C"/>
    <w:rsid w:val="00D31357"/>
    <w:rsid w:val="00D32F2A"/>
    <w:rsid w:val="00D33220"/>
    <w:rsid w:val="00D334D1"/>
    <w:rsid w:val="00D3551E"/>
    <w:rsid w:val="00D44C89"/>
    <w:rsid w:val="00D50030"/>
    <w:rsid w:val="00D516CD"/>
    <w:rsid w:val="00D52A88"/>
    <w:rsid w:val="00D668E6"/>
    <w:rsid w:val="00D67CA8"/>
    <w:rsid w:val="00D70670"/>
    <w:rsid w:val="00D74D80"/>
    <w:rsid w:val="00D76624"/>
    <w:rsid w:val="00D87570"/>
    <w:rsid w:val="00D91CB9"/>
    <w:rsid w:val="00D97989"/>
    <w:rsid w:val="00D97D8D"/>
    <w:rsid w:val="00DA352E"/>
    <w:rsid w:val="00DB3722"/>
    <w:rsid w:val="00DC6320"/>
    <w:rsid w:val="00DC7694"/>
    <w:rsid w:val="00DD1BF6"/>
    <w:rsid w:val="00DD2F9B"/>
    <w:rsid w:val="00DE185D"/>
    <w:rsid w:val="00DE2513"/>
    <w:rsid w:val="00DE26E8"/>
    <w:rsid w:val="00DE4432"/>
    <w:rsid w:val="00DF6F36"/>
    <w:rsid w:val="00E0084C"/>
    <w:rsid w:val="00E025AB"/>
    <w:rsid w:val="00E02B23"/>
    <w:rsid w:val="00E03839"/>
    <w:rsid w:val="00E06F40"/>
    <w:rsid w:val="00E07CE8"/>
    <w:rsid w:val="00E26A07"/>
    <w:rsid w:val="00E32595"/>
    <w:rsid w:val="00E37CFD"/>
    <w:rsid w:val="00E407BC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3BD0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17F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3794"/>
    <w:rsid w:val="00F262CB"/>
    <w:rsid w:val="00F33015"/>
    <w:rsid w:val="00F43AD5"/>
    <w:rsid w:val="00F4402E"/>
    <w:rsid w:val="00F45A0F"/>
    <w:rsid w:val="00F45F8C"/>
    <w:rsid w:val="00F53751"/>
    <w:rsid w:val="00F56DD0"/>
    <w:rsid w:val="00F6491C"/>
    <w:rsid w:val="00F6694A"/>
    <w:rsid w:val="00F67BBB"/>
    <w:rsid w:val="00F70D26"/>
    <w:rsid w:val="00F87D92"/>
    <w:rsid w:val="00F90AA7"/>
    <w:rsid w:val="00F92498"/>
    <w:rsid w:val="00F9496B"/>
    <w:rsid w:val="00F970C9"/>
    <w:rsid w:val="00FA06A8"/>
    <w:rsid w:val="00FA3807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42B71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A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C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C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B8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C5F551EB64FD2B758472C6CAC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6B01-40A8-4D5A-8A10-E0962D8F3B60}"/>
      </w:docPartPr>
      <w:docPartBody>
        <w:p w:rsidR="00D170AE" w:rsidRDefault="005C4F59" w:rsidP="005C4F59">
          <w:pPr>
            <w:pStyle w:val="717C5F551EB64FD2B758472C6CACD647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E0149"/>
    <w:rsid w:val="005C4F59"/>
    <w:rsid w:val="00AD11DC"/>
    <w:rsid w:val="00C959ED"/>
    <w:rsid w:val="00D170AE"/>
    <w:rsid w:val="00D21A9F"/>
    <w:rsid w:val="00D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F5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717C5F551EB64FD2B758472C6CACD647">
    <w:name w:val="717C5F551EB64FD2B758472C6CACD647"/>
    <w:rsid w:val="005C4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8241-90DD-40BC-AC7F-32E23FBA9A68}">
  <ds:schemaRefs>
    <ds:schemaRef ds:uri="http://schemas.microsoft.com/office/2006/documentManagement/types"/>
    <ds:schemaRef ds:uri="http://purl.org/dc/elements/1.1/"/>
    <ds:schemaRef ds:uri="http://purl.org/dc/dcmitype/"/>
    <ds:schemaRef ds:uri="bf54d604-3e62-4e70-ba33-9e9084b96a66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BA938F-F3B3-4EDC-ADCB-D2CAD3E41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F6361-68F2-4BC2-980C-316720ED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F99EF-0331-40A1-AFC6-83AA7DE2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2020-03-25T22:17:00Z</dcterms:created>
  <dcterms:modified xsi:type="dcterms:W3CDTF">2020-07-21T00:33:00Z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