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B6BFD5A" w14:textId="144BC981" w:rsidR="00BD499F" w:rsidRPr="004C23F4" w:rsidRDefault="00A7478C" w:rsidP="00B40C60">
          <w:pPr>
            <w:pStyle w:val="Heading1"/>
            <w:jc w:val="center"/>
            <w:rPr>
              <w:rFonts w:ascii="Arial" w:hAnsi="Arial" w:cs="Arial"/>
            </w:rPr>
          </w:pPr>
          <w:r w:rsidRPr="00A7478C">
            <w:rPr>
              <w:rFonts w:ascii="Arial" w:hAnsi="Arial" w:cs="Arial"/>
            </w:rPr>
            <w:t>Picloram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3C395523" w14:textId="77777777" w:rsidTr="00B76A41">
        <w:trPr>
          <w:cantSplit/>
          <w:tblHeader/>
        </w:trPr>
        <w:tc>
          <w:tcPr>
            <w:tcW w:w="4077" w:type="dxa"/>
          </w:tcPr>
          <w:p w14:paraId="28E355C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45F046B" w14:textId="1D0E3B20" w:rsidR="00F43AD5" w:rsidRPr="00717D45" w:rsidRDefault="00524E18" w:rsidP="00B76A41">
            <w:pPr>
              <w:pStyle w:val="Tablefont"/>
            </w:pPr>
            <w:r w:rsidRPr="00524E18">
              <w:t>1918-02-1</w:t>
            </w:r>
          </w:p>
        </w:tc>
      </w:tr>
      <w:tr w:rsidR="00F43AD5" w:rsidRPr="00A54A82" w14:paraId="09C988E6" w14:textId="77777777" w:rsidTr="00B76A41">
        <w:trPr>
          <w:cantSplit/>
        </w:trPr>
        <w:tc>
          <w:tcPr>
            <w:tcW w:w="4077" w:type="dxa"/>
          </w:tcPr>
          <w:p w14:paraId="7E83F88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7E15012" w14:textId="167B9875" w:rsidR="00F43AD5" w:rsidRPr="00285BAC" w:rsidRDefault="00996237" w:rsidP="00B76A41">
            <w:pPr>
              <w:pStyle w:val="Tablefont"/>
              <w:rPr>
                <w:lang w:val="it-IT"/>
              </w:rPr>
            </w:pPr>
            <w:r w:rsidRPr="00285BAC">
              <w:rPr>
                <w:lang w:val="it-IT"/>
              </w:rPr>
              <w:t>4-Amino-3,5,6-trichloropicolinic acid, Amdon</w:t>
            </w:r>
            <w:r w:rsidRPr="00285BAC">
              <w:rPr>
                <w:rFonts w:cs="Arial"/>
                <w:vertAlign w:val="superscript"/>
                <w:lang w:val="it-IT"/>
              </w:rPr>
              <w:t>®</w:t>
            </w:r>
            <w:r w:rsidRPr="00285BAC">
              <w:rPr>
                <w:rFonts w:cs="Arial"/>
                <w:lang w:val="it-IT"/>
              </w:rPr>
              <w:t>, Borolin</w:t>
            </w:r>
            <w:r w:rsidRPr="00285BAC">
              <w:rPr>
                <w:rFonts w:cs="Arial"/>
                <w:vertAlign w:val="superscript"/>
                <w:lang w:val="it-IT"/>
              </w:rPr>
              <w:t>®</w:t>
            </w:r>
            <w:r w:rsidRPr="00285BAC">
              <w:rPr>
                <w:rFonts w:cs="Arial"/>
                <w:lang w:val="it-IT"/>
              </w:rPr>
              <w:t>, Tordon</w:t>
            </w:r>
            <w:r w:rsidRPr="00285BAC">
              <w:rPr>
                <w:rFonts w:cs="Arial"/>
                <w:vertAlign w:val="superscript"/>
                <w:lang w:val="it-IT"/>
              </w:rPr>
              <w:t>®</w:t>
            </w:r>
          </w:p>
        </w:tc>
      </w:tr>
      <w:tr w:rsidR="00F43AD5" w:rsidRPr="004C23F4" w14:paraId="1FBA9CC7" w14:textId="77777777" w:rsidTr="00B76A41">
        <w:trPr>
          <w:cantSplit/>
        </w:trPr>
        <w:tc>
          <w:tcPr>
            <w:tcW w:w="4077" w:type="dxa"/>
          </w:tcPr>
          <w:p w14:paraId="1395A88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F6F6676" w14:textId="1E4601C1" w:rsidR="00F43AD5" w:rsidRPr="00717D45" w:rsidRDefault="00996237" w:rsidP="00B76A41">
            <w:pPr>
              <w:pStyle w:val="Tablefont"/>
            </w:pPr>
            <w:r>
              <w:t>C</w:t>
            </w:r>
            <w:r w:rsidRPr="00996237">
              <w:rPr>
                <w:vertAlign w:val="subscript"/>
              </w:rPr>
              <w:t>6</w:t>
            </w:r>
            <w:r>
              <w:t>H</w:t>
            </w:r>
            <w:r w:rsidRPr="00996237">
              <w:rPr>
                <w:vertAlign w:val="subscript"/>
              </w:rPr>
              <w:t>3</w:t>
            </w:r>
            <w:r>
              <w:t>Cl</w:t>
            </w:r>
            <w:r w:rsidRPr="00996237">
              <w:rPr>
                <w:vertAlign w:val="subscript"/>
              </w:rPr>
              <w:t>3</w:t>
            </w:r>
            <w:r>
              <w:t>N</w:t>
            </w:r>
            <w:r w:rsidRPr="00996237">
              <w:rPr>
                <w:vertAlign w:val="subscript"/>
              </w:rPr>
              <w:t>2</w:t>
            </w:r>
            <w:r>
              <w:t>O</w:t>
            </w:r>
            <w:r w:rsidRPr="00996237">
              <w:rPr>
                <w:vertAlign w:val="subscript"/>
              </w:rPr>
              <w:t>2</w:t>
            </w:r>
          </w:p>
        </w:tc>
      </w:tr>
      <w:tr w:rsidR="00F43AD5" w:rsidRPr="004C23F4" w14:paraId="78E3F58E" w14:textId="77777777" w:rsidTr="00B76A41">
        <w:trPr>
          <w:cantSplit/>
        </w:trPr>
        <w:tc>
          <w:tcPr>
            <w:tcW w:w="4077" w:type="dxa"/>
          </w:tcPr>
          <w:p w14:paraId="551D44F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EEB0321" w14:textId="7553A81E" w:rsidR="00F43AD5" w:rsidRPr="00B40C60" w:rsidRDefault="00996237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5C50505B" w14:textId="0DBD580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A5BC1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0361C07" w14:textId="77777777" w:rsidTr="00C218D6">
        <w:trPr>
          <w:cantSplit/>
          <w:tblHeader/>
        </w:trPr>
        <w:tc>
          <w:tcPr>
            <w:tcW w:w="4010" w:type="dxa"/>
            <w:vAlign w:val="center"/>
          </w:tcPr>
          <w:p w14:paraId="102791F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9189C6E" w14:textId="18B47B01" w:rsidR="002C7AFE" w:rsidRPr="00AA5BC1" w:rsidRDefault="00AA5BC1" w:rsidP="00017C82">
            <w:pPr>
              <w:pStyle w:val="Tablefont"/>
              <w:rPr>
                <w:b/>
              </w:rPr>
            </w:pPr>
            <w:r w:rsidRPr="00AA5BC1">
              <w:rPr>
                <w:b/>
              </w:rPr>
              <w:t>10 mg/m</w:t>
            </w:r>
            <w:r w:rsidRPr="00AA5BC1">
              <w:rPr>
                <w:b/>
                <w:vertAlign w:val="superscript"/>
              </w:rPr>
              <w:t>3</w:t>
            </w:r>
          </w:p>
        </w:tc>
      </w:tr>
      <w:tr w:rsidR="002C7AFE" w:rsidRPr="004C23F4" w14:paraId="42F01393" w14:textId="77777777" w:rsidTr="00C218D6">
        <w:trPr>
          <w:cantSplit/>
        </w:trPr>
        <w:tc>
          <w:tcPr>
            <w:tcW w:w="4010" w:type="dxa"/>
            <w:vAlign w:val="center"/>
          </w:tcPr>
          <w:p w14:paraId="56DDF9E1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1CC81591" w14:textId="68FC2B46" w:rsidR="002C7AFE" w:rsidRPr="00EB3D1B" w:rsidRDefault="00C218D6" w:rsidP="00017C82">
            <w:pPr>
              <w:pStyle w:val="Tablefont"/>
              <w:rPr>
                <w:b/>
              </w:rPr>
            </w:pPr>
            <w:r w:rsidRPr="00C218D6">
              <w:rPr>
                <w:b/>
              </w:rPr>
              <w:t>—</w:t>
            </w:r>
          </w:p>
        </w:tc>
      </w:tr>
      <w:tr w:rsidR="002C7AFE" w:rsidRPr="004C23F4" w14:paraId="446F7B53" w14:textId="77777777" w:rsidTr="00C218D6">
        <w:trPr>
          <w:cantSplit/>
        </w:trPr>
        <w:tc>
          <w:tcPr>
            <w:tcW w:w="4010" w:type="dxa"/>
            <w:vAlign w:val="center"/>
          </w:tcPr>
          <w:p w14:paraId="0F2BB53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AD3A50C" w14:textId="3282A643" w:rsidR="002C7AFE" w:rsidRPr="00EB3D1B" w:rsidRDefault="00C218D6" w:rsidP="00017C82">
            <w:pPr>
              <w:pStyle w:val="Tablefont"/>
              <w:rPr>
                <w:b/>
              </w:rPr>
            </w:pPr>
            <w:r w:rsidRPr="00C218D6">
              <w:rPr>
                <w:b/>
              </w:rPr>
              <w:t>—</w:t>
            </w:r>
          </w:p>
        </w:tc>
      </w:tr>
      <w:tr w:rsidR="002C7AFE" w:rsidRPr="004C23F4" w14:paraId="129F7C2C" w14:textId="77777777" w:rsidTr="00C218D6">
        <w:trPr>
          <w:cantSplit/>
        </w:trPr>
        <w:tc>
          <w:tcPr>
            <w:tcW w:w="4010" w:type="dxa"/>
          </w:tcPr>
          <w:p w14:paraId="03DB015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03CE0B98" w14:textId="65DB1609" w:rsidR="002C7AFE" w:rsidRPr="00EB3D1B" w:rsidRDefault="00C218D6" w:rsidP="008A36CF">
            <w:pPr>
              <w:pStyle w:val="Tablefont"/>
              <w:rPr>
                <w:b/>
              </w:rPr>
            </w:pPr>
            <w:r w:rsidRPr="00C218D6">
              <w:rPr>
                <w:b/>
              </w:rPr>
              <w:t>—</w:t>
            </w:r>
          </w:p>
        </w:tc>
      </w:tr>
      <w:tr w:rsidR="002C7AFE" w:rsidRPr="004C23F4" w14:paraId="5CEA02C4" w14:textId="77777777" w:rsidTr="00C218D6">
        <w:trPr>
          <w:cantSplit/>
        </w:trPr>
        <w:tc>
          <w:tcPr>
            <w:tcW w:w="4010" w:type="dxa"/>
            <w:vAlign w:val="center"/>
          </w:tcPr>
          <w:p w14:paraId="0B6B4F1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EC52A06" w14:textId="2618708B" w:rsidR="002C7AFE" w:rsidRPr="00C218D6" w:rsidRDefault="00996237" w:rsidP="00017C82">
            <w:pPr>
              <w:pStyle w:val="Tablefont"/>
              <w:rPr>
                <w:b/>
              </w:rPr>
            </w:pPr>
            <w:r w:rsidRPr="00C218D6">
              <w:rPr>
                <w:b/>
              </w:rPr>
              <w:t>—</w:t>
            </w:r>
          </w:p>
        </w:tc>
      </w:tr>
      <w:tr w:rsidR="00C218D6" w:rsidRPr="004C23F4" w14:paraId="7F6D4FB9" w14:textId="77777777" w:rsidTr="000F04BE">
        <w:trPr>
          <w:cantSplit/>
        </w:trPr>
        <w:tc>
          <w:tcPr>
            <w:tcW w:w="9026" w:type="dxa"/>
            <w:gridSpan w:val="2"/>
            <w:vAlign w:val="center"/>
          </w:tcPr>
          <w:p w14:paraId="7688F6B4" w14:textId="0F1C01B5" w:rsidR="00C218D6" w:rsidRPr="00C218D6" w:rsidRDefault="00C218D6" w:rsidP="00017C82">
            <w:pPr>
              <w:pStyle w:val="Tablefont"/>
              <w:rPr>
                <w:b/>
              </w:rPr>
            </w:pPr>
            <w:r w:rsidRPr="00C218D6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91CCC66FB0B457F86F9EA43C6E0A9E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E19C0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F98619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3E5DC84" w14:textId="60F08054" w:rsidR="006639B4" w:rsidRPr="004C23F4" w:rsidRDefault="00AA5BC1" w:rsidP="000C139A">
      <w:pPr>
        <w:rPr>
          <w:rFonts w:cs="Arial"/>
        </w:rPr>
      </w:pPr>
      <w:r>
        <w:rPr>
          <w:rFonts w:cs="Arial"/>
        </w:rPr>
        <w:t>A TWA of 10 mg/m</w:t>
      </w:r>
      <w:r w:rsidRPr="00AA5BC1"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possible </w:t>
      </w:r>
      <w:r w:rsidR="00DB697C">
        <w:rPr>
          <w:rFonts w:cs="Arial"/>
        </w:rPr>
        <w:t xml:space="preserve">effects on the </w:t>
      </w:r>
      <w:r>
        <w:t>liver and kidney</w:t>
      </w:r>
      <w:r w:rsidR="00DB697C">
        <w:t>s</w:t>
      </w:r>
      <w:r>
        <w:t xml:space="preserve"> in exposed workers.</w:t>
      </w:r>
    </w:p>
    <w:p w14:paraId="14497FE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DBD6663" w14:textId="7FB59526" w:rsidR="00390D78" w:rsidRDefault="00AA5BC1" w:rsidP="006639B4">
      <w:pPr>
        <w:rPr>
          <w:rFonts w:cs="Arial"/>
        </w:rPr>
      </w:pPr>
      <w:r>
        <w:rPr>
          <w:rFonts w:cs="Arial"/>
        </w:rPr>
        <w:t xml:space="preserve">Picloram </w:t>
      </w:r>
      <w:r w:rsidR="00DE4300">
        <w:rPr>
          <w:rFonts w:cs="Arial"/>
        </w:rPr>
        <w:t xml:space="preserve">is </w:t>
      </w:r>
      <w:r w:rsidR="00390D78">
        <w:rPr>
          <w:rFonts w:cs="Arial"/>
        </w:rPr>
        <w:t>a</w:t>
      </w:r>
      <w:r w:rsidR="00DE4300">
        <w:rPr>
          <w:rFonts w:cs="Arial"/>
        </w:rPr>
        <w:t xml:space="preserve"> herbici</w:t>
      </w:r>
      <w:r w:rsidR="00262FF2">
        <w:rPr>
          <w:rFonts w:cs="Arial"/>
        </w:rPr>
        <w:t xml:space="preserve">de used for control of woody plants and broadleaf weeds. </w:t>
      </w:r>
    </w:p>
    <w:p w14:paraId="2F9E1657" w14:textId="791876A6" w:rsidR="00717207" w:rsidRDefault="00390D78" w:rsidP="006639B4">
      <w:r>
        <w:t xml:space="preserve">Critical effects </w:t>
      </w:r>
      <w:r w:rsidR="00E5021F">
        <w:t>of</w:t>
      </w:r>
      <w:r>
        <w:t xml:space="preserve"> exposure </w:t>
      </w:r>
      <w:r w:rsidR="00DB697C">
        <w:t>are</w:t>
      </w:r>
      <w:r w:rsidR="00E5021F">
        <w:t xml:space="preserve"> toxicity of the</w:t>
      </w:r>
      <w:r>
        <w:t xml:space="preserve"> liver and kidneys.</w:t>
      </w:r>
      <w:r w:rsidR="00E5021F">
        <w:t xml:space="preserve"> </w:t>
      </w:r>
      <w:r w:rsidR="00A54A82">
        <w:t>Low acute toxicity in rodents, dogs and cattle.</w:t>
      </w:r>
    </w:p>
    <w:p w14:paraId="41392C70" w14:textId="2EC2CA20" w:rsidR="00784EE2" w:rsidRDefault="00122163" w:rsidP="006639B4">
      <w:r>
        <w:rPr>
          <w:rFonts w:cs="Arial"/>
        </w:rPr>
        <w:t xml:space="preserve">No inhalational data </w:t>
      </w:r>
      <w:r w:rsidR="00E5021F">
        <w:rPr>
          <w:rFonts w:cs="Arial"/>
        </w:rPr>
        <w:t>are</w:t>
      </w:r>
      <w:r>
        <w:rPr>
          <w:rFonts w:cs="Arial"/>
        </w:rPr>
        <w:t xml:space="preserve"> available</w:t>
      </w:r>
      <w:r w:rsidR="00E5021F">
        <w:rPr>
          <w:rFonts w:cs="Arial"/>
        </w:rPr>
        <w:t xml:space="preserve">. </w:t>
      </w:r>
      <w:r w:rsidR="00717207">
        <w:rPr>
          <w:rFonts w:cs="Arial"/>
        </w:rPr>
        <w:t>N</w:t>
      </w:r>
      <w:r>
        <w:rPr>
          <w:rFonts w:cs="Arial"/>
        </w:rPr>
        <w:t xml:space="preserve">o effects </w:t>
      </w:r>
      <w:r w:rsidR="00717207">
        <w:rPr>
          <w:rFonts w:cs="Arial"/>
        </w:rPr>
        <w:t xml:space="preserve">reported </w:t>
      </w:r>
      <w:r>
        <w:rPr>
          <w:rFonts w:cs="Arial"/>
        </w:rPr>
        <w:t>in volunteers</w:t>
      </w:r>
      <w:r w:rsidRPr="00122163">
        <w:t xml:space="preserve"> </w:t>
      </w:r>
      <w:r>
        <w:t>ingesting 0.5 or 5 mg/kg</w:t>
      </w:r>
      <w:r w:rsidR="00717207">
        <w:t xml:space="preserve"> (</w:t>
      </w:r>
      <w:r w:rsidR="00784EE2">
        <w:t>duration and number of doses not provided</w:t>
      </w:r>
      <w:r w:rsidR="00717207">
        <w:t>) in the</w:t>
      </w:r>
      <w:r w:rsidR="00CA54ED">
        <w:t xml:space="preserve"> </w:t>
      </w:r>
      <w:r w:rsidR="00717207">
        <w:rPr>
          <w:rFonts w:cs="Arial"/>
        </w:rPr>
        <w:t>limited human toxicological data</w:t>
      </w:r>
      <w:r w:rsidR="00717207">
        <w:t xml:space="preserve"> available </w:t>
      </w:r>
      <w:r>
        <w:t>(ACGIH, 201</w:t>
      </w:r>
      <w:r w:rsidR="00390D78">
        <w:t>8</w:t>
      </w:r>
      <w:r>
        <w:t xml:space="preserve">). </w:t>
      </w:r>
      <w:r w:rsidR="00DB697C">
        <w:t xml:space="preserve">In animals, picloram is considered of low acute toxicity. </w:t>
      </w:r>
      <w:r w:rsidR="00663CD4">
        <w:t>The primary adverse effect in rats and dogs from sub</w:t>
      </w:r>
      <w:r w:rsidR="00717207">
        <w:t>-</w:t>
      </w:r>
      <w:r w:rsidR="00663CD4">
        <w:t xml:space="preserve">chronic </w:t>
      </w:r>
      <w:r w:rsidR="00B62B6A">
        <w:t xml:space="preserve">feeding </w:t>
      </w:r>
      <w:r w:rsidR="00663CD4">
        <w:t xml:space="preserve">studies is </w:t>
      </w:r>
      <w:r w:rsidR="00717207">
        <w:t xml:space="preserve">renal changes and </w:t>
      </w:r>
      <w:r w:rsidR="00663CD4">
        <w:t>increased liver weights</w:t>
      </w:r>
      <w:r w:rsidR="00717207" w:rsidRPr="00717207">
        <w:t xml:space="preserve"> </w:t>
      </w:r>
      <w:r w:rsidR="00717207">
        <w:t>in rats</w:t>
      </w:r>
      <w:r w:rsidR="006D008C">
        <w:t xml:space="preserve"> fed 225</w:t>
      </w:r>
      <w:r w:rsidR="004223E3">
        <w:t> </w:t>
      </w:r>
      <w:r w:rsidR="006D008C">
        <w:t>mg/kg/day</w:t>
      </w:r>
      <w:r w:rsidR="00663CD4">
        <w:t>.</w:t>
      </w:r>
      <w:r w:rsidR="00DB697C">
        <w:t xml:space="preserve"> </w:t>
      </w:r>
      <w:r w:rsidR="00663CD4">
        <w:t>A NOAEL of 7</w:t>
      </w:r>
      <w:r w:rsidR="00B62B6A">
        <w:t> </w:t>
      </w:r>
      <w:r w:rsidR="00663CD4">
        <w:t>mg/kg/d</w:t>
      </w:r>
      <w:r w:rsidR="00DB697C">
        <w:t>ay</w:t>
      </w:r>
      <w:r w:rsidR="00663CD4">
        <w:t xml:space="preserve"> is derived from a </w:t>
      </w:r>
      <w:r w:rsidR="00717207">
        <w:t>six-</w:t>
      </w:r>
      <w:r w:rsidR="004223E3">
        <w:t>month</w:t>
      </w:r>
      <w:r w:rsidR="00663CD4">
        <w:t xml:space="preserve"> feeding study in male and female dogs (ACGIH, 2018). </w:t>
      </w:r>
      <w:r w:rsidR="0076507D">
        <w:t xml:space="preserve">Results of carcinogenicity testing in rodents </w:t>
      </w:r>
      <w:r w:rsidR="00E5021F">
        <w:t>is</w:t>
      </w:r>
      <w:r w:rsidR="0076507D">
        <w:t xml:space="preserve"> equivocal</w:t>
      </w:r>
      <w:r w:rsidR="00663CD4">
        <w:t>.</w:t>
      </w:r>
      <w:r w:rsidR="00BF7056">
        <w:t xml:space="preserve"> </w:t>
      </w:r>
      <w:r w:rsidR="00717207">
        <w:t>I</w:t>
      </w:r>
      <w:r w:rsidR="00663CD4">
        <w:t xml:space="preserve">ncrease in pituitary and adrenal neoplasia in rats </w:t>
      </w:r>
      <w:r w:rsidR="00A75194">
        <w:t xml:space="preserve">is </w:t>
      </w:r>
      <w:r w:rsidR="00A54A82">
        <w:t>unreliable</w:t>
      </w:r>
      <w:r w:rsidR="00663CD4">
        <w:t xml:space="preserve"> due to potential cross-contamination </w:t>
      </w:r>
      <w:r w:rsidR="00BF7056">
        <w:t>(ACGIH, 20</w:t>
      </w:r>
      <w:r w:rsidR="00390D78">
        <w:t>18</w:t>
      </w:r>
      <w:r w:rsidR="00BF7056">
        <w:t>; NTP, 1978). Based</w:t>
      </w:r>
      <w:r w:rsidR="00784EE2">
        <w:t xml:space="preserve"> </w:t>
      </w:r>
      <w:r w:rsidR="00BF7056">
        <w:t xml:space="preserve">on </w:t>
      </w:r>
      <w:r w:rsidR="00663CD4">
        <w:t xml:space="preserve">hepatocellular hypertrophy and </w:t>
      </w:r>
      <w:r w:rsidR="00BF7056">
        <w:t>increased liver weights</w:t>
      </w:r>
      <w:r w:rsidR="00E5021F">
        <w:t>,</w:t>
      </w:r>
      <w:r w:rsidR="00BF7056">
        <w:t xml:space="preserve"> </w:t>
      </w:r>
      <w:r w:rsidR="00784EE2">
        <w:t xml:space="preserve">a NOAEL of </w:t>
      </w:r>
      <w:r w:rsidR="00E5021F">
        <w:t>20 </w:t>
      </w:r>
      <w:r w:rsidR="00784EE2">
        <w:t>mg/kg/d</w:t>
      </w:r>
      <w:r w:rsidR="00E5021F">
        <w:t>ay</w:t>
      </w:r>
      <w:r w:rsidR="00784EE2">
        <w:t xml:space="preserve"> </w:t>
      </w:r>
      <w:r w:rsidR="00E5021F">
        <w:t>i</w:t>
      </w:r>
      <w:r w:rsidR="00784EE2">
        <w:t>s derived from a chronic study in rats (ACGIH, 201</w:t>
      </w:r>
      <w:r w:rsidR="00390D78">
        <w:t>8</w:t>
      </w:r>
      <w:r w:rsidR="00784EE2">
        <w:t xml:space="preserve">). </w:t>
      </w:r>
    </w:p>
    <w:p w14:paraId="325B8ED4" w14:textId="3CD75666" w:rsidR="00BF7056" w:rsidRPr="004C23F4" w:rsidRDefault="00AD367D" w:rsidP="006639B4">
      <w:pPr>
        <w:rPr>
          <w:rFonts w:cs="Arial"/>
        </w:rPr>
      </w:pPr>
      <w:r>
        <w:t>In the absence of inhalation data</w:t>
      </w:r>
      <w:r w:rsidR="0055224C">
        <w:t>,</w:t>
      </w:r>
      <w:r>
        <w:t xml:space="preserve"> the </w:t>
      </w:r>
      <w:r w:rsidR="00717207">
        <w:t xml:space="preserve">NOAEL of 20 mg/kg/day in rats </w:t>
      </w:r>
      <w:r w:rsidR="0055224C">
        <w:t xml:space="preserve">is extrapolated </w:t>
      </w:r>
      <w:r w:rsidR="00717207">
        <w:t xml:space="preserve">to an </w:t>
      </w:r>
      <w:r w:rsidR="00A54A82">
        <w:t>e</w:t>
      </w:r>
      <w:r w:rsidR="00717207">
        <w:t xml:space="preserve">quivalent </w:t>
      </w:r>
      <w:r w:rsidR="00A54A82">
        <w:t>inhalational</w:t>
      </w:r>
      <w:r w:rsidR="00717207">
        <w:t xml:space="preserve"> concentration of approximately 47 mg/m</w:t>
      </w:r>
      <w:r w:rsidR="00717207" w:rsidRPr="00B442D6">
        <w:rPr>
          <w:vertAlign w:val="superscript"/>
        </w:rPr>
        <w:t>3</w:t>
      </w:r>
      <w:r w:rsidR="00A54A82">
        <w:t>.</w:t>
      </w:r>
      <w:r w:rsidR="00A75194">
        <w:t xml:space="preserve"> </w:t>
      </w:r>
      <w:r w:rsidR="003057EC">
        <w:t>The</w:t>
      </w:r>
      <w:r w:rsidR="003057EC" w:rsidRPr="005303C2">
        <w:rPr>
          <w:rFonts w:cs="Arial"/>
        </w:rPr>
        <w:t xml:space="preserve"> </w:t>
      </w:r>
      <w:r w:rsidR="00BF7056" w:rsidRPr="005303C2">
        <w:rPr>
          <w:rFonts w:cs="Arial"/>
        </w:rPr>
        <w:t xml:space="preserve">TWA of </w:t>
      </w:r>
      <w:r w:rsidR="00784EE2">
        <w:rPr>
          <w:rFonts w:cs="Arial"/>
        </w:rPr>
        <w:t>10</w:t>
      </w:r>
      <w:r w:rsidR="00BF7056">
        <w:rPr>
          <w:rFonts w:cs="Arial"/>
        </w:rPr>
        <w:t xml:space="preserve"> mg/m</w:t>
      </w:r>
      <w:r w:rsidR="00BF7056">
        <w:rPr>
          <w:rFonts w:cs="Arial"/>
          <w:vertAlign w:val="superscript"/>
        </w:rPr>
        <w:t>3</w:t>
      </w:r>
      <w:r w:rsidR="00784EE2">
        <w:rPr>
          <w:rFonts w:cs="Arial"/>
        </w:rPr>
        <w:t xml:space="preserve"> </w:t>
      </w:r>
      <w:r w:rsidR="00A54A82">
        <w:rPr>
          <w:rFonts w:cs="Arial"/>
        </w:rPr>
        <w:t xml:space="preserve">by ACGIH </w:t>
      </w:r>
      <w:r w:rsidR="006D008C">
        <w:rPr>
          <w:rFonts w:cs="Arial"/>
        </w:rPr>
        <w:t xml:space="preserve">is recommended </w:t>
      </w:r>
      <w:r w:rsidR="003057EC">
        <w:rPr>
          <w:rFonts w:cs="Arial"/>
        </w:rPr>
        <w:t>to be retained and</w:t>
      </w:r>
      <w:r w:rsidR="00BF7056" w:rsidRPr="005303C2">
        <w:rPr>
          <w:rFonts w:cs="Arial"/>
        </w:rPr>
        <w:t xml:space="preserve"> </w:t>
      </w:r>
      <w:r w:rsidR="006D008C">
        <w:rPr>
          <w:rFonts w:cs="Arial"/>
        </w:rPr>
        <w:t>is expected to be protective</w:t>
      </w:r>
      <w:r w:rsidR="00BF7056" w:rsidRPr="005303C2">
        <w:rPr>
          <w:rFonts w:cs="Arial"/>
        </w:rPr>
        <w:t xml:space="preserve"> </w:t>
      </w:r>
      <w:r w:rsidR="006D008C">
        <w:rPr>
          <w:rFonts w:cs="Arial"/>
        </w:rPr>
        <w:t>of</w:t>
      </w:r>
      <w:r w:rsidR="00BF7056">
        <w:rPr>
          <w:rFonts w:cs="Arial"/>
        </w:rPr>
        <w:t xml:space="preserve"> </w:t>
      </w:r>
      <w:r w:rsidR="00784EE2">
        <w:rPr>
          <w:rFonts w:cs="Arial"/>
        </w:rPr>
        <w:t>liver and kidney</w:t>
      </w:r>
      <w:r w:rsidR="00BF7056" w:rsidRPr="005303C2">
        <w:rPr>
          <w:rFonts w:cs="Arial"/>
        </w:rPr>
        <w:t xml:space="preserve"> effects</w:t>
      </w:r>
      <w:r w:rsidR="006D008C">
        <w:rPr>
          <w:rFonts w:cs="Arial"/>
        </w:rPr>
        <w:t xml:space="preserve"> reported in animals</w:t>
      </w:r>
      <w:r w:rsidR="00BF7056">
        <w:rPr>
          <w:rFonts w:cs="Arial"/>
        </w:rPr>
        <w:t xml:space="preserve">. </w:t>
      </w:r>
    </w:p>
    <w:p w14:paraId="21D63A7D" w14:textId="77777777" w:rsidR="004529F0" w:rsidRPr="004C23F4" w:rsidRDefault="004529F0" w:rsidP="00285BAC">
      <w:pPr>
        <w:pStyle w:val="Heading2"/>
        <w:pageBreakBefore/>
      </w:pPr>
      <w:r>
        <w:lastRenderedPageBreak/>
        <w:t>Recommendation for notations</w:t>
      </w:r>
    </w:p>
    <w:p w14:paraId="793141F0" w14:textId="62DDFEA8" w:rsidR="00996237" w:rsidRPr="00AA5BC1" w:rsidRDefault="00996237" w:rsidP="00996237">
      <w:pPr>
        <w:rPr>
          <w:rFonts w:cs="Arial"/>
        </w:rPr>
      </w:pPr>
      <w:r w:rsidRPr="00AA5BC1">
        <w:rPr>
          <w:rFonts w:cs="Arial"/>
        </w:rPr>
        <w:t>Not classified as a carcinogen according to the Globally Harmonized System of Classification and Labelling o</w:t>
      </w:r>
      <w:r w:rsidR="00761E5D">
        <w:rPr>
          <w:rFonts w:cs="Arial"/>
        </w:rPr>
        <w:t>f</w:t>
      </w:r>
      <w:r w:rsidRPr="00AA5BC1">
        <w:rPr>
          <w:rFonts w:cs="Arial"/>
        </w:rPr>
        <w:t xml:space="preserve"> Chemicals (GHS). </w:t>
      </w:r>
    </w:p>
    <w:p w14:paraId="71BB93A3" w14:textId="78066037" w:rsidR="00996237" w:rsidRPr="00C218D6" w:rsidRDefault="00996237" w:rsidP="00996237">
      <w:pPr>
        <w:rPr>
          <w:rFonts w:cs="Arial"/>
        </w:rPr>
      </w:pPr>
      <w:r w:rsidRPr="00C218D6">
        <w:rPr>
          <w:rFonts w:cs="Arial"/>
        </w:rPr>
        <w:t xml:space="preserve">Not classified as a skin </w:t>
      </w:r>
      <w:r w:rsidR="00761E5D" w:rsidRPr="00C218D6">
        <w:rPr>
          <w:rFonts w:cs="Arial"/>
        </w:rPr>
        <w:t xml:space="preserve">sensitiser </w:t>
      </w:r>
      <w:r w:rsidRPr="00C218D6">
        <w:rPr>
          <w:rFonts w:cs="Arial"/>
        </w:rPr>
        <w:t>or respiratory sensitiser according to the GHS.</w:t>
      </w:r>
    </w:p>
    <w:p w14:paraId="441BD35E" w14:textId="4E3F6F75" w:rsidR="00996237" w:rsidRDefault="00C218D6" w:rsidP="00996237">
      <w:pPr>
        <w:rPr>
          <w:rFonts w:cs="Arial"/>
        </w:rPr>
      </w:pPr>
      <w:r w:rsidRPr="00C218D6">
        <w:rPr>
          <w:rFonts w:cs="Arial"/>
        </w:rPr>
        <w:t xml:space="preserve">A skin notation is not </w:t>
      </w:r>
      <w:r w:rsidR="00E5021F">
        <w:rPr>
          <w:rFonts w:cs="Arial"/>
        </w:rPr>
        <w:t>recommend</w:t>
      </w:r>
      <w:r w:rsidRPr="00C218D6">
        <w:rPr>
          <w:rFonts w:cs="Arial"/>
        </w:rPr>
        <w:t>ed based on the available evidence</w:t>
      </w:r>
      <w:r w:rsidR="00996237" w:rsidRPr="00C218D6">
        <w:rPr>
          <w:rFonts w:cs="Arial"/>
        </w:rPr>
        <w:t>.</w:t>
      </w:r>
    </w:p>
    <w:p w14:paraId="72A3C779" w14:textId="77777777" w:rsidR="00A54A82" w:rsidRPr="004C23F4" w:rsidRDefault="00A54A82" w:rsidP="00996237">
      <w:pPr>
        <w:rPr>
          <w:rFonts w:cs="Arial"/>
        </w:rPr>
      </w:pPr>
    </w:p>
    <w:p w14:paraId="79D2D1F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7CDAEF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8BF446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25D5FB9" w14:textId="77777777" w:rsidTr="000D25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CAF0B9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C833FD7" w14:textId="77777777" w:rsidTr="000D2512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32E2662" w14:textId="29F1C42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9623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96237">
                  <w:t>TWA: 10 mg/m</w:t>
                </w:r>
                <w:r w:rsidR="00996237" w:rsidRPr="0099623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22D5609" w14:textId="77777777" w:rsidTr="000D2512">
        <w:trPr>
          <w:gridAfter w:val="1"/>
          <w:wAfter w:w="8" w:type="pct"/>
          <w:cantSplit/>
        </w:trPr>
        <w:tc>
          <w:tcPr>
            <w:tcW w:w="4992" w:type="pct"/>
          </w:tcPr>
          <w:p w14:paraId="2234E47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67427B8" w14:textId="77777777" w:rsidTr="000D251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4A88F1" w14:textId="5E0B2FD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9623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96237">
                  <w:t>TLV-TWA: 10 mg/m</w:t>
                </w:r>
                <w:r w:rsidR="00996237" w:rsidRPr="00FE77D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2DF0004" w14:textId="77777777" w:rsidTr="000D2512">
        <w:trPr>
          <w:gridAfter w:val="1"/>
          <w:wAfter w:w="8" w:type="pct"/>
          <w:cantSplit/>
        </w:trPr>
        <w:tc>
          <w:tcPr>
            <w:tcW w:w="4992" w:type="pct"/>
          </w:tcPr>
          <w:p w14:paraId="677FD46A" w14:textId="2DDA4CF5" w:rsidR="00C978F0" w:rsidRDefault="00916796" w:rsidP="00761E5D">
            <w:pPr>
              <w:pStyle w:val="Tabletextprimarysource"/>
            </w:pPr>
            <w:r>
              <w:t>TLV-TWA recommended to minimise the potential for liver and kidney effects.</w:t>
            </w:r>
          </w:p>
          <w:p w14:paraId="61890D7A" w14:textId="65C8FC3A" w:rsidR="00B62B6A" w:rsidRDefault="00B62B6A" w:rsidP="00761E5D">
            <w:pPr>
              <w:pStyle w:val="Tabletextprimarysource"/>
            </w:pPr>
            <w:r>
              <w:t>No derivation of TLV-TWA presented.</w:t>
            </w:r>
          </w:p>
          <w:p w14:paraId="085F6190" w14:textId="77777777" w:rsidR="00916796" w:rsidRDefault="00916796" w:rsidP="00761E5D">
            <w:pPr>
              <w:pStyle w:val="Tabletextprimarysource"/>
            </w:pPr>
            <w:r>
              <w:t>Summary of data:</w:t>
            </w:r>
          </w:p>
          <w:p w14:paraId="7F73F222" w14:textId="77777777" w:rsidR="00916796" w:rsidRDefault="00916796" w:rsidP="00761E5D">
            <w:pPr>
              <w:pStyle w:val="Tabletextprimarysource"/>
            </w:pPr>
            <w:r>
              <w:t>Human data:</w:t>
            </w:r>
          </w:p>
          <w:p w14:paraId="643D1A7F" w14:textId="6772F9F0" w:rsidR="00E5021F" w:rsidRDefault="00916796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adverse effects reported in 6 male volunteers ingesting 0.5 or 5 mg/kg</w:t>
            </w:r>
            <w:r w:rsidR="00285BAC">
              <w:t>:</w:t>
            </w:r>
          </w:p>
          <w:p w14:paraId="44FA8026" w14:textId="2EE54001" w:rsidR="00916796" w:rsidRDefault="00916796" w:rsidP="00E5021F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76% of dose excreted in urine unchanged within 6 h (t</w:t>
            </w:r>
            <w:r w:rsidRPr="00916796">
              <w:rPr>
                <w:vertAlign w:val="subscript"/>
              </w:rPr>
              <w:t>1/2</w:t>
            </w:r>
            <w:r>
              <w:t>= 2.9 h)</w:t>
            </w:r>
          </w:p>
          <w:p w14:paraId="05DFEF91" w14:textId="2BD5260E" w:rsidR="00916796" w:rsidRDefault="00916796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evidence of skin sensitisation following application of 5% aqueous solution </w:t>
            </w:r>
            <w:r w:rsidR="00E5021F">
              <w:t>o</w:t>
            </w:r>
            <w:r>
              <w:t>n volunteers</w:t>
            </w:r>
            <w:r w:rsidR="00761E5D">
              <w:t>.</w:t>
            </w:r>
          </w:p>
          <w:p w14:paraId="7E2100AC" w14:textId="77777777" w:rsidR="00916796" w:rsidRDefault="00916796" w:rsidP="00761E5D">
            <w:pPr>
              <w:pStyle w:val="Tabletextprimarysource"/>
            </w:pPr>
            <w:r>
              <w:t>Animal data:</w:t>
            </w:r>
          </w:p>
          <w:p w14:paraId="2600CF15" w14:textId="77777777" w:rsidR="00916796" w:rsidRDefault="00A94048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Low acute toxicity in rodents, dogs and cattle</w:t>
            </w:r>
          </w:p>
          <w:p w14:paraId="3DD04D85" w14:textId="40EB5BFB" w:rsidR="00E5021F" w:rsidRDefault="0089458F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Acute </w:t>
            </w:r>
            <w:r w:rsidR="00A94048">
              <w:t>NOAEL</w:t>
            </w:r>
            <w:r w:rsidR="00E5021F">
              <w:t>:</w:t>
            </w:r>
            <w:r w:rsidR="00A94048">
              <w:t xml:space="preserve"> 400 mg/kg/d (7 d)</w:t>
            </w:r>
            <w:r w:rsidR="00E5021F">
              <w:t xml:space="preserve"> and</w:t>
            </w:r>
            <w:r w:rsidR="00A94048">
              <w:t xml:space="preserve"> 200 mg/kg/d (14 d) in female dogs</w:t>
            </w:r>
            <w:r w:rsidR="00285BAC">
              <w:t>:</w:t>
            </w:r>
          </w:p>
          <w:p w14:paraId="548AE9EB" w14:textId="2752C5DA" w:rsidR="00A94048" w:rsidRDefault="00A94048" w:rsidP="00E5021F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highest dose (1,600</w:t>
            </w:r>
            <w:r w:rsidR="00761E5D">
              <w:t> </w:t>
            </w:r>
            <w:r>
              <w:t>mg/kg/d) induced vomiting and weight loss</w:t>
            </w:r>
          </w:p>
          <w:p w14:paraId="060FD7C8" w14:textId="20348653" w:rsidR="00A94048" w:rsidRDefault="0089458F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Sub</w:t>
            </w:r>
            <w:r w:rsidR="00285BAC">
              <w:t>-</w:t>
            </w:r>
            <w:r>
              <w:t>chronic NOAEL</w:t>
            </w:r>
            <w:r w:rsidR="00E5021F">
              <w:t>:</w:t>
            </w:r>
            <w:r>
              <w:t xml:space="preserve"> 50 mg/kg/d (male and female rats, </w:t>
            </w:r>
            <w:r w:rsidR="00DB697C">
              <w:t xml:space="preserve">in feed for </w:t>
            </w:r>
            <w:r>
              <w:t>13 wk)</w:t>
            </w:r>
            <w:r w:rsidR="00E5021F">
              <w:t xml:space="preserve"> and</w:t>
            </w:r>
            <w:r>
              <w:t xml:space="preserve"> 7 mg/kg/d (male and female dogs, </w:t>
            </w:r>
            <w:r w:rsidR="00B62B6A">
              <w:t xml:space="preserve">in feed for </w:t>
            </w:r>
            <w:r>
              <w:t>6 mo) based on increased liver weight</w:t>
            </w:r>
          </w:p>
          <w:p w14:paraId="2A8E3E77" w14:textId="64AA33FB" w:rsidR="0089458F" w:rsidRDefault="00FE77DD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Chronic NOAEL</w:t>
            </w:r>
            <w:r w:rsidR="00E5021F">
              <w:t>:</w:t>
            </w:r>
            <w:r>
              <w:t xml:space="preserve"> 20 mg/kg/d (rats, </w:t>
            </w:r>
            <w:r w:rsidR="00B62B6A">
              <w:t xml:space="preserve">in feed for </w:t>
            </w:r>
            <w:r>
              <w:t>2 y</w:t>
            </w:r>
            <w:r w:rsidR="00761E5D">
              <w:t>r</w:t>
            </w:r>
            <w:r>
              <w:t>) based on hepatocellular hypertrophy and increased liver weight, doses of 0, 20, 60 or 200 mg/kg/d</w:t>
            </w:r>
          </w:p>
          <w:p w14:paraId="05785BBF" w14:textId="6E3AA84C" w:rsidR="009241D6" w:rsidRDefault="009241D6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Moderate changes in liver and kidneys </w:t>
            </w:r>
            <w:r w:rsidR="00BF7056">
              <w:t xml:space="preserve">(no further information) </w:t>
            </w:r>
            <w:r>
              <w:t>and slightly reduced bw gains in female rats fed 225 mg/kg/d (90 d)</w:t>
            </w:r>
          </w:p>
          <w:p w14:paraId="438A9799" w14:textId="17269B24" w:rsidR="00FE77DD" w:rsidRDefault="00FE77DD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Dogs administered </w:t>
            </w:r>
            <w:r w:rsidR="00E5021F">
              <w:rPr>
                <w:rFonts w:cs="Arial"/>
              </w:rPr>
              <w:t>≤</w:t>
            </w:r>
            <w:r>
              <w:t>150 mg/kg/d in diet (duration not stated) did not display treatment-related changes</w:t>
            </w:r>
          </w:p>
          <w:p w14:paraId="7BDF3A1B" w14:textId="1A11E556" w:rsidR="00E5021F" w:rsidRDefault="00B7164C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</w:t>
            </w:r>
            <w:r w:rsidR="00761E5D">
              <w:t xml:space="preserve"> </w:t>
            </w:r>
            <w:r>
              <w:t>y</w:t>
            </w:r>
            <w:r w:rsidR="00761E5D">
              <w:t>r</w:t>
            </w:r>
            <w:r>
              <w:t xml:space="preserve"> feeding study </w:t>
            </w:r>
            <w:r w:rsidR="00E5021F">
              <w:t>in</w:t>
            </w:r>
            <w:r>
              <w:t xml:space="preserve"> male and female rats and mice, doses up to 723 mg/kg/d, did not provide evidence of carcinogenicity in mice or male rats</w:t>
            </w:r>
            <w:r w:rsidR="00285BAC">
              <w:t>:</w:t>
            </w:r>
          </w:p>
          <w:p w14:paraId="4C8E98D4" w14:textId="775072B9" w:rsidR="00FE77DD" w:rsidRDefault="00B7164C" w:rsidP="00E5021F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equivocal evidence in female rats (statistically significant increase in benign liver tumours)</w:t>
            </w:r>
          </w:p>
          <w:p w14:paraId="7E08A67E" w14:textId="3B97DD26" w:rsidR="00E5021F" w:rsidRDefault="00B01D88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Findings of increase in pituitary and adrenal neoplasia in male and female rats at 7,437 and 14,875 ppm</w:t>
            </w:r>
            <w:r w:rsidR="00285BAC">
              <w:t>:</w:t>
            </w:r>
          </w:p>
          <w:p w14:paraId="11E6240C" w14:textId="644E1D7D" w:rsidR="00B01D88" w:rsidRDefault="00B01D88" w:rsidP="00E5021F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questioned by US NTP as cross-contamination may have occurred</w:t>
            </w:r>
          </w:p>
          <w:p w14:paraId="66A1E4D5" w14:textId="77777777" w:rsidR="00B7164C" w:rsidRDefault="00B01D88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Increased incidence of tumours of the spleen in male mice fed 5,062 ppm (lifetime study) </w:t>
            </w:r>
          </w:p>
          <w:p w14:paraId="1A27D56D" w14:textId="77777777" w:rsidR="00B01D88" w:rsidRDefault="00B01D88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evidence of mutagenicity in </w:t>
            </w:r>
            <w:r>
              <w:rPr>
                <w:i/>
              </w:rPr>
              <w:t>S. typhimurium</w:t>
            </w:r>
            <w:r>
              <w:t xml:space="preserve"> (in presence or absence of activating system) or AP72 bacteriophage</w:t>
            </w:r>
          </w:p>
          <w:p w14:paraId="19E868CB" w14:textId="77777777" w:rsidR="00B01D88" w:rsidRDefault="00B01D88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Picloram assays in </w:t>
            </w:r>
            <w:r>
              <w:rPr>
                <w:i/>
              </w:rPr>
              <w:t xml:space="preserve">S. </w:t>
            </w:r>
            <w:proofErr w:type="spellStart"/>
            <w:r>
              <w:rPr>
                <w:i/>
              </w:rPr>
              <w:t>coelicolor</w:t>
            </w:r>
            <w:proofErr w:type="spellEnd"/>
            <w:r>
              <w:t xml:space="preserve"> suggestive of a forward spot mutation</w:t>
            </w:r>
          </w:p>
          <w:p w14:paraId="599454D7" w14:textId="7120FBAB" w:rsidR="00B01D88" w:rsidRDefault="008852FE" w:rsidP="00390D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for mutagenicity in bone marrow of male and female rats fed up to 2,000</w:t>
            </w:r>
            <w:r w:rsidR="00761E5D">
              <w:t> </w:t>
            </w:r>
            <w:r>
              <w:t>mg/kg/d</w:t>
            </w:r>
            <w:r w:rsidR="009E0419">
              <w:t>.</w:t>
            </w:r>
          </w:p>
          <w:p w14:paraId="0DCC6343" w14:textId="77777777" w:rsidR="00CA54ED" w:rsidRDefault="00CA54ED" w:rsidP="00761E5D">
            <w:pPr>
              <w:pStyle w:val="Tabletextprimarysource"/>
            </w:pPr>
          </w:p>
          <w:p w14:paraId="245093E9" w14:textId="77777777" w:rsidR="008852FE" w:rsidRDefault="009E0419" w:rsidP="00761E5D">
            <w:pPr>
              <w:pStyle w:val="Tabletextprimarysource"/>
            </w:pPr>
            <w:r>
              <w:t>Insufficient data to recommend skin or SEN notations, or a TLV-STEL.</w:t>
            </w:r>
          </w:p>
          <w:p w14:paraId="71249116" w14:textId="4672270A" w:rsidR="00CA54ED" w:rsidRPr="00DA352E" w:rsidRDefault="00CA54ED" w:rsidP="00761E5D">
            <w:pPr>
              <w:pStyle w:val="Tabletextprimarysource"/>
            </w:pPr>
          </w:p>
        </w:tc>
      </w:tr>
      <w:tr w:rsidR="00C978F0" w:rsidRPr="00DA352E" w14:paraId="6E3B82EC" w14:textId="77777777" w:rsidTr="000D251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105937" w14:textId="63848FA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962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96237">
                  <w:t>NA</w:t>
                </w:r>
              </w:sdtContent>
            </w:sdt>
          </w:p>
        </w:tc>
      </w:tr>
      <w:tr w:rsidR="00C978F0" w:rsidRPr="00DA352E" w14:paraId="1FA60D94" w14:textId="77777777" w:rsidTr="000D2512">
        <w:trPr>
          <w:gridAfter w:val="1"/>
          <w:wAfter w:w="8" w:type="pct"/>
          <w:cantSplit/>
        </w:trPr>
        <w:tc>
          <w:tcPr>
            <w:tcW w:w="4992" w:type="pct"/>
          </w:tcPr>
          <w:p w14:paraId="7C1A7FCE" w14:textId="76561D4A" w:rsidR="00C978F0" w:rsidRPr="00DA352E" w:rsidRDefault="00996237" w:rsidP="003365A5">
            <w:pPr>
              <w:pStyle w:val="Tabletextprimarysource"/>
            </w:pPr>
            <w:r>
              <w:t>No report</w:t>
            </w:r>
            <w:r w:rsidR="00761E5D">
              <w:t>.</w:t>
            </w:r>
          </w:p>
        </w:tc>
      </w:tr>
      <w:tr w:rsidR="00C978F0" w:rsidRPr="00DA352E" w14:paraId="4C821BC2" w14:textId="77777777" w:rsidTr="000D251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63B777" w14:textId="2493C17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962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1562676391"/>
                    <w:placeholder>
                      <w:docPart w:val="C0BEA52641204A03B53D53695B6910E2"/>
                    </w:placeholder>
                    <w:text/>
                  </w:sdtPr>
                  <w:sdtEndPr/>
                  <w:sdtContent>
                    <w:r w:rsidR="00996237">
                      <w:t>NA</w:t>
                    </w:r>
                  </w:sdtContent>
                </w:sdt>
              </w:sdtContent>
            </w:sdt>
          </w:p>
        </w:tc>
      </w:tr>
      <w:tr w:rsidR="00C978F0" w:rsidRPr="00DA352E" w14:paraId="77FBDDE3" w14:textId="77777777" w:rsidTr="000D2512">
        <w:trPr>
          <w:gridAfter w:val="1"/>
          <w:wAfter w:w="8" w:type="pct"/>
          <w:cantSplit/>
        </w:trPr>
        <w:tc>
          <w:tcPr>
            <w:tcW w:w="4992" w:type="pct"/>
          </w:tcPr>
          <w:p w14:paraId="366FBEEA" w14:textId="60AE991D" w:rsidR="00C978F0" w:rsidRPr="00DA352E" w:rsidRDefault="00996237" w:rsidP="003365A5">
            <w:pPr>
              <w:pStyle w:val="Tabletextprimarysource"/>
            </w:pPr>
            <w:r>
              <w:t>No report</w:t>
            </w:r>
            <w:r w:rsidR="00761E5D">
              <w:t>.</w:t>
            </w:r>
          </w:p>
        </w:tc>
      </w:tr>
      <w:tr w:rsidR="00DA352E" w:rsidRPr="00DA352E" w14:paraId="7EC535FD" w14:textId="77777777" w:rsidTr="000D251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7C473A" w14:textId="289CA39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962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-1650194691"/>
                    <w:placeholder>
                      <w:docPart w:val="EF44EF69AE1044FAAE29582A2E353706"/>
                    </w:placeholder>
                    <w:text/>
                  </w:sdtPr>
                  <w:sdtEndPr/>
                  <w:sdtContent>
                    <w:r w:rsidR="00996237">
                      <w:t>NA</w:t>
                    </w:r>
                  </w:sdtContent>
                </w:sdt>
              </w:sdtContent>
            </w:sdt>
          </w:p>
        </w:tc>
      </w:tr>
      <w:tr w:rsidR="00DA352E" w:rsidRPr="00DA352E" w14:paraId="33DCD065" w14:textId="77777777" w:rsidTr="000D2512">
        <w:trPr>
          <w:gridAfter w:val="1"/>
          <w:wAfter w:w="8" w:type="pct"/>
          <w:cantSplit/>
        </w:trPr>
        <w:tc>
          <w:tcPr>
            <w:tcW w:w="4992" w:type="pct"/>
          </w:tcPr>
          <w:p w14:paraId="6EB51468" w14:textId="2534E9D8" w:rsidR="00DA352E" w:rsidRPr="00DA352E" w:rsidRDefault="00996237" w:rsidP="003365A5">
            <w:pPr>
              <w:pStyle w:val="Tabletextprimarysource"/>
            </w:pPr>
            <w:r>
              <w:t>No report</w:t>
            </w:r>
            <w:r w:rsidR="00761E5D">
              <w:t>.</w:t>
            </w:r>
          </w:p>
        </w:tc>
      </w:tr>
      <w:tr w:rsidR="00DA352E" w:rsidRPr="00DA352E" w14:paraId="06FCAD9A" w14:textId="77777777" w:rsidTr="000D251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337AD9" w14:textId="3B28BF7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9623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498313917"/>
                    <w:placeholder>
                      <w:docPart w:val="1B450F129C1640BB91CF3D3EAF6D697F"/>
                    </w:placeholder>
                    <w:text/>
                  </w:sdtPr>
                  <w:sdtEndPr/>
                  <w:sdtContent>
                    <w:r w:rsidR="00996237">
                      <w:t>NA</w:t>
                    </w:r>
                  </w:sdtContent>
                </w:sdt>
              </w:sdtContent>
            </w:sdt>
          </w:p>
        </w:tc>
      </w:tr>
      <w:tr w:rsidR="00DA352E" w:rsidRPr="00DA352E" w14:paraId="63B74A67" w14:textId="77777777" w:rsidTr="000D2512">
        <w:trPr>
          <w:gridAfter w:val="1"/>
          <w:wAfter w:w="8" w:type="pct"/>
          <w:cantSplit/>
        </w:trPr>
        <w:tc>
          <w:tcPr>
            <w:tcW w:w="4992" w:type="pct"/>
          </w:tcPr>
          <w:p w14:paraId="269CAD76" w14:textId="79FBC40E" w:rsidR="00DA352E" w:rsidRPr="00DA352E" w:rsidRDefault="00996237" w:rsidP="003365A5">
            <w:pPr>
              <w:pStyle w:val="Tabletextprimarysource"/>
            </w:pPr>
            <w:r>
              <w:t>No report</w:t>
            </w:r>
            <w:r w:rsidR="00761E5D">
              <w:t>.</w:t>
            </w:r>
          </w:p>
        </w:tc>
      </w:tr>
    </w:tbl>
    <w:p w14:paraId="09AE36A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14:paraId="4F389CC6" w14:textId="77777777" w:rsidTr="000D2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7B7340F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F911D1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D1542C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43AFED8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6EA3216" w14:textId="77777777" w:rsidTr="000D2512">
        <w:trPr>
          <w:cantSplit/>
        </w:trPr>
        <w:tc>
          <w:tcPr>
            <w:tcW w:w="1495" w:type="dxa"/>
          </w:tcPr>
          <w:p w14:paraId="5ECDDF95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1B07377D" w14:textId="72FD2668" w:rsidR="004966BF" w:rsidRPr="00CE617F" w:rsidRDefault="000D251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E724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EE88083" w14:textId="5B494196" w:rsidR="004966BF" w:rsidRPr="004C23F4" w:rsidRDefault="00EE724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47" w:type="dxa"/>
          </w:tcPr>
          <w:p w14:paraId="570A5544" w14:textId="6915A439" w:rsidR="004966BF" w:rsidRDefault="00EE7247" w:rsidP="00390D7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700FA4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</w:t>
            </w:r>
            <w:r w:rsidR="00700FA4">
              <w:rPr>
                <w:rStyle w:val="checkbox"/>
                <w:rFonts w:ascii="Arial" w:hAnsi="Arial" w:cs="Arial"/>
              </w:rPr>
              <w:t xml:space="preserve">4,000 </w:t>
            </w:r>
            <w:r w:rsidR="00700FA4" w:rsidRPr="00390D78">
              <w:t>mg</w:t>
            </w:r>
            <w:r w:rsidR="00700FA4">
              <w:rPr>
                <w:rStyle w:val="checkbox"/>
                <w:rFonts w:ascii="Arial" w:hAnsi="Arial" w:cs="Arial"/>
              </w:rPr>
              <w:t xml:space="preserve">/kg </w:t>
            </w:r>
            <w:r w:rsidR="00A54A82" w:rsidRPr="00A54A82">
              <w:rPr>
                <w:rStyle w:val="checkbox"/>
                <w:rFonts w:ascii="Arial" w:hAnsi="Arial" w:cs="Arial"/>
              </w:rPr>
              <w:t>b</w:t>
            </w:r>
            <w:r w:rsidR="00A54A82" w:rsidRPr="00A75194">
              <w:rPr>
                <w:rStyle w:val="checkbox"/>
                <w:rFonts w:ascii="Arial" w:hAnsi="Arial" w:cs="Arial"/>
              </w:rPr>
              <w:t>ody weight</w:t>
            </w:r>
            <w:r w:rsidR="00A54A82">
              <w:rPr>
                <w:rStyle w:val="checkbox"/>
                <w:rFonts w:ascii="Arial" w:hAnsi="Arial" w:cs="Arial"/>
              </w:rPr>
              <w:t xml:space="preserve"> </w:t>
            </w:r>
            <w:r w:rsidR="00700FA4">
              <w:rPr>
                <w:rStyle w:val="checkbox"/>
                <w:rFonts w:ascii="Arial" w:hAnsi="Arial" w:cs="Arial"/>
              </w:rPr>
              <w:t>(rabbits, dermal)</w:t>
            </w:r>
          </w:p>
          <w:p w14:paraId="38971415" w14:textId="3224F947" w:rsidR="00700FA4" w:rsidRPr="004C23F4" w:rsidRDefault="00700FA4" w:rsidP="00390D7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abnormal chromosome numbers induced in </w:t>
            </w:r>
            <w:r>
              <w:rPr>
                <w:rStyle w:val="checkbox"/>
                <w:rFonts w:ascii="Arial" w:hAnsi="Arial" w:cs="Arial"/>
                <w:i/>
              </w:rPr>
              <w:t>D</w:t>
            </w:r>
            <w:r w:rsidR="00DB697C">
              <w:rPr>
                <w:rStyle w:val="checkbox"/>
                <w:rFonts w:ascii="Arial" w:hAnsi="Arial" w:cs="Arial"/>
                <w:i/>
              </w:rPr>
              <w:t>. </w:t>
            </w:r>
            <w:r>
              <w:rPr>
                <w:rStyle w:val="checkbox"/>
                <w:rFonts w:ascii="Arial" w:hAnsi="Arial" w:cs="Arial"/>
                <w:i/>
              </w:rPr>
              <w:t>melanogaster</w:t>
            </w:r>
            <w:r>
              <w:rPr>
                <w:rStyle w:val="checkbox"/>
                <w:rFonts w:ascii="Arial" w:hAnsi="Arial" w:cs="Arial"/>
              </w:rPr>
              <w:t xml:space="preserve">, and </w:t>
            </w:r>
            <w:r w:rsidRPr="00390D78">
              <w:t>chromosomal</w:t>
            </w:r>
            <w:r>
              <w:rPr>
                <w:rStyle w:val="checkbox"/>
                <w:rFonts w:ascii="Arial" w:hAnsi="Arial" w:cs="Arial"/>
              </w:rPr>
              <w:t xml:space="preserve"> aberrations not induced in human lymphocytes or mouse bone marrow cells </w:t>
            </w:r>
            <w:r>
              <w:rPr>
                <w:rStyle w:val="checkbox"/>
                <w:rFonts w:ascii="Arial" w:hAnsi="Arial" w:cs="Arial"/>
                <w:i/>
              </w:rPr>
              <w:t>in vivo</w:t>
            </w:r>
            <w:r w:rsidR="00B26FF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223E3" w:rsidRPr="004C23F4" w14:paraId="137DBAB8" w14:textId="77777777" w:rsidTr="000D2512">
        <w:trPr>
          <w:cantSplit/>
        </w:trPr>
        <w:tc>
          <w:tcPr>
            <w:tcW w:w="1495" w:type="dxa"/>
          </w:tcPr>
          <w:p w14:paraId="4D387065" w14:textId="2067F662" w:rsidR="004223E3" w:rsidRDefault="004223E3" w:rsidP="004223E3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093CBE71" w14:textId="3C14CDD2" w:rsidR="004223E3" w:rsidRDefault="000D2512" w:rsidP="004223E3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878313109"/>
                <w:placeholder>
                  <w:docPart w:val="858E3EB48E194702A778C0ABD19CD85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223E3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7A62B02A" w14:textId="1814CFAC" w:rsidR="004223E3" w:rsidRDefault="004223E3" w:rsidP="004223E3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47" w:type="dxa"/>
          </w:tcPr>
          <w:p w14:paraId="370D4786" w14:textId="706F6BE9" w:rsidR="004223E3" w:rsidRDefault="004223E3" w:rsidP="009C1ABB">
            <w:pPr>
              <w:pStyle w:val="ListBullet"/>
              <w:numPr>
                <w:ilvl w:val="0"/>
                <w:numId w:val="9"/>
              </w:numPr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Tier I for agriculture use</w:t>
            </w:r>
            <w:r w:rsidR="0067260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223E3" w:rsidRPr="004C23F4" w14:paraId="54ABE8CE" w14:textId="77777777" w:rsidTr="000D2512">
        <w:trPr>
          <w:cantSplit/>
        </w:trPr>
        <w:tc>
          <w:tcPr>
            <w:tcW w:w="1495" w:type="dxa"/>
          </w:tcPr>
          <w:p w14:paraId="31904245" w14:textId="77777777" w:rsidR="004223E3" w:rsidRPr="004C23F4" w:rsidRDefault="004223E3" w:rsidP="004223E3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064B2776" w14:textId="772974ED" w:rsidR="004223E3" w:rsidRPr="00CE617F" w:rsidRDefault="000D2512" w:rsidP="004223E3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F3B1FC08B1AF42F0B729A3992CFD1777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223E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C359DE8" w14:textId="7566531B" w:rsidR="004223E3" w:rsidRPr="004C23F4" w:rsidRDefault="004223E3" w:rsidP="004223E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1978</w:t>
            </w:r>
          </w:p>
        </w:tc>
        <w:tc>
          <w:tcPr>
            <w:tcW w:w="6447" w:type="dxa"/>
          </w:tcPr>
          <w:p w14:paraId="7FF77E0E" w14:textId="02C1A4D6" w:rsidR="004223E3" w:rsidRPr="004C23F4" w:rsidRDefault="004223E3" w:rsidP="004223E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Report on </w:t>
            </w:r>
            <w:r w:rsidRPr="00390D78">
              <w:t>carcinogenicity</w:t>
            </w:r>
            <w:r>
              <w:rPr>
                <w:rStyle w:val="checkbox"/>
                <w:rFonts w:ascii="Arial" w:hAnsi="Arial" w:cs="Arial"/>
              </w:rPr>
              <w:t xml:space="preserve"> studies cited in ACGIH (2001); results equivocal.</w:t>
            </w:r>
          </w:p>
        </w:tc>
      </w:tr>
      <w:tr w:rsidR="004223E3" w:rsidRPr="004C23F4" w14:paraId="6E96EF59" w14:textId="77777777" w:rsidTr="000D2512">
        <w:trPr>
          <w:cantSplit/>
        </w:trPr>
        <w:tc>
          <w:tcPr>
            <w:tcW w:w="1495" w:type="dxa"/>
          </w:tcPr>
          <w:p w14:paraId="1DD839CB" w14:textId="77777777" w:rsidR="004223E3" w:rsidRPr="004C23F4" w:rsidRDefault="004223E3" w:rsidP="004223E3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0B2DEE4D" w14:textId="29BED8B0" w:rsidR="004223E3" w:rsidRPr="00CE617F" w:rsidRDefault="000D2512" w:rsidP="004223E3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4A8E473478D24B6C9B8FFE567F9B086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223E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C1BB35F" w14:textId="153445FB" w:rsidR="004223E3" w:rsidRPr="004C23F4" w:rsidRDefault="004223E3" w:rsidP="004223E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7" w:type="dxa"/>
          </w:tcPr>
          <w:p w14:paraId="4DBD3494" w14:textId="09B948CA" w:rsidR="004223E3" w:rsidRPr="004C23F4" w:rsidRDefault="004223E3" w:rsidP="004223E3">
            <w:pPr>
              <w:pStyle w:val="Tabletextprimarysource"/>
              <w:numPr>
                <w:ilvl w:val="0"/>
                <w:numId w:val="7"/>
              </w:numPr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additional </w:t>
            </w:r>
            <w:r w:rsidRPr="00390D78">
              <w:t>information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223E3" w:rsidRPr="004C23F4" w14:paraId="39A58E3D" w14:textId="77777777" w:rsidTr="000D2512">
        <w:trPr>
          <w:cantSplit/>
        </w:trPr>
        <w:tc>
          <w:tcPr>
            <w:tcW w:w="1495" w:type="dxa"/>
          </w:tcPr>
          <w:p w14:paraId="52576A26" w14:textId="77777777" w:rsidR="004223E3" w:rsidRDefault="004223E3" w:rsidP="004223E3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7E900A1E" w14:textId="173873D7" w:rsidR="004223E3" w:rsidRDefault="000D2512" w:rsidP="004223E3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4FBBFAA7226546C4A16E6DBCC0285372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223E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6E12AB0" w14:textId="32B09125" w:rsidR="004223E3" w:rsidRPr="004C23F4" w:rsidRDefault="004223E3" w:rsidP="004223E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2007</w:t>
            </w:r>
          </w:p>
        </w:tc>
        <w:tc>
          <w:tcPr>
            <w:tcW w:w="6447" w:type="dxa"/>
          </w:tcPr>
          <w:p w14:paraId="2348DB30" w14:textId="0FED432B" w:rsidR="004223E3" w:rsidRDefault="004223E3" w:rsidP="004223E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390D78">
              <w:t>established</w:t>
            </w:r>
            <w:r>
              <w:rPr>
                <w:rStyle w:val="checkbox"/>
                <w:rFonts w:ascii="Arial" w:hAnsi="Arial" w:cs="Arial"/>
              </w:rPr>
              <w:t xml:space="preserve"> REL</w:t>
            </w:r>
          </w:p>
          <w:p w14:paraId="372FA3A4" w14:textId="7E4A0B0D" w:rsidR="004223E3" w:rsidRPr="004C23F4" w:rsidRDefault="004223E3" w:rsidP="004223E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PEL=15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(TWA, total </w:t>
            </w:r>
            <w:r w:rsidRPr="00390D78">
              <w:t>dust</w:t>
            </w:r>
            <w:r>
              <w:rPr>
                <w:rStyle w:val="checkbox"/>
                <w:rFonts w:ascii="Arial" w:hAnsi="Arial" w:cs="Arial"/>
              </w:rPr>
              <w:t>) and 5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(TWA, respirable dust).</w:t>
            </w:r>
          </w:p>
        </w:tc>
      </w:tr>
    </w:tbl>
    <w:bookmarkEnd w:id="0"/>
    <w:p w14:paraId="24B0344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5F063C2" w14:textId="77777777" w:rsidTr="009E0419">
        <w:trPr>
          <w:trHeight w:val="454"/>
          <w:tblHeader/>
        </w:trPr>
        <w:tc>
          <w:tcPr>
            <w:tcW w:w="6603" w:type="dxa"/>
            <w:vAlign w:val="center"/>
          </w:tcPr>
          <w:p w14:paraId="16D14DA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69D91D4" w14:textId="72505E63" w:rsidR="002E0D61" w:rsidRDefault="00AA5BC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1479357" w14:textId="77777777" w:rsidTr="009E0419">
        <w:trPr>
          <w:trHeight w:val="454"/>
        </w:trPr>
        <w:tc>
          <w:tcPr>
            <w:tcW w:w="6603" w:type="dxa"/>
            <w:vAlign w:val="center"/>
          </w:tcPr>
          <w:p w14:paraId="422FD92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0A97DB0" w14:textId="297667E5" w:rsidR="008A36CF" w:rsidRDefault="00AA5BC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5021F" w14:paraId="6A5B57CA" w14:textId="77777777" w:rsidTr="007B4018">
        <w:trPr>
          <w:trHeight w:val="454"/>
        </w:trPr>
        <w:sdt>
          <w:sdtPr>
            <w:rPr>
              <w:b/>
            </w:rPr>
            <w:id w:val="1830936485"/>
            <w:placeholder>
              <w:docPart w:val="405F4744C7854C0393C3591D5797AE2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31010A5" w14:textId="10E0E6F0" w:rsidR="00E5021F" w:rsidRDefault="00E5021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27E6EE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2518D42" w14:textId="77777777" w:rsidTr="000D2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770C47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C2F014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EC6B3E7" w14:textId="77777777" w:rsidTr="000D2512">
        <w:trPr>
          <w:cantSplit/>
        </w:trPr>
        <w:tc>
          <w:tcPr>
            <w:tcW w:w="3227" w:type="dxa"/>
          </w:tcPr>
          <w:p w14:paraId="3DA5163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151EB90" w14:textId="3A0D74B1" w:rsidR="00687890" w:rsidRPr="00DD2F9B" w:rsidRDefault="00996237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5BCED3D" w14:textId="77777777" w:rsidTr="000D2512">
        <w:trPr>
          <w:cantSplit/>
        </w:trPr>
        <w:tc>
          <w:tcPr>
            <w:tcW w:w="3227" w:type="dxa"/>
          </w:tcPr>
          <w:p w14:paraId="67F06E6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DC911CF" w14:textId="67FFCBFE" w:rsidR="007925F0" w:rsidRPr="00DD2F9B" w:rsidRDefault="0099623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D026467" w14:textId="77777777" w:rsidTr="000D2512">
        <w:trPr>
          <w:cantSplit/>
        </w:trPr>
        <w:tc>
          <w:tcPr>
            <w:tcW w:w="3227" w:type="dxa"/>
          </w:tcPr>
          <w:p w14:paraId="6BE6427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B9061BC" w14:textId="1B0043D7" w:rsidR="00AF483F" w:rsidRPr="00DD2F9B" w:rsidRDefault="0099623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C294712" w14:textId="77777777" w:rsidTr="000D2512">
        <w:trPr>
          <w:cantSplit/>
        </w:trPr>
        <w:tc>
          <w:tcPr>
            <w:tcW w:w="3227" w:type="dxa"/>
          </w:tcPr>
          <w:p w14:paraId="0FD2AE0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06BA1C2" w14:textId="58842533" w:rsidR="00687890" w:rsidRPr="00DD2F9B" w:rsidRDefault="0040225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3CB6585" w14:textId="77777777" w:rsidTr="000D2512">
        <w:trPr>
          <w:cantSplit/>
        </w:trPr>
        <w:tc>
          <w:tcPr>
            <w:tcW w:w="3227" w:type="dxa"/>
          </w:tcPr>
          <w:p w14:paraId="3698753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1D50271" w14:textId="012CB367" w:rsidR="00E41A26" w:rsidRPr="00DD2F9B" w:rsidRDefault="0040225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C7A1A91" w14:textId="77777777" w:rsidTr="000D2512">
        <w:trPr>
          <w:cantSplit/>
        </w:trPr>
        <w:tc>
          <w:tcPr>
            <w:tcW w:w="3227" w:type="dxa"/>
          </w:tcPr>
          <w:p w14:paraId="1D026933" w14:textId="77777777"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14:paraId="008A80C1" w14:textId="1F3DCF9D" w:rsidR="002E0D61" w:rsidRPr="00DD2F9B" w:rsidRDefault="0040225D" w:rsidP="00DD2F9B">
            <w:pPr>
              <w:pStyle w:val="Tablefont"/>
            </w:pPr>
            <w:r w:rsidRPr="0040225D">
              <w:t>Carcinogenicity – A4</w:t>
            </w:r>
          </w:p>
        </w:tc>
      </w:tr>
      <w:tr w:rsidR="002E0D61" w:rsidRPr="004C23F4" w14:paraId="4F71A02D" w14:textId="77777777" w:rsidTr="000D2512">
        <w:trPr>
          <w:cantSplit/>
        </w:trPr>
        <w:tc>
          <w:tcPr>
            <w:tcW w:w="3227" w:type="dxa"/>
          </w:tcPr>
          <w:p w14:paraId="535A1E3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3452A39" w14:textId="7299D7EC" w:rsidR="002E0D61" w:rsidRPr="00DD2F9B" w:rsidRDefault="0040225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A903B19" w14:textId="77777777" w:rsidTr="000D2512">
        <w:trPr>
          <w:cantSplit/>
        </w:trPr>
        <w:tc>
          <w:tcPr>
            <w:tcW w:w="3227" w:type="dxa"/>
          </w:tcPr>
          <w:p w14:paraId="551AC58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F188416" w14:textId="16300C28" w:rsidR="002E0D61" w:rsidRPr="00DD2F9B" w:rsidRDefault="0040225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C5CA8AD" w14:textId="77777777" w:rsidTr="000D2512">
        <w:trPr>
          <w:cantSplit/>
        </w:trPr>
        <w:tc>
          <w:tcPr>
            <w:tcW w:w="3227" w:type="dxa"/>
          </w:tcPr>
          <w:p w14:paraId="3A3818B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5189D71" w14:textId="1CA0694F" w:rsidR="002E0D61" w:rsidRPr="00DD2F9B" w:rsidRDefault="0040225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0EF2589" w14:textId="77777777" w:rsidTr="000D2512">
        <w:trPr>
          <w:cantSplit/>
        </w:trPr>
        <w:tc>
          <w:tcPr>
            <w:tcW w:w="3227" w:type="dxa"/>
          </w:tcPr>
          <w:p w14:paraId="39BFF0A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37F2D07" w14:textId="299A066F" w:rsidR="00386093" w:rsidRPr="00DD2F9B" w:rsidRDefault="0040225D" w:rsidP="00DD2F9B">
            <w:pPr>
              <w:pStyle w:val="Tablefont"/>
            </w:pPr>
            <w:r w:rsidRPr="0040225D">
              <w:t>Carcinogenicity – Group 3</w:t>
            </w:r>
          </w:p>
        </w:tc>
      </w:tr>
      <w:tr w:rsidR="00386093" w:rsidRPr="004C23F4" w14:paraId="784BF28F" w14:textId="77777777" w:rsidTr="000D2512">
        <w:trPr>
          <w:cantSplit/>
        </w:trPr>
        <w:tc>
          <w:tcPr>
            <w:tcW w:w="3227" w:type="dxa"/>
          </w:tcPr>
          <w:p w14:paraId="417FB0E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AB1F68A" w14:textId="44C798FC" w:rsidR="00386093" w:rsidRPr="00DD2F9B" w:rsidRDefault="0040225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4A53D6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231702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98C67C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DA8A34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731"/>
        <w:gridCol w:w="1125"/>
        <w:gridCol w:w="1125"/>
        <w:gridCol w:w="3045"/>
      </w:tblGrid>
      <w:tr w:rsidR="00EC381A" w14:paraId="3482B859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3"/>
          <w:p w14:paraId="61511426" w14:textId="77777777" w:rsidR="00EC381A" w:rsidRDefault="00EC381A">
            <w:pPr>
              <w:spacing w:after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Adverse effects in human case study: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7EDDE0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12E60A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0FFDA7" w14:textId="77777777" w:rsidR="00EC381A" w:rsidRDefault="00EC381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C381A" w14:paraId="3B4E20C8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5E70F84" w14:textId="77777777" w:rsidR="00EC381A" w:rsidRDefault="00EC381A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≤1000 mg/kg: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4B04FB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50AFCB5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8D7854" w14:textId="77777777" w:rsidR="00EC381A" w:rsidRDefault="00EC381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C381A" w14:paraId="0DD5787F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4C7292" w14:textId="77777777" w:rsidR="00EC381A" w:rsidRDefault="00EC381A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repeat-dose NOAEL ≤200 mg/kg: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D423AD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F699F7B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218006F" w14:textId="77777777" w:rsidR="00EC381A" w:rsidRDefault="00EC381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C381A" w14:paraId="2627F179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7C4F44" w14:textId="77777777" w:rsidR="00EC381A" w:rsidRDefault="00EC381A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/Inhalation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&lt;10: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F9C736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5C1E7D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0A59E9" w14:textId="77777777" w:rsidR="00EC381A" w:rsidRDefault="00EC381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C381A" w14:paraId="6C2B0CC3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6780C7" w14:textId="77777777" w:rsidR="00EC381A" w:rsidRDefault="00EC381A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In vivo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dermal absorption rate &gt;10%: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C4399E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E34EBE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50C1E4" w14:textId="77777777" w:rsidR="00EC381A" w:rsidRDefault="00EC381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C381A" w14:paraId="1717199F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9572E0" w14:textId="77777777" w:rsidR="00EC381A" w:rsidRDefault="00EC381A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Estimated dermal exposure at WES &gt;10%: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64D3B7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1AF33D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F24A3F" w14:textId="77777777" w:rsidR="00EC381A" w:rsidRDefault="00EC381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EC381A" w14:paraId="21C523D7" w14:textId="77777777" w:rsidTr="00EC381A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C3EAE38" w14:textId="77777777" w:rsidR="00EC381A" w:rsidRDefault="00EC381A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AE82CB" w14:textId="77777777" w:rsidR="00EC381A" w:rsidRDefault="00EC381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DC87AE" w14:textId="77777777" w:rsidR="00EC381A" w:rsidRDefault="00EC381A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4DE133" w14:textId="77777777" w:rsidR="00EC381A" w:rsidRDefault="00EC381A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 skin notation is not warranted</w:t>
            </w:r>
          </w:p>
        </w:tc>
      </w:tr>
    </w:tbl>
    <w:p w14:paraId="54B7E2BA" w14:textId="32A82441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4542D9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D81CC5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78A00F9" w14:textId="5963731E" w:rsidR="00EB3D1B" w:rsidRDefault="0040225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C65F19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9346EF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F211B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A9F3802" w14:textId="2B9CBDAF" w:rsidR="001B79E5" w:rsidRDefault="0040225D" w:rsidP="001B79E5">
                <w:pPr>
                  <w:pStyle w:val="Tablefont"/>
                </w:pPr>
                <w:r w:rsidRPr="0040225D">
                  <w:t>241.46</w:t>
                </w:r>
              </w:p>
            </w:tc>
          </w:sdtContent>
        </w:sdt>
      </w:tr>
      <w:tr w:rsidR="00A31D99" w:rsidRPr="004C23F4" w14:paraId="5696D24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B926D4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B75F07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542146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30CFD5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5F40B4" w14:textId="0F846D24" w:rsidR="00687890" w:rsidRPr="004C23F4" w:rsidRDefault="00916796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41E3B6FF" w14:textId="77777777" w:rsidTr="00EA6243">
        <w:trPr>
          <w:cantSplit/>
        </w:trPr>
        <w:tc>
          <w:tcPr>
            <w:tcW w:w="4077" w:type="dxa"/>
            <w:vAlign w:val="center"/>
          </w:tcPr>
          <w:p w14:paraId="33168E0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353D37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54C53C6" w14:textId="77777777" w:rsidTr="00EA6243">
        <w:trPr>
          <w:cantSplit/>
        </w:trPr>
        <w:tc>
          <w:tcPr>
            <w:tcW w:w="4077" w:type="dxa"/>
            <w:vAlign w:val="center"/>
          </w:tcPr>
          <w:p w14:paraId="57F034C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255C2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E37AE3E" w14:textId="77777777" w:rsidTr="00EA6243">
        <w:trPr>
          <w:cantSplit/>
        </w:trPr>
        <w:tc>
          <w:tcPr>
            <w:tcW w:w="4077" w:type="dxa"/>
            <w:vAlign w:val="center"/>
          </w:tcPr>
          <w:p w14:paraId="0C36C17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BA82F9F" w14:textId="77777777" w:rsidR="00E06F40" w:rsidRPr="00A006A0" w:rsidRDefault="000D251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924654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0EECEE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44F20A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AA46CC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25E048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484A3B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F88E8F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BE07CBE" w14:textId="77777777" w:rsidR="00F87D92" w:rsidRDefault="00F87D92" w:rsidP="00761E5D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  <w:bookmarkStart w:id="5" w:name="_GoBack"/>
      <w:bookmarkEnd w:id="5"/>
    </w:p>
    <w:p w14:paraId="1E1E6CBB" w14:textId="7FC96FC9" w:rsidR="007F1005" w:rsidRDefault="006650FE" w:rsidP="00390D78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DD25D2A" w14:textId="0ACDCEE3" w:rsidR="0040225D" w:rsidRDefault="0040225D" w:rsidP="00390D78">
      <w:pPr>
        <w:keepNext/>
      </w:pPr>
      <w:r w:rsidRPr="002022B6">
        <w:t>International Agency for Research on Cancer</w:t>
      </w:r>
      <w:r>
        <w:t xml:space="preserve"> (IARC) (</w:t>
      </w:r>
      <w:r w:rsidRPr="0040225D">
        <w:t>1991</w:t>
      </w:r>
      <w:r>
        <w:t xml:space="preserve">) </w:t>
      </w:r>
      <w:r w:rsidRPr="0040225D">
        <w:t>Picloram</w:t>
      </w:r>
      <w:r>
        <w:t>. IARC Monographs on the evaluation of the carcinogenic risk to humans.</w:t>
      </w:r>
    </w:p>
    <w:p w14:paraId="14869C7B" w14:textId="27F41B96" w:rsidR="00543B11" w:rsidRDefault="00543B11" w:rsidP="00390D78">
      <w:pPr>
        <w:keepNext/>
      </w:pPr>
      <w:r>
        <w:t xml:space="preserve">National Toxicology Program (NTP) (1978) </w:t>
      </w:r>
      <w:r w:rsidR="00BF7056">
        <w:t xml:space="preserve">US National Cancer Institute: </w:t>
      </w:r>
      <w:r>
        <w:t>Bioassay of Picloram for Possible Carcinogenicity – Technical Report Series No. 23.</w:t>
      </w:r>
    </w:p>
    <w:p w14:paraId="7247872D" w14:textId="253538E6" w:rsidR="00AA5BC1" w:rsidRDefault="00AA5BC1" w:rsidP="00390D78">
      <w:pPr>
        <w:keepNext/>
      </w:pPr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Picloram.</w:t>
      </w:r>
    </w:p>
    <w:p w14:paraId="2A5C7551" w14:textId="202CD080" w:rsidR="00AA5BC1" w:rsidRPr="00351FE0" w:rsidRDefault="00AA5BC1" w:rsidP="00084859">
      <w:r>
        <w:t xml:space="preserve">US National Institute for Occupational Safety and Health (NIOSH) (2007) NIOSH Pocket Guide </w:t>
      </w:r>
      <w:proofErr w:type="gramStart"/>
      <w:r>
        <w:t>To</w:t>
      </w:r>
      <w:proofErr w:type="gramEnd"/>
      <w:r>
        <w:t xml:space="preserve"> Chemical Hazards – Picloram.</w:t>
      </w:r>
    </w:p>
    <w:sectPr w:rsidR="00AA5BC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586A" w14:textId="77777777" w:rsidR="00472491" w:rsidRDefault="00472491" w:rsidP="00F43AD5">
      <w:pPr>
        <w:spacing w:after="0" w:line="240" w:lineRule="auto"/>
      </w:pPr>
      <w:r>
        <w:separator/>
      </w:r>
    </w:p>
  </w:endnote>
  <w:endnote w:type="continuationSeparator" w:id="0">
    <w:p w14:paraId="16755436" w14:textId="77777777" w:rsidR="00472491" w:rsidRDefault="0047249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13F1" w14:textId="77777777" w:rsidR="000D2512" w:rsidRDefault="000D2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561287F" w14:textId="2A24D062" w:rsidR="008A36CF" w:rsidRDefault="00996237" w:rsidP="0034744C">
        <w:pPr>
          <w:pStyle w:val="Footer"/>
          <w:rPr>
            <w:sz w:val="18"/>
            <w:szCs w:val="18"/>
          </w:rPr>
        </w:pPr>
        <w:r w:rsidRPr="00996237">
          <w:rPr>
            <w:b/>
            <w:sz w:val="18"/>
            <w:szCs w:val="18"/>
          </w:rPr>
          <w:t>Picloram</w:t>
        </w:r>
        <w:r w:rsidR="008A36CF">
          <w:rPr>
            <w:b/>
            <w:sz w:val="18"/>
            <w:szCs w:val="18"/>
          </w:rPr>
          <w:t xml:space="preserve"> (</w:t>
        </w:r>
        <w:r w:rsidRPr="00996237">
          <w:rPr>
            <w:b/>
            <w:sz w:val="18"/>
            <w:szCs w:val="18"/>
          </w:rPr>
          <w:t>1918-02-1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390D78">
          <w:rPr>
            <w:sz w:val="18"/>
            <w:szCs w:val="18"/>
          </w:rPr>
          <w:t>20</w:t>
        </w:r>
      </w:p>
      <w:p w14:paraId="7B5B54D8" w14:textId="4E2C523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273EA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E5CE" w14:textId="77777777" w:rsidR="000D2512" w:rsidRDefault="000D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425F" w14:textId="77777777" w:rsidR="00472491" w:rsidRDefault="00472491" w:rsidP="00F43AD5">
      <w:pPr>
        <w:spacing w:after="0" w:line="240" w:lineRule="auto"/>
      </w:pPr>
      <w:r>
        <w:separator/>
      </w:r>
    </w:p>
  </w:footnote>
  <w:footnote w:type="continuationSeparator" w:id="0">
    <w:p w14:paraId="44CBCA57" w14:textId="77777777" w:rsidR="00472491" w:rsidRDefault="0047249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E532" w14:textId="77777777" w:rsidR="000D2512" w:rsidRDefault="000D2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F47E" w14:textId="34F4DA80" w:rsidR="008A36CF" w:rsidRPr="000D2512" w:rsidRDefault="000D2512" w:rsidP="000D2512">
    <w:pPr>
      <w:pStyle w:val="Header"/>
      <w:jc w:val="right"/>
    </w:pPr>
    <w:r>
      <w:pict w14:anchorId="3678B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6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F6280E7" wp14:editId="45054202">
          <wp:extent cx="2945130" cy="593725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285C" w14:textId="77777777" w:rsidR="000D2512" w:rsidRDefault="000D25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21AC" w14:textId="64081CB5" w:rsidR="000D2512" w:rsidRDefault="000D2512" w:rsidP="000D2512">
    <w:pPr>
      <w:pStyle w:val="Header"/>
      <w:jc w:val="right"/>
    </w:pPr>
    <w:r>
      <w:pict w14:anchorId="5834F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7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1FC9044" wp14:editId="68140B73">
          <wp:extent cx="2945130" cy="593725"/>
          <wp:effectExtent l="0" t="0" r="0" b="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0F56" w14:textId="77777777" w:rsidR="008A36CF" w:rsidRDefault="008A36CF" w:rsidP="000D2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2F6D3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634E5"/>
    <w:multiLevelType w:val="hybridMultilevel"/>
    <w:tmpl w:val="02721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CB0"/>
    <w:multiLevelType w:val="hybridMultilevel"/>
    <w:tmpl w:val="5AA83A0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8CF6DC7"/>
    <w:multiLevelType w:val="hybridMultilevel"/>
    <w:tmpl w:val="8006D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656A"/>
    <w:rsid w:val="000B0868"/>
    <w:rsid w:val="000B3E12"/>
    <w:rsid w:val="000B3E78"/>
    <w:rsid w:val="000B7B48"/>
    <w:rsid w:val="000C096D"/>
    <w:rsid w:val="000C139A"/>
    <w:rsid w:val="000C2053"/>
    <w:rsid w:val="000C248C"/>
    <w:rsid w:val="000D2512"/>
    <w:rsid w:val="000D291C"/>
    <w:rsid w:val="000E5A54"/>
    <w:rsid w:val="000E63D3"/>
    <w:rsid w:val="000E67CF"/>
    <w:rsid w:val="0010461E"/>
    <w:rsid w:val="00106FAA"/>
    <w:rsid w:val="00113443"/>
    <w:rsid w:val="0012216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A620A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696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2FF2"/>
    <w:rsid w:val="00263255"/>
    <w:rsid w:val="00276494"/>
    <w:rsid w:val="00277B0C"/>
    <w:rsid w:val="00285BAC"/>
    <w:rsid w:val="002A0903"/>
    <w:rsid w:val="002B1A2C"/>
    <w:rsid w:val="002C34F2"/>
    <w:rsid w:val="002C58FF"/>
    <w:rsid w:val="002C7AFE"/>
    <w:rsid w:val="002D05D2"/>
    <w:rsid w:val="002E0D61"/>
    <w:rsid w:val="002E4C7B"/>
    <w:rsid w:val="003057EC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D40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0D78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225D"/>
    <w:rsid w:val="004030BC"/>
    <w:rsid w:val="00403F7D"/>
    <w:rsid w:val="00406785"/>
    <w:rsid w:val="004079B4"/>
    <w:rsid w:val="00417A56"/>
    <w:rsid w:val="00420957"/>
    <w:rsid w:val="004223E3"/>
    <w:rsid w:val="00422A10"/>
    <w:rsid w:val="004273EA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491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4E18"/>
    <w:rsid w:val="005272E2"/>
    <w:rsid w:val="0053108F"/>
    <w:rsid w:val="00532B56"/>
    <w:rsid w:val="00534B10"/>
    <w:rsid w:val="00543B11"/>
    <w:rsid w:val="005446A2"/>
    <w:rsid w:val="00544D2F"/>
    <w:rsid w:val="00551BD8"/>
    <w:rsid w:val="0055224C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6376"/>
    <w:rsid w:val="00650905"/>
    <w:rsid w:val="006532ED"/>
    <w:rsid w:val="006549F2"/>
    <w:rsid w:val="006567B7"/>
    <w:rsid w:val="00657BFB"/>
    <w:rsid w:val="0066188B"/>
    <w:rsid w:val="0066333C"/>
    <w:rsid w:val="006639B4"/>
    <w:rsid w:val="00663CD4"/>
    <w:rsid w:val="006650FE"/>
    <w:rsid w:val="0067260D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008C"/>
    <w:rsid w:val="006D79EA"/>
    <w:rsid w:val="006E19C0"/>
    <w:rsid w:val="006E5D05"/>
    <w:rsid w:val="00700FA4"/>
    <w:rsid w:val="00701053"/>
    <w:rsid w:val="00701507"/>
    <w:rsid w:val="00714021"/>
    <w:rsid w:val="00716A0F"/>
    <w:rsid w:val="00717207"/>
    <w:rsid w:val="00717D45"/>
    <w:rsid w:val="007208F7"/>
    <w:rsid w:val="007218AF"/>
    <w:rsid w:val="007365D1"/>
    <w:rsid w:val="00740E0E"/>
    <w:rsid w:val="00750212"/>
    <w:rsid w:val="00754779"/>
    <w:rsid w:val="0075716D"/>
    <w:rsid w:val="00761E5D"/>
    <w:rsid w:val="0076507D"/>
    <w:rsid w:val="00765F14"/>
    <w:rsid w:val="00770E31"/>
    <w:rsid w:val="007770F1"/>
    <w:rsid w:val="00783FB1"/>
    <w:rsid w:val="00784EE2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534B"/>
    <w:rsid w:val="008768A8"/>
    <w:rsid w:val="008852FE"/>
    <w:rsid w:val="0088798F"/>
    <w:rsid w:val="00887E4B"/>
    <w:rsid w:val="008915C8"/>
    <w:rsid w:val="0089458F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796"/>
    <w:rsid w:val="00916909"/>
    <w:rsid w:val="00916EC0"/>
    <w:rsid w:val="00920467"/>
    <w:rsid w:val="00921DE7"/>
    <w:rsid w:val="009241D6"/>
    <w:rsid w:val="0093041A"/>
    <w:rsid w:val="00930714"/>
    <w:rsid w:val="00931B03"/>
    <w:rsid w:val="009323B9"/>
    <w:rsid w:val="00932DCE"/>
    <w:rsid w:val="0093327E"/>
    <w:rsid w:val="00934028"/>
    <w:rsid w:val="0093760E"/>
    <w:rsid w:val="00944154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6237"/>
    <w:rsid w:val="009971C2"/>
    <w:rsid w:val="009A1254"/>
    <w:rsid w:val="009B2FF2"/>
    <w:rsid w:val="009B380C"/>
    <w:rsid w:val="009B4843"/>
    <w:rsid w:val="009B6543"/>
    <w:rsid w:val="009C199D"/>
    <w:rsid w:val="009C1ABB"/>
    <w:rsid w:val="009C278F"/>
    <w:rsid w:val="009C2B94"/>
    <w:rsid w:val="009C5874"/>
    <w:rsid w:val="009D3B5A"/>
    <w:rsid w:val="009E0419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4A82"/>
    <w:rsid w:val="00A604C2"/>
    <w:rsid w:val="00A633D4"/>
    <w:rsid w:val="00A6461A"/>
    <w:rsid w:val="00A7478C"/>
    <w:rsid w:val="00A75194"/>
    <w:rsid w:val="00A84504"/>
    <w:rsid w:val="00A8672F"/>
    <w:rsid w:val="00A93057"/>
    <w:rsid w:val="00A94048"/>
    <w:rsid w:val="00A968B0"/>
    <w:rsid w:val="00AA5BC1"/>
    <w:rsid w:val="00AB2672"/>
    <w:rsid w:val="00AB2817"/>
    <w:rsid w:val="00AB43C4"/>
    <w:rsid w:val="00AC32E7"/>
    <w:rsid w:val="00AC3A9F"/>
    <w:rsid w:val="00AC6D2F"/>
    <w:rsid w:val="00AD367D"/>
    <w:rsid w:val="00AE2745"/>
    <w:rsid w:val="00AE2F64"/>
    <w:rsid w:val="00AF42CB"/>
    <w:rsid w:val="00AF483F"/>
    <w:rsid w:val="00AF5E07"/>
    <w:rsid w:val="00AF5F06"/>
    <w:rsid w:val="00B00A25"/>
    <w:rsid w:val="00B01D88"/>
    <w:rsid w:val="00B1422A"/>
    <w:rsid w:val="00B1765C"/>
    <w:rsid w:val="00B213C4"/>
    <w:rsid w:val="00B26FF9"/>
    <w:rsid w:val="00B40C60"/>
    <w:rsid w:val="00B442D6"/>
    <w:rsid w:val="00B479A9"/>
    <w:rsid w:val="00B52EDF"/>
    <w:rsid w:val="00B62B6A"/>
    <w:rsid w:val="00B71188"/>
    <w:rsid w:val="00B7164C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BF7056"/>
    <w:rsid w:val="00C06E43"/>
    <w:rsid w:val="00C16315"/>
    <w:rsid w:val="00C218D6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4ED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697C"/>
    <w:rsid w:val="00DC7694"/>
    <w:rsid w:val="00DD1BF6"/>
    <w:rsid w:val="00DD2F9B"/>
    <w:rsid w:val="00DE24B1"/>
    <w:rsid w:val="00DE2513"/>
    <w:rsid w:val="00DE26E8"/>
    <w:rsid w:val="00DE4300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021F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3328"/>
    <w:rsid w:val="00E949AF"/>
    <w:rsid w:val="00E96077"/>
    <w:rsid w:val="00EA0A06"/>
    <w:rsid w:val="00EA6243"/>
    <w:rsid w:val="00EA74AB"/>
    <w:rsid w:val="00EB3D1B"/>
    <w:rsid w:val="00EC381A"/>
    <w:rsid w:val="00ED1C3F"/>
    <w:rsid w:val="00ED1D89"/>
    <w:rsid w:val="00ED66BC"/>
    <w:rsid w:val="00EE7247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7B35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08C0"/>
    <w:rsid w:val="00FA099A"/>
    <w:rsid w:val="00FA3DF5"/>
    <w:rsid w:val="00FA741F"/>
    <w:rsid w:val="00FB4E07"/>
    <w:rsid w:val="00FB755A"/>
    <w:rsid w:val="00FC60A2"/>
    <w:rsid w:val="00FD1871"/>
    <w:rsid w:val="00FD3110"/>
    <w:rsid w:val="00FE77D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1679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4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4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4E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0BEA52641204A03B53D53695B69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68C3-3A55-4B11-8FC0-CA04A97B08A8}"/>
      </w:docPartPr>
      <w:docPartBody>
        <w:p w:rsidR="008C6DD3" w:rsidRDefault="00B51D86" w:rsidP="00B51D86">
          <w:pPr>
            <w:pStyle w:val="C0BEA52641204A03B53D53695B6910E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EF44EF69AE1044FAAE29582A2E35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304D-EE00-4502-95A9-C99DC289A28F}"/>
      </w:docPartPr>
      <w:docPartBody>
        <w:p w:rsidR="008C6DD3" w:rsidRDefault="00B51D86" w:rsidP="00B51D86">
          <w:pPr>
            <w:pStyle w:val="EF44EF69AE1044FAAE29582A2E353706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B450F129C1640BB91CF3D3EAF6D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9238-8424-42CC-8DA0-3938B39D9E17}"/>
      </w:docPartPr>
      <w:docPartBody>
        <w:p w:rsidR="008C6DD3" w:rsidRDefault="00B51D86" w:rsidP="00B51D86">
          <w:pPr>
            <w:pStyle w:val="1B450F129C1640BB91CF3D3EAF6D697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391CCC66FB0B457F86F9EA43C6E0A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A395-8DEE-440D-9238-E0AEB4C001AA}"/>
      </w:docPartPr>
      <w:docPartBody>
        <w:p w:rsidR="001D2171" w:rsidRDefault="009D3AF0" w:rsidP="009D3AF0">
          <w:pPr>
            <w:pStyle w:val="391CCC66FB0B457F86F9EA43C6E0A9E4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405F4744C7854C0393C3591D5797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750-4706-4C59-9A4E-96013F5B2339}"/>
      </w:docPartPr>
      <w:docPartBody>
        <w:p w:rsidR="005A3E3E" w:rsidRDefault="00300B8F" w:rsidP="00300B8F">
          <w:pPr>
            <w:pStyle w:val="405F4744C7854C0393C3591D5797AE20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858E3EB48E194702A778C0ABD19C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0786-61B2-4696-A65F-1DBB48A979A7}"/>
      </w:docPartPr>
      <w:docPartBody>
        <w:p w:rsidR="008C6965" w:rsidRDefault="009A2117" w:rsidP="009A2117">
          <w:pPr>
            <w:pStyle w:val="858E3EB48E194702A778C0ABD19CD85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3B1FC08B1AF42F0B729A3992CFD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C9C2-6F2C-4ED1-A21D-F90D1D0A2D65}"/>
      </w:docPartPr>
      <w:docPartBody>
        <w:p w:rsidR="008C6965" w:rsidRDefault="009A2117" w:rsidP="009A2117">
          <w:pPr>
            <w:pStyle w:val="F3B1FC08B1AF42F0B729A3992CFD1777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4A8E473478D24B6C9B8FFE567F9B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AA91-2927-43F4-B2DD-13830A90DAFA}"/>
      </w:docPartPr>
      <w:docPartBody>
        <w:p w:rsidR="008C6965" w:rsidRDefault="009A2117" w:rsidP="009A2117">
          <w:pPr>
            <w:pStyle w:val="4A8E473478D24B6C9B8FFE567F9B086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4FBBFAA7226546C4A16E6DBCC028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E097-A2CB-445E-B996-AD7A7B4C5B9D}"/>
      </w:docPartPr>
      <w:docPartBody>
        <w:p w:rsidR="008C6965" w:rsidRDefault="009A2117" w:rsidP="009A2117">
          <w:pPr>
            <w:pStyle w:val="4FBBFAA7226546C4A16E6DBCC0285372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D2171"/>
    <w:rsid w:val="002C7946"/>
    <w:rsid w:val="00300B8F"/>
    <w:rsid w:val="005A3E3E"/>
    <w:rsid w:val="008C6965"/>
    <w:rsid w:val="008C6DD3"/>
    <w:rsid w:val="009A2117"/>
    <w:rsid w:val="009D3AF0"/>
    <w:rsid w:val="00B51D86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11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0BEA52641204A03B53D53695B6910E2">
    <w:name w:val="C0BEA52641204A03B53D53695B6910E2"/>
    <w:rsid w:val="00B51D86"/>
  </w:style>
  <w:style w:type="paragraph" w:customStyle="1" w:styleId="EF44EF69AE1044FAAE29582A2E353706">
    <w:name w:val="EF44EF69AE1044FAAE29582A2E353706"/>
    <w:rsid w:val="00B51D86"/>
  </w:style>
  <w:style w:type="paragraph" w:customStyle="1" w:styleId="1B450F129C1640BB91CF3D3EAF6D697F">
    <w:name w:val="1B450F129C1640BB91CF3D3EAF6D697F"/>
    <w:rsid w:val="00B51D86"/>
  </w:style>
  <w:style w:type="paragraph" w:customStyle="1" w:styleId="7ADAE2E15E0F4BE18ABE63CA37492148">
    <w:name w:val="7ADAE2E15E0F4BE18ABE63CA37492148"/>
    <w:rsid w:val="00B51D86"/>
  </w:style>
  <w:style w:type="paragraph" w:customStyle="1" w:styleId="98125F0B429647C9B131CA183856B9D9">
    <w:name w:val="98125F0B429647C9B131CA183856B9D9"/>
    <w:rsid w:val="00B51D86"/>
  </w:style>
  <w:style w:type="paragraph" w:customStyle="1" w:styleId="391CCC66FB0B457F86F9EA43C6E0A9E4">
    <w:name w:val="391CCC66FB0B457F86F9EA43C6E0A9E4"/>
    <w:rsid w:val="009D3AF0"/>
  </w:style>
  <w:style w:type="paragraph" w:customStyle="1" w:styleId="405F4744C7854C0393C3591D5797AE20">
    <w:name w:val="405F4744C7854C0393C3591D5797AE20"/>
    <w:rsid w:val="00300B8F"/>
  </w:style>
  <w:style w:type="paragraph" w:customStyle="1" w:styleId="858E3EB48E194702A778C0ABD19CD859">
    <w:name w:val="858E3EB48E194702A778C0ABD19CD859"/>
    <w:rsid w:val="009A2117"/>
  </w:style>
  <w:style w:type="paragraph" w:customStyle="1" w:styleId="F3B1FC08B1AF42F0B729A3992CFD1777">
    <w:name w:val="F3B1FC08B1AF42F0B729A3992CFD1777"/>
    <w:rsid w:val="009A2117"/>
  </w:style>
  <w:style w:type="paragraph" w:customStyle="1" w:styleId="4A8E473478D24B6C9B8FFE567F9B0865">
    <w:name w:val="4A8E473478D24B6C9B8FFE567F9B0865"/>
    <w:rsid w:val="009A2117"/>
  </w:style>
  <w:style w:type="paragraph" w:customStyle="1" w:styleId="4FBBFAA7226546C4A16E6DBCC0285372">
    <w:name w:val="4FBBFAA7226546C4A16E6DBCC0285372"/>
    <w:rsid w:val="009A2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A094-77CA-4431-BC71-6DCF258859D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bf54d604-3e62-4e70-ba33-9e9084b96a6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678E7-967B-46E9-9BF7-50B872345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11BFF-5D12-42C5-B794-145B4CDCF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ED586-029B-43A0-8D75-5604B0D9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2020-03-12T00:35:00Z</dcterms:created>
  <dcterms:modified xsi:type="dcterms:W3CDTF">2020-07-21T00:35:00Z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