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2F0E3D4" w14:textId="7D130921" w:rsidR="00BD499F" w:rsidRPr="004C23F4" w:rsidRDefault="008507DD" w:rsidP="00B40C60">
          <w:pPr>
            <w:pStyle w:val="Heading1"/>
            <w:jc w:val="center"/>
            <w:rPr>
              <w:rFonts w:ascii="Arial" w:hAnsi="Arial" w:cs="Arial"/>
            </w:rPr>
          </w:pPr>
          <w:r w:rsidRPr="008507DD">
            <w:rPr>
              <w:rFonts w:ascii="Arial" w:hAnsi="Arial" w:cs="Arial"/>
            </w:rPr>
            <w:t>Pindone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3"/>
        <w:gridCol w:w="5043"/>
      </w:tblGrid>
      <w:tr w:rsidR="00F43AD5" w:rsidRPr="004C23F4" w14:paraId="6EF32F3C" w14:textId="77777777" w:rsidTr="00B76A41">
        <w:trPr>
          <w:cantSplit/>
          <w:tblHeader/>
        </w:trPr>
        <w:tc>
          <w:tcPr>
            <w:tcW w:w="4077" w:type="dxa"/>
          </w:tcPr>
          <w:p w14:paraId="4E612763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030E5F9" w14:textId="67D7A972" w:rsidR="00F43AD5" w:rsidRPr="00717D45" w:rsidRDefault="003D425C" w:rsidP="00B76A41">
            <w:pPr>
              <w:pStyle w:val="Tablefont"/>
            </w:pPr>
            <w:r w:rsidRPr="003D425C">
              <w:t>83-26-1</w:t>
            </w:r>
          </w:p>
        </w:tc>
      </w:tr>
      <w:tr w:rsidR="00F43AD5" w:rsidRPr="002D0827" w14:paraId="5EC51407" w14:textId="77777777" w:rsidTr="00B76A41">
        <w:trPr>
          <w:cantSplit/>
        </w:trPr>
        <w:tc>
          <w:tcPr>
            <w:tcW w:w="4077" w:type="dxa"/>
          </w:tcPr>
          <w:p w14:paraId="02681055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6D472E38" w14:textId="362E41D3" w:rsidR="00F43AD5" w:rsidRPr="001E11A1" w:rsidRDefault="003D425C" w:rsidP="00B76A41">
            <w:pPr>
              <w:pStyle w:val="Tablefont"/>
              <w:rPr>
                <w:lang w:val="it-IT"/>
              </w:rPr>
            </w:pPr>
            <w:r w:rsidRPr="001E11A1">
              <w:rPr>
                <w:lang w:val="it-IT"/>
              </w:rPr>
              <w:t>Pival, 2-pivalyl-1,3-indandione, 2-trimethylacetyl-1,3-indandione</w:t>
            </w:r>
          </w:p>
        </w:tc>
      </w:tr>
      <w:tr w:rsidR="00F43AD5" w:rsidRPr="004C23F4" w14:paraId="2BF04505" w14:textId="77777777" w:rsidTr="00B76A41">
        <w:trPr>
          <w:cantSplit/>
        </w:trPr>
        <w:tc>
          <w:tcPr>
            <w:tcW w:w="4077" w:type="dxa"/>
          </w:tcPr>
          <w:p w14:paraId="499E40DC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572B1C79" w14:textId="67C7B5DD" w:rsidR="00F43AD5" w:rsidRPr="00717D45" w:rsidRDefault="003D425C" w:rsidP="00B76A41">
            <w:pPr>
              <w:pStyle w:val="Tablefont"/>
            </w:pPr>
            <w:r>
              <w:t>C</w:t>
            </w:r>
            <w:r w:rsidRPr="003D425C">
              <w:rPr>
                <w:vertAlign w:val="subscript"/>
              </w:rPr>
              <w:t>14</w:t>
            </w:r>
            <w:r>
              <w:t>H</w:t>
            </w:r>
            <w:r w:rsidRPr="003D425C">
              <w:rPr>
                <w:vertAlign w:val="subscript"/>
              </w:rPr>
              <w:t>14</w:t>
            </w:r>
            <w:r>
              <w:t>O</w:t>
            </w:r>
            <w:r w:rsidRPr="003D425C">
              <w:rPr>
                <w:vertAlign w:val="subscript"/>
              </w:rPr>
              <w:t>3</w:t>
            </w:r>
          </w:p>
        </w:tc>
      </w:tr>
      <w:tr w:rsidR="00F43AD5" w:rsidRPr="004C23F4" w14:paraId="345B91AA" w14:textId="77777777" w:rsidTr="00B76A41">
        <w:trPr>
          <w:cantSplit/>
        </w:trPr>
        <w:tc>
          <w:tcPr>
            <w:tcW w:w="4077" w:type="dxa"/>
          </w:tcPr>
          <w:p w14:paraId="3B949C58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4F3EB967" w14:textId="418BFCFF" w:rsidR="00F43AD5" w:rsidRPr="00B40C60" w:rsidRDefault="005C229E" w:rsidP="00B76A41">
            <w:pPr>
              <w:pStyle w:val="Tablerowheading"/>
              <w:rPr>
                <w:b w:val="0"/>
              </w:rPr>
            </w:pPr>
            <w:r w:rsidRPr="005C229E">
              <w:rPr>
                <w:b w:val="0"/>
              </w:rPr>
              <w:t>—</w:t>
            </w:r>
          </w:p>
        </w:tc>
      </w:tr>
    </w:tbl>
    <w:p w14:paraId="37EFFA27" w14:textId="43C5E5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AD0A74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7CCCD526" w14:textId="77777777" w:rsidTr="004D10A7">
        <w:trPr>
          <w:cantSplit/>
          <w:tblHeader/>
        </w:trPr>
        <w:tc>
          <w:tcPr>
            <w:tcW w:w="4005" w:type="dxa"/>
            <w:vAlign w:val="center"/>
          </w:tcPr>
          <w:p w14:paraId="0C5C8A6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55356768" w14:textId="2AE969A8" w:rsidR="002C7AFE" w:rsidRPr="004D10A7" w:rsidRDefault="004D10A7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4D10A7" w:rsidRPr="004C23F4" w14:paraId="0546B9C7" w14:textId="77777777" w:rsidTr="004D10A7">
        <w:trPr>
          <w:cantSplit/>
        </w:trPr>
        <w:tc>
          <w:tcPr>
            <w:tcW w:w="4005" w:type="dxa"/>
            <w:vAlign w:val="center"/>
          </w:tcPr>
          <w:p w14:paraId="591A00E0" w14:textId="77777777" w:rsidR="004D10A7" w:rsidRPr="002C58FF" w:rsidRDefault="004D10A7" w:rsidP="004D10A7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21" w:type="dxa"/>
          </w:tcPr>
          <w:p w14:paraId="55A064C5" w14:textId="5898CD6D" w:rsidR="004D10A7" w:rsidRPr="00EB3D1B" w:rsidRDefault="004D10A7" w:rsidP="004D10A7">
            <w:pPr>
              <w:pStyle w:val="Tablefont"/>
              <w:rPr>
                <w:b/>
              </w:rPr>
            </w:pPr>
            <w:r w:rsidRPr="0095092F">
              <w:t>—</w:t>
            </w:r>
          </w:p>
        </w:tc>
      </w:tr>
      <w:tr w:rsidR="004D10A7" w:rsidRPr="004C23F4" w14:paraId="03C69DDF" w14:textId="77777777" w:rsidTr="004D10A7">
        <w:trPr>
          <w:cantSplit/>
        </w:trPr>
        <w:tc>
          <w:tcPr>
            <w:tcW w:w="4005" w:type="dxa"/>
            <w:vAlign w:val="center"/>
          </w:tcPr>
          <w:p w14:paraId="0551C377" w14:textId="77777777" w:rsidR="004D10A7" w:rsidRPr="002C58FF" w:rsidRDefault="004D10A7" w:rsidP="004D10A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2CC45A3D" w14:textId="790DA5A9" w:rsidR="004D10A7" w:rsidRPr="00EB3D1B" w:rsidRDefault="004D10A7" w:rsidP="004D10A7">
            <w:pPr>
              <w:pStyle w:val="Tablefont"/>
              <w:rPr>
                <w:b/>
              </w:rPr>
            </w:pPr>
            <w:r w:rsidRPr="0095092F">
              <w:t>—</w:t>
            </w:r>
          </w:p>
        </w:tc>
      </w:tr>
      <w:tr w:rsidR="004D10A7" w:rsidRPr="004C23F4" w14:paraId="146ADA9C" w14:textId="77777777" w:rsidTr="004D10A7">
        <w:trPr>
          <w:cantSplit/>
        </w:trPr>
        <w:tc>
          <w:tcPr>
            <w:tcW w:w="4005" w:type="dxa"/>
          </w:tcPr>
          <w:p w14:paraId="75A320F7" w14:textId="77777777" w:rsidR="004D10A7" w:rsidRPr="002C58FF" w:rsidRDefault="004D10A7" w:rsidP="004D10A7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21" w:type="dxa"/>
          </w:tcPr>
          <w:p w14:paraId="0E34A356" w14:textId="1B994726" w:rsidR="004D10A7" w:rsidRPr="00EB3D1B" w:rsidRDefault="004D10A7" w:rsidP="004D10A7">
            <w:pPr>
              <w:pStyle w:val="Tablefont"/>
              <w:rPr>
                <w:b/>
              </w:rPr>
            </w:pPr>
            <w:r w:rsidRPr="0095092F">
              <w:t>—</w:t>
            </w:r>
          </w:p>
        </w:tc>
      </w:tr>
      <w:tr w:rsidR="002C7AFE" w:rsidRPr="004C23F4" w14:paraId="12E8E313" w14:textId="77777777" w:rsidTr="004D10A7">
        <w:trPr>
          <w:cantSplit/>
        </w:trPr>
        <w:tc>
          <w:tcPr>
            <w:tcW w:w="4005" w:type="dxa"/>
            <w:vAlign w:val="center"/>
          </w:tcPr>
          <w:p w14:paraId="62514745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63280F89" w14:textId="5FE73004" w:rsidR="002C7AFE" w:rsidRPr="00EB3D1B" w:rsidRDefault="006240D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100 mg/m</w:t>
            </w:r>
            <w:r w:rsidRPr="006240DC">
              <w:rPr>
                <w:b/>
                <w:vertAlign w:val="superscript"/>
              </w:rPr>
              <w:t>3</w:t>
            </w:r>
          </w:p>
        </w:tc>
      </w:tr>
      <w:tr w:rsidR="00B1165A" w:rsidRPr="004C23F4" w14:paraId="23EFB9C8" w14:textId="77777777" w:rsidTr="003352DB">
        <w:trPr>
          <w:cantSplit/>
        </w:trPr>
        <w:tc>
          <w:tcPr>
            <w:tcW w:w="9026" w:type="dxa"/>
            <w:gridSpan w:val="2"/>
            <w:vAlign w:val="center"/>
          </w:tcPr>
          <w:p w14:paraId="63147C41" w14:textId="56D30168" w:rsidR="00B1165A" w:rsidRPr="00EB3D1B" w:rsidRDefault="00B1165A" w:rsidP="00017C82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E7BE97C694B04E4AB0286DA9AA2FCCB4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0B2D67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EB70446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6AED5DA" w14:textId="6485A780" w:rsidR="004D10A7" w:rsidRDefault="004D10A7" w:rsidP="004D10A7">
      <w:r>
        <w:t xml:space="preserve">A </w:t>
      </w:r>
      <w:r w:rsidRPr="00303C9F">
        <w:t xml:space="preserve">TWA of </w:t>
      </w:r>
      <w:r>
        <w:t>0.1 mg/m</w:t>
      </w:r>
      <w:r>
        <w:rPr>
          <w:vertAlign w:val="superscript"/>
        </w:rPr>
        <w:t>3</w:t>
      </w:r>
      <w:r w:rsidRPr="00303C9F">
        <w:t xml:space="preserve"> is recommended to </w:t>
      </w:r>
      <w:r>
        <w:t>protect for</w:t>
      </w:r>
      <w:r w:rsidRPr="00303C9F">
        <w:t xml:space="preserve"> </w:t>
      </w:r>
      <w:r w:rsidR="00541716">
        <w:t>effects on blood clotting</w:t>
      </w:r>
      <w:r>
        <w:t xml:space="preserve"> in exposed workers.</w:t>
      </w:r>
    </w:p>
    <w:p w14:paraId="19DA829C" w14:textId="643763D9" w:rsidR="00AB7AA0" w:rsidRPr="0064580F" w:rsidRDefault="00AB7AA0" w:rsidP="00AB7AA0">
      <w:pPr>
        <w:rPr>
          <w:rFonts w:cs="Arial"/>
        </w:rPr>
      </w:pPr>
      <w:r w:rsidRPr="007E45DB">
        <w:rPr>
          <w:rFonts w:cs="Arial"/>
        </w:rPr>
        <w:t>A priority review of the data for the chemical in the next scheduled review of the workplace exposure standards is recommended</w:t>
      </w:r>
      <w:r w:rsidR="00B23230">
        <w:rPr>
          <w:rFonts w:cs="Arial"/>
        </w:rPr>
        <w:t xml:space="preserve"> to address unresolved uncertainties. </w:t>
      </w:r>
    </w:p>
    <w:p w14:paraId="40FF694A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B2B6710" w14:textId="77777777" w:rsidR="001C72D2" w:rsidRDefault="00A94AB7" w:rsidP="006639B4">
      <w:r>
        <w:t>Pindone is an anticoagulant rodenticide</w:t>
      </w:r>
      <w:r w:rsidR="000B2D67">
        <w:t xml:space="preserve"> and</w:t>
      </w:r>
      <w:r w:rsidR="00A52880">
        <w:t xml:space="preserve"> </w:t>
      </w:r>
      <w:r>
        <w:t>an insecticide.</w:t>
      </w:r>
      <w:r w:rsidR="003054F5">
        <w:t xml:space="preserve"> </w:t>
      </w:r>
    </w:p>
    <w:p w14:paraId="2177205D" w14:textId="26FB8BB5" w:rsidR="006639B4" w:rsidRDefault="003054F5" w:rsidP="006639B4">
      <w:r>
        <w:t xml:space="preserve">Critical effects </w:t>
      </w:r>
      <w:r w:rsidR="00541716">
        <w:t>of</w:t>
      </w:r>
      <w:r>
        <w:t xml:space="preserve"> exposure are anticoagulant </w:t>
      </w:r>
      <w:r w:rsidR="00541716">
        <w:t xml:space="preserve">(blood clotting) </w:t>
      </w:r>
      <w:r>
        <w:t>effects</w:t>
      </w:r>
      <w:r w:rsidR="00541716">
        <w:t xml:space="preserve"> that occur through</w:t>
      </w:r>
      <w:r>
        <w:t xml:space="preserve"> inhibition of prothrombin formation. </w:t>
      </w:r>
      <w:r w:rsidR="00541716">
        <w:t>Pindone</w:t>
      </w:r>
      <w:r>
        <w:t xml:space="preserve"> is </w:t>
      </w:r>
      <w:r w:rsidRPr="003054F5">
        <w:t>pharmacologically analogous to warfarin and inhibits the synthesis of Vitamin K-dependent clotting factors.</w:t>
      </w:r>
      <w:r>
        <w:t xml:space="preserve"> </w:t>
      </w:r>
    </w:p>
    <w:p w14:paraId="4C974235" w14:textId="1975402E" w:rsidR="003054F5" w:rsidRPr="00D714E5" w:rsidRDefault="003054F5" w:rsidP="00FA5FA7">
      <w:r>
        <w:t xml:space="preserve">Limited data are </w:t>
      </w:r>
      <w:r w:rsidR="00D41B33">
        <w:t>available,</w:t>
      </w:r>
      <w:r>
        <w:t xml:space="preserve"> </w:t>
      </w:r>
      <w:r w:rsidR="00A52880">
        <w:t xml:space="preserve">and </w:t>
      </w:r>
      <w:r>
        <w:t>no inhalation</w:t>
      </w:r>
      <w:r w:rsidR="00541716">
        <w:t>al</w:t>
      </w:r>
      <w:r>
        <w:t xml:space="preserve"> toxicology or bioavailability studies</w:t>
      </w:r>
      <w:r w:rsidR="00A52880">
        <w:t xml:space="preserve"> are </w:t>
      </w:r>
      <w:r w:rsidR="00FA5FA7">
        <w:t>reported. Toxicity data on pindone is limited but indandiones, of which pindone is a member, are reported to cause diarrh</w:t>
      </w:r>
      <w:r w:rsidR="00AD0A74">
        <w:t>o</w:t>
      </w:r>
      <w:r w:rsidR="00FA5FA7">
        <w:t>ea, pyrexia, renal tubular necrosis and dermatitis when used clinically. No further information</w:t>
      </w:r>
      <w:r w:rsidR="00AD0A74">
        <w:t xml:space="preserve"> is available</w:t>
      </w:r>
      <w:r w:rsidR="00FA5FA7">
        <w:t>.</w:t>
      </w:r>
      <w:r w:rsidR="00C3602A">
        <w:t xml:space="preserve"> P</w:t>
      </w:r>
      <w:r>
        <w:t xml:space="preserve">indone </w:t>
      </w:r>
      <w:r w:rsidR="00C3602A">
        <w:t>is structurally related to</w:t>
      </w:r>
      <w:r>
        <w:t xml:space="preserve"> </w:t>
      </w:r>
      <w:r w:rsidR="00C3602A">
        <w:t xml:space="preserve">warfarin </w:t>
      </w:r>
      <w:r w:rsidR="00541716">
        <w:t>and</w:t>
      </w:r>
      <w:r w:rsidR="00C3602A">
        <w:t xml:space="preserve"> is considered less toxic with </w:t>
      </w:r>
      <w:r w:rsidR="000B2D67">
        <w:t xml:space="preserve">a </w:t>
      </w:r>
      <w:r>
        <w:t>LD</w:t>
      </w:r>
      <w:r>
        <w:rPr>
          <w:vertAlign w:val="subscript"/>
        </w:rPr>
        <w:t xml:space="preserve">50 </w:t>
      </w:r>
      <w:r w:rsidR="00C3602A">
        <w:t xml:space="preserve">of </w:t>
      </w:r>
      <w:r>
        <w:t xml:space="preserve">10.3 mg/kg </w:t>
      </w:r>
      <w:r w:rsidR="00C3602A">
        <w:t xml:space="preserve">for pindone and </w:t>
      </w:r>
      <w:r>
        <w:t xml:space="preserve">2.4 mg/kg </w:t>
      </w:r>
      <w:r w:rsidR="00C3602A">
        <w:t xml:space="preserve">for </w:t>
      </w:r>
      <w:r>
        <w:t>warfarin in rats</w:t>
      </w:r>
      <w:r w:rsidR="00C3602A">
        <w:t>. It cause</w:t>
      </w:r>
      <w:r w:rsidR="00CC5940">
        <w:t>s</w:t>
      </w:r>
      <w:r w:rsidR="00C3602A">
        <w:t xml:space="preserve"> rapid death </w:t>
      </w:r>
      <w:r w:rsidR="00CF18BC">
        <w:t xml:space="preserve">in rats </w:t>
      </w:r>
      <w:r w:rsidR="00C3602A">
        <w:t xml:space="preserve">due to pulmonary and visceral congestion without haemorrhage. </w:t>
      </w:r>
      <w:r>
        <w:t>Chronic exposure causes multiple internal haemorrhage</w:t>
      </w:r>
      <w:r w:rsidR="00C3602A">
        <w:t xml:space="preserve"> (ACGIH, 201</w:t>
      </w:r>
      <w:r w:rsidR="000B2D67">
        <w:t>8</w:t>
      </w:r>
      <w:r w:rsidR="00C3602A">
        <w:t>).</w:t>
      </w:r>
      <w:r w:rsidR="00D714E5">
        <w:t xml:space="preserve"> </w:t>
      </w:r>
      <w:r w:rsidR="00FA5FA7">
        <w:t>The ACGIH (2018) have derived a TWA of 0.1 mg/m</w:t>
      </w:r>
      <w:r w:rsidR="00FA5FA7">
        <w:rPr>
          <w:vertAlign w:val="superscript"/>
        </w:rPr>
        <w:t>3</w:t>
      </w:r>
      <w:r w:rsidR="00FA5FA7">
        <w:t xml:space="preserve"> by an</w:t>
      </w:r>
      <w:r w:rsidR="00AD0A74">
        <w:t>al</w:t>
      </w:r>
      <w:r w:rsidR="00FA5FA7">
        <w:t xml:space="preserve">ogy with warfarin. </w:t>
      </w:r>
      <w:r w:rsidR="00CF18BC">
        <w:t>HCOTN (2004) note that 0.1 mg/m</w:t>
      </w:r>
      <w:r w:rsidR="00CF18BC" w:rsidRPr="00CF18BC">
        <w:rPr>
          <w:vertAlign w:val="superscript"/>
        </w:rPr>
        <w:t>3</w:t>
      </w:r>
      <w:r w:rsidR="00CF18BC">
        <w:t xml:space="preserve"> (equivalent to 1 mg</w:t>
      </w:r>
      <w:r w:rsidR="005C3520">
        <w:t>/d</w:t>
      </w:r>
      <w:r w:rsidR="00CF18BC">
        <w:t xml:space="preserve"> per </w:t>
      </w:r>
      <w:r w:rsidR="00CC5940">
        <w:t>eight-</w:t>
      </w:r>
      <w:r w:rsidR="00CF18BC">
        <w:t>hour work shift</w:t>
      </w:r>
      <w:r w:rsidR="00FA5FA7">
        <w:t xml:space="preserve"> in workers</w:t>
      </w:r>
      <w:r w:rsidR="00CF18BC">
        <w:t xml:space="preserve">) may not be protective of blood effects. This position is based on a </w:t>
      </w:r>
      <w:r w:rsidR="00CC5940">
        <w:t>seven-</w:t>
      </w:r>
      <w:r w:rsidR="00CF18BC">
        <w:t>day LD</w:t>
      </w:r>
      <w:r w:rsidR="00CF18BC" w:rsidRPr="00CF18BC">
        <w:rPr>
          <w:vertAlign w:val="subscript"/>
        </w:rPr>
        <w:t>50</w:t>
      </w:r>
      <w:r w:rsidR="00CF18BC">
        <w:t xml:space="preserve"> of 0.52</w:t>
      </w:r>
      <w:r w:rsidR="00AD0A74">
        <w:t> </w:t>
      </w:r>
      <w:r w:rsidR="00CF18BC">
        <w:t>mg/kg in rabbits (36.4</w:t>
      </w:r>
      <w:r w:rsidR="00CC5940">
        <w:t> </w:t>
      </w:r>
      <w:r w:rsidR="00CF18BC">
        <w:t>mg/</w:t>
      </w:r>
      <w:r w:rsidR="005C3520">
        <w:t>d</w:t>
      </w:r>
      <w:r w:rsidR="00CF18BC">
        <w:t xml:space="preserve"> in a 70</w:t>
      </w:r>
      <w:r w:rsidR="001E11A1">
        <w:t>-</w:t>
      </w:r>
      <w:r w:rsidR="00CF18BC">
        <w:t>kilogram worker) and a half-life in dogs of approximately five days.</w:t>
      </w:r>
    </w:p>
    <w:p w14:paraId="41144811" w14:textId="443302B8" w:rsidR="004121B5" w:rsidRDefault="005B13B7" w:rsidP="004D10A7">
      <w:r>
        <w:t>The</w:t>
      </w:r>
      <w:r w:rsidR="004D10A7" w:rsidRPr="00303C9F">
        <w:t xml:space="preserve"> TWA of </w:t>
      </w:r>
      <w:r w:rsidR="004D10A7">
        <w:t>0.1 mg/m</w:t>
      </w:r>
      <w:r w:rsidR="004D10A7">
        <w:rPr>
          <w:vertAlign w:val="superscript"/>
        </w:rPr>
        <w:t>3</w:t>
      </w:r>
      <w:r w:rsidR="004D10A7" w:rsidRPr="00303C9F">
        <w:t xml:space="preserve"> </w:t>
      </w:r>
      <w:r w:rsidR="001C72D2">
        <w:t xml:space="preserve">by ACGIH (2018) and SWA </w:t>
      </w:r>
      <w:r w:rsidR="004121B5">
        <w:t>i</w:t>
      </w:r>
      <w:r w:rsidR="004D10A7" w:rsidRPr="00303C9F">
        <w:t xml:space="preserve">s recommended </w:t>
      </w:r>
      <w:r w:rsidR="004121B5">
        <w:t xml:space="preserve">to </w:t>
      </w:r>
      <w:r w:rsidR="00CC5940">
        <w:t xml:space="preserve">be </w:t>
      </w:r>
      <w:r w:rsidR="00FA5FA7">
        <w:t xml:space="preserve">retained </w:t>
      </w:r>
      <w:r w:rsidR="004D10A7" w:rsidRPr="00303C9F">
        <w:t xml:space="preserve">to limit </w:t>
      </w:r>
      <w:r w:rsidR="004D10A7">
        <w:t xml:space="preserve">potential </w:t>
      </w:r>
      <w:r w:rsidR="00CF18BC">
        <w:t xml:space="preserve">cumulative </w:t>
      </w:r>
      <w:r w:rsidR="004D10A7">
        <w:t>anticoagulant effects</w:t>
      </w:r>
      <w:r w:rsidR="00FA5FA7">
        <w:t xml:space="preserve">. </w:t>
      </w:r>
      <w:r>
        <w:t xml:space="preserve">This value is consistent across the </w:t>
      </w:r>
      <w:r w:rsidR="002D0827">
        <w:t xml:space="preserve">two </w:t>
      </w:r>
      <w:r>
        <w:t xml:space="preserve">available primary sources. </w:t>
      </w:r>
      <w:r w:rsidR="00D41B33">
        <w:rPr>
          <w:rFonts w:cs="Arial"/>
        </w:rPr>
        <w:lastRenderedPageBreak/>
        <w:t>Further</w:t>
      </w:r>
      <w:r w:rsidR="00D41B33" w:rsidRPr="007E45DB">
        <w:rPr>
          <w:rFonts w:cs="Arial"/>
        </w:rPr>
        <w:t xml:space="preserve"> review of the data is recommended</w:t>
      </w:r>
      <w:r w:rsidR="00D41B33">
        <w:rPr>
          <w:rFonts w:cs="Arial"/>
        </w:rPr>
        <w:t xml:space="preserve"> during</w:t>
      </w:r>
      <w:r w:rsidR="00D41B33" w:rsidRPr="007E45DB">
        <w:rPr>
          <w:rFonts w:cs="Arial"/>
        </w:rPr>
        <w:t xml:space="preserve"> the next scheduled review </w:t>
      </w:r>
      <w:r w:rsidR="00D41B33">
        <w:rPr>
          <w:rFonts w:cs="Arial"/>
        </w:rPr>
        <w:t>to address unresolved uncertainties.</w:t>
      </w:r>
    </w:p>
    <w:p w14:paraId="72215983" w14:textId="77777777" w:rsidR="004529F0" w:rsidRPr="004C23F4" w:rsidRDefault="004529F0" w:rsidP="00B1165A">
      <w:pPr>
        <w:pStyle w:val="Heading2"/>
      </w:pPr>
      <w:r>
        <w:t>Recommendation for notations</w:t>
      </w:r>
    </w:p>
    <w:p w14:paraId="332C5CF9" w14:textId="2A547B07" w:rsidR="005C229E" w:rsidRPr="00265858" w:rsidRDefault="005C229E" w:rsidP="000B2D67">
      <w:pPr>
        <w:keepNext/>
        <w:rPr>
          <w:rFonts w:cs="Arial"/>
        </w:rPr>
      </w:pPr>
      <w:r w:rsidRPr="00265858">
        <w:rPr>
          <w:rFonts w:cs="Arial"/>
        </w:rPr>
        <w:t>Not classified as a carcinogen according to the Globally Harmonized System of</w:t>
      </w:r>
      <w:r w:rsidR="004D10A7">
        <w:rPr>
          <w:rFonts w:cs="Arial"/>
        </w:rPr>
        <w:t xml:space="preserve"> Classification and Labelling of</w:t>
      </w:r>
      <w:r w:rsidRPr="00265858">
        <w:rPr>
          <w:rFonts w:cs="Arial"/>
        </w:rPr>
        <w:t xml:space="preserve"> Chemicals (GHS). </w:t>
      </w:r>
    </w:p>
    <w:p w14:paraId="47F778ED" w14:textId="07D94092" w:rsidR="005C229E" w:rsidRPr="00265858" w:rsidRDefault="005C229E" w:rsidP="000B2D67">
      <w:pPr>
        <w:keepNext/>
        <w:rPr>
          <w:rFonts w:cs="Arial"/>
        </w:rPr>
      </w:pPr>
      <w:r w:rsidRPr="00265858">
        <w:rPr>
          <w:rFonts w:cs="Arial"/>
        </w:rPr>
        <w:t xml:space="preserve">Not classified as a skin </w:t>
      </w:r>
      <w:r w:rsidR="004D10A7" w:rsidRPr="00265858">
        <w:rPr>
          <w:rFonts w:cs="Arial"/>
        </w:rPr>
        <w:t xml:space="preserve">sensitiser </w:t>
      </w:r>
      <w:r w:rsidRPr="00265858">
        <w:rPr>
          <w:rFonts w:cs="Arial"/>
        </w:rPr>
        <w:t>or respiratory sensitiser according to the GHS.</w:t>
      </w:r>
    </w:p>
    <w:p w14:paraId="64118567" w14:textId="503860DE" w:rsidR="005C229E" w:rsidRPr="004C23F4" w:rsidRDefault="000B2D67" w:rsidP="000B2D67">
      <w:pPr>
        <w:keepNext/>
        <w:rPr>
          <w:rFonts w:cs="Arial"/>
        </w:rPr>
      </w:pPr>
      <w:r>
        <w:rPr>
          <w:rFonts w:cs="Arial"/>
        </w:rPr>
        <w:t>There are i</w:t>
      </w:r>
      <w:r w:rsidR="005C229E" w:rsidRPr="00265858">
        <w:rPr>
          <w:rFonts w:cs="Arial"/>
        </w:rPr>
        <w:t xml:space="preserve">nsufficient </w:t>
      </w:r>
      <w:r>
        <w:rPr>
          <w:rFonts w:cs="Arial"/>
        </w:rPr>
        <w:t>data</w:t>
      </w:r>
      <w:r w:rsidRPr="00265858">
        <w:rPr>
          <w:rFonts w:cs="Arial"/>
        </w:rPr>
        <w:t xml:space="preserve"> </w:t>
      </w:r>
      <w:r w:rsidR="005C229E" w:rsidRPr="00265858">
        <w:rPr>
          <w:rFonts w:cs="Arial"/>
        </w:rPr>
        <w:t>to recommend a skin notation.</w:t>
      </w:r>
    </w:p>
    <w:p w14:paraId="6E48AD14" w14:textId="77777777" w:rsidR="0025734A" w:rsidRPr="004C23F4" w:rsidRDefault="0025734A">
      <w:pPr>
        <w:rPr>
          <w:rFonts w:cs="Arial"/>
        </w:rPr>
      </w:pPr>
    </w:p>
    <w:p w14:paraId="146AF29D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5EA37B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5676627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88F7E11" w14:textId="77777777" w:rsidTr="00BA1AD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AC6D2BD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43CDE55" w14:textId="77777777" w:rsidTr="00BA1AD9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3E4311C" w14:textId="6DFCBB28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240DC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6240DC">
                  <w:t>TWA: 0.1 mg/m</w:t>
                </w:r>
                <w:r w:rsidR="006240DC" w:rsidRPr="006240DC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3968577" w14:textId="77777777" w:rsidTr="00BA1AD9">
        <w:trPr>
          <w:gridAfter w:val="1"/>
          <w:wAfter w:w="8" w:type="pct"/>
          <w:cantSplit/>
        </w:trPr>
        <w:tc>
          <w:tcPr>
            <w:tcW w:w="4992" w:type="pct"/>
          </w:tcPr>
          <w:p w14:paraId="4E2A3094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1CD6A58" w14:textId="77777777" w:rsidTr="00BA1AD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08B0F0F" w14:textId="518E351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240DC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6240DC">
                  <w:t>TLV-TWA: 0.1 mg/m</w:t>
                </w:r>
                <w:r w:rsidR="006240DC" w:rsidRPr="006240DC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B67001E" w14:textId="77777777" w:rsidTr="00BA1AD9">
        <w:trPr>
          <w:gridAfter w:val="1"/>
          <w:wAfter w:w="8" w:type="pct"/>
          <w:cantSplit/>
        </w:trPr>
        <w:tc>
          <w:tcPr>
            <w:tcW w:w="4992" w:type="pct"/>
          </w:tcPr>
          <w:p w14:paraId="3D2E1749" w14:textId="74F7F8D8" w:rsidR="00C978F0" w:rsidRPr="00CF18BC" w:rsidRDefault="00A94AB7" w:rsidP="00B1165A">
            <w:pPr>
              <w:pStyle w:val="Tabletextprimarysource"/>
            </w:pPr>
            <w:r>
              <w:t>TLV-</w:t>
            </w:r>
            <w:r w:rsidRPr="00CF18BC">
              <w:t xml:space="preserve">TWA recommended to minimise the potential for anticoagulant effects </w:t>
            </w:r>
            <w:r w:rsidR="003054F5" w:rsidRPr="00CF18BC">
              <w:rPr>
                <w:i/>
              </w:rPr>
              <w:t>via</w:t>
            </w:r>
            <w:r w:rsidRPr="00CF18BC">
              <w:t xml:space="preserve"> inhibition of prothrombin (</w:t>
            </w:r>
            <w:r w:rsidRPr="00CF18BC">
              <w:rPr>
                <w:rFonts w:cs="Arial"/>
                <w:shd w:val="clear" w:color="auto" w:fill="FFFFFF"/>
              </w:rPr>
              <w:t>plasma protein produced by the liver)</w:t>
            </w:r>
            <w:r w:rsidRPr="00CF18BC">
              <w:t xml:space="preserve"> formation.</w:t>
            </w:r>
          </w:p>
          <w:p w14:paraId="1C5464D6" w14:textId="4C9A7B47" w:rsidR="00A94AB7" w:rsidRPr="00CF18BC" w:rsidRDefault="00A94AB7">
            <w:pPr>
              <w:pStyle w:val="Tabletextprimarysource"/>
            </w:pPr>
            <w:r w:rsidRPr="00CF18BC">
              <w:t>Summary of data:</w:t>
            </w:r>
          </w:p>
          <w:p w14:paraId="24BD81AF" w14:textId="77777777" w:rsidR="00A334CB" w:rsidRPr="00CF18BC" w:rsidRDefault="00F76431" w:rsidP="00AB7AA0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 w:rsidRPr="00CF18BC">
              <w:t>Limited data are available</w:t>
            </w:r>
            <w:r w:rsidR="000E76CE" w:rsidRPr="00CF18BC">
              <w:t>; no inhalation toxicology or bioavailability studies</w:t>
            </w:r>
            <w:r w:rsidR="00146EBE" w:rsidRPr="00CF18BC">
              <w:t xml:space="preserve">. </w:t>
            </w:r>
          </w:p>
          <w:p w14:paraId="1FA9315B" w14:textId="1A00D2E1" w:rsidR="00F76431" w:rsidRPr="00CF18BC" w:rsidRDefault="00F76431" w:rsidP="00AB7AA0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 w:rsidRPr="00CF18BC">
              <w:t>No specific derivation</w:t>
            </w:r>
            <w:r w:rsidR="00146EBE" w:rsidRPr="00CF18BC">
              <w:t xml:space="preserve"> </w:t>
            </w:r>
            <w:r w:rsidRPr="00CF18BC">
              <w:t>of TWA provided</w:t>
            </w:r>
            <w:r w:rsidR="001C72D2">
              <w:t>.</w:t>
            </w:r>
          </w:p>
          <w:p w14:paraId="486151AA" w14:textId="0A761250" w:rsidR="00A94AB7" w:rsidRPr="00CF18BC" w:rsidRDefault="00F76431" w:rsidP="00B1165A">
            <w:pPr>
              <w:pStyle w:val="Tabletextprimarysource"/>
            </w:pPr>
            <w:r w:rsidRPr="00CF18BC">
              <w:t>Human data:</w:t>
            </w:r>
          </w:p>
          <w:p w14:paraId="0F5FD3D0" w14:textId="53023A1E" w:rsidR="00F76431" w:rsidRDefault="000E76CE" w:rsidP="00F43202">
            <w:pPr>
              <w:pStyle w:val="ListBullet"/>
              <w:spacing w:before="60" w:after="60"/>
              <w:ind w:left="720"/>
              <w:contextualSpacing w:val="0"/>
            </w:pPr>
            <w:r>
              <w:t>Clinical use of</w:t>
            </w:r>
            <w:r w:rsidR="00CF18BC">
              <w:t xml:space="preserve"> </w:t>
            </w:r>
            <w:r w:rsidR="00CF18BC" w:rsidRPr="00CF18BC">
              <w:t>β-diketon</w:t>
            </w:r>
            <w:r w:rsidR="00AD0A74">
              <w:t>e</w:t>
            </w:r>
            <w:r w:rsidR="00CF18BC">
              <w:t>s</w:t>
            </w:r>
            <w:r>
              <w:t xml:space="preserve"> </w:t>
            </w:r>
            <w:r w:rsidR="000B2D67">
              <w:t>reported</w:t>
            </w:r>
            <w:r>
              <w:t xml:space="preserve"> diarrh</w:t>
            </w:r>
            <w:r w:rsidR="000B2D67">
              <w:t>o</w:t>
            </w:r>
            <w:r>
              <w:t>ea, pyrexia, renal tubular necrosis, paralysis of accommodation and exfoliative dermatitis</w:t>
            </w:r>
            <w:r w:rsidR="005C3520">
              <w:t xml:space="preserve"> </w:t>
            </w:r>
            <w:r w:rsidR="001C72D2">
              <w:t>(</w:t>
            </w:r>
            <w:r w:rsidR="005C3520">
              <w:t>no further information</w:t>
            </w:r>
            <w:r w:rsidR="001C72D2">
              <w:t>)</w:t>
            </w:r>
            <w:r w:rsidR="00D41B33">
              <w:t>.</w:t>
            </w:r>
          </w:p>
          <w:p w14:paraId="1A969739" w14:textId="11FF6B28" w:rsidR="000E76CE" w:rsidRDefault="000E76CE" w:rsidP="00B1165A">
            <w:pPr>
              <w:pStyle w:val="Tabletextprimarysource"/>
            </w:pPr>
            <w:r>
              <w:t>Animal data:</w:t>
            </w:r>
          </w:p>
          <w:p w14:paraId="2618D3E4" w14:textId="177C6379" w:rsidR="000E76CE" w:rsidRDefault="000E76CE" w:rsidP="00D41B33">
            <w:pPr>
              <w:pStyle w:val="ListBullet"/>
              <w:ind w:left="720"/>
            </w:pPr>
            <w:r>
              <w:t>Rodenticidal dosage of pindone and warfarin (structurally related) for house mice were 4.3</w:t>
            </w:r>
            <w:r w:rsidR="00B1165A">
              <w:t> </w:t>
            </w:r>
            <w:r>
              <w:t>mg/kg and 5.5</w:t>
            </w:r>
            <w:r w:rsidR="00A77F77">
              <w:t> </w:t>
            </w:r>
            <w:r>
              <w:t>mg/kg</w:t>
            </w:r>
            <w:r w:rsidR="005C3520">
              <w:t>; considered less toxic to rats than warfarin</w:t>
            </w:r>
          </w:p>
          <w:p w14:paraId="0831E0EC" w14:textId="5869A72E" w:rsidR="00C3602A" w:rsidRDefault="00A334CB" w:rsidP="00F43202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Warfarin </w:t>
            </w:r>
            <w:r w:rsidR="00C3602A">
              <w:t>TLV-TWA</w:t>
            </w:r>
            <w:r>
              <w:t>:</w:t>
            </w:r>
            <w:r w:rsidR="00C3602A">
              <w:t xml:space="preserve"> 0.01 mg/m</w:t>
            </w:r>
            <w:r w:rsidR="00C3602A">
              <w:rPr>
                <w:vertAlign w:val="superscript"/>
              </w:rPr>
              <w:t xml:space="preserve">3 </w:t>
            </w:r>
          </w:p>
          <w:p w14:paraId="14DD0B51" w14:textId="50BAFDCB" w:rsidR="00A334CB" w:rsidRDefault="000E76CE" w:rsidP="00F43202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A77F77">
              <w:rPr>
                <w:vertAlign w:val="subscript"/>
              </w:rPr>
              <w:t>:</w:t>
            </w:r>
            <w:r>
              <w:t xml:space="preserve"> 10.3 mg/kg </w:t>
            </w:r>
            <w:r w:rsidR="00A77F77">
              <w:t>(</w:t>
            </w:r>
            <w:r>
              <w:t>rats</w:t>
            </w:r>
            <w:r w:rsidR="00A77F77">
              <w:t>)</w:t>
            </w:r>
            <w:r w:rsidR="001E11A1">
              <w:t>:</w:t>
            </w:r>
            <w:r w:rsidR="0095700D">
              <w:t xml:space="preserve"> </w:t>
            </w:r>
          </w:p>
          <w:p w14:paraId="785E6B08" w14:textId="5E91A7BE" w:rsidR="000E76CE" w:rsidRDefault="0095700D" w:rsidP="005333D8">
            <w:pPr>
              <w:pStyle w:val="ListBullet"/>
              <w:numPr>
                <w:ilvl w:val="0"/>
                <w:numId w:val="14"/>
              </w:numPr>
              <w:spacing w:before="60" w:after="60"/>
              <w:contextualSpacing w:val="0"/>
            </w:pPr>
            <w:r>
              <w:t>causes rapid death due to pulmonary and visceral congestion without haemorrhage</w:t>
            </w:r>
            <w:r w:rsidR="000E76CE">
              <w:t xml:space="preserve">; </w:t>
            </w:r>
            <w:r w:rsidR="00A77F77">
              <w:t xml:space="preserve">compared to </w:t>
            </w:r>
            <w:r w:rsidR="000E76CE">
              <w:t>2.4 mg/kg warfarin in rats</w:t>
            </w:r>
          </w:p>
          <w:p w14:paraId="594DFC27" w14:textId="5E10C90F" w:rsidR="000E76CE" w:rsidRDefault="009B24AE" w:rsidP="00F43202">
            <w:pPr>
              <w:pStyle w:val="ListBullet"/>
              <w:spacing w:before="60" w:after="60"/>
              <w:ind w:left="720"/>
              <w:contextualSpacing w:val="0"/>
            </w:pPr>
            <w:r>
              <w:t>Chronically</w:t>
            </w:r>
            <w:r w:rsidR="00DA1C28">
              <w:t xml:space="preserve"> (assumed from feeding studies)</w:t>
            </w:r>
            <w:r>
              <w:t>, vitamin K antagonist, with delayed inhibition of prothrombin formation and repeated doses have a cumulative effect on blood coagulation</w:t>
            </w:r>
          </w:p>
          <w:p w14:paraId="646CC84A" w14:textId="77777777" w:rsidR="009B24AE" w:rsidRDefault="009B24AE" w:rsidP="00F43202">
            <w:pPr>
              <w:pStyle w:val="ListBullet"/>
              <w:spacing w:before="60" w:after="60"/>
              <w:ind w:left="720"/>
              <w:contextualSpacing w:val="0"/>
            </w:pPr>
            <w:r>
              <w:t>Chronic exposure causes multiple internal haemorrhage.</w:t>
            </w:r>
          </w:p>
          <w:p w14:paraId="7B3FB5FD" w14:textId="77777777" w:rsidR="00146EBE" w:rsidRDefault="00146EBE" w:rsidP="00B1165A">
            <w:pPr>
              <w:pStyle w:val="Tabletextprimarysource"/>
            </w:pPr>
          </w:p>
          <w:p w14:paraId="62EF9085" w14:textId="77777777" w:rsidR="009B24AE" w:rsidRDefault="009B24AE" w:rsidP="00B1165A">
            <w:pPr>
              <w:pStyle w:val="Tabletextprimarysource"/>
            </w:pPr>
            <w:r>
              <w:t>Insufficient data to recommend a skin, sensitiser or carcinogenicity notation or TLV-STEL.</w:t>
            </w:r>
          </w:p>
          <w:p w14:paraId="70759F23" w14:textId="1C9A34FD" w:rsidR="00146EBE" w:rsidRPr="00DA352E" w:rsidRDefault="00146EBE" w:rsidP="00B1165A">
            <w:pPr>
              <w:pStyle w:val="Tabletextprimarysource"/>
            </w:pPr>
          </w:p>
        </w:tc>
      </w:tr>
      <w:tr w:rsidR="00C978F0" w:rsidRPr="00DA352E" w14:paraId="64DD7FF4" w14:textId="77777777" w:rsidTr="00BA1AD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97C6938" w14:textId="6A4B57C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240D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6240DC">
                  <w:t>NA</w:t>
                </w:r>
              </w:sdtContent>
            </w:sdt>
          </w:p>
        </w:tc>
      </w:tr>
      <w:tr w:rsidR="00C978F0" w:rsidRPr="00DA352E" w14:paraId="4E90F5CA" w14:textId="77777777" w:rsidTr="00BA1AD9">
        <w:trPr>
          <w:gridAfter w:val="1"/>
          <w:wAfter w:w="8" w:type="pct"/>
          <w:cantSplit/>
        </w:trPr>
        <w:tc>
          <w:tcPr>
            <w:tcW w:w="4992" w:type="pct"/>
          </w:tcPr>
          <w:p w14:paraId="2082A216" w14:textId="3AB27154" w:rsidR="00C978F0" w:rsidRPr="00DA352E" w:rsidRDefault="006240DC" w:rsidP="003365A5">
            <w:pPr>
              <w:pStyle w:val="Tabletextprimarysource"/>
            </w:pPr>
            <w:r>
              <w:t>No report</w:t>
            </w:r>
            <w:r w:rsidR="00B1165A">
              <w:t>.</w:t>
            </w:r>
          </w:p>
        </w:tc>
      </w:tr>
      <w:tr w:rsidR="00C978F0" w:rsidRPr="00DA352E" w14:paraId="629D3EC3" w14:textId="77777777" w:rsidTr="00BA1AD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A323162" w14:textId="0B6BA29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6240D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6240DC">
                  <w:t>NA</w:t>
                </w:r>
              </w:sdtContent>
            </w:sdt>
          </w:p>
        </w:tc>
      </w:tr>
      <w:tr w:rsidR="00C978F0" w:rsidRPr="00DA352E" w14:paraId="00932327" w14:textId="77777777" w:rsidTr="00BA1AD9">
        <w:trPr>
          <w:gridAfter w:val="1"/>
          <w:wAfter w:w="8" w:type="pct"/>
          <w:cantSplit/>
        </w:trPr>
        <w:tc>
          <w:tcPr>
            <w:tcW w:w="4992" w:type="pct"/>
          </w:tcPr>
          <w:p w14:paraId="457DA797" w14:textId="6AB27F73" w:rsidR="00C978F0" w:rsidRPr="00DA352E" w:rsidRDefault="006240DC" w:rsidP="003365A5">
            <w:pPr>
              <w:pStyle w:val="Tabletextprimarysource"/>
            </w:pPr>
            <w:r>
              <w:t>No report</w:t>
            </w:r>
            <w:r w:rsidR="00B1165A">
              <w:t>.</w:t>
            </w:r>
          </w:p>
        </w:tc>
      </w:tr>
      <w:tr w:rsidR="00DA352E" w:rsidRPr="00DA352E" w14:paraId="60A57F59" w14:textId="77777777" w:rsidTr="00BA1AD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7B833BC" w14:textId="6B35CC1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6240D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6240DC">
                  <w:t>NA</w:t>
                </w:r>
              </w:sdtContent>
            </w:sdt>
          </w:p>
        </w:tc>
      </w:tr>
      <w:tr w:rsidR="00DA352E" w:rsidRPr="00DA352E" w14:paraId="2C3D5496" w14:textId="77777777" w:rsidTr="00BA1AD9">
        <w:trPr>
          <w:gridAfter w:val="1"/>
          <w:wAfter w:w="8" w:type="pct"/>
          <w:cantSplit/>
        </w:trPr>
        <w:tc>
          <w:tcPr>
            <w:tcW w:w="4992" w:type="pct"/>
          </w:tcPr>
          <w:p w14:paraId="48136CAF" w14:textId="5CD05A1C" w:rsidR="00DA352E" w:rsidRPr="00DA352E" w:rsidRDefault="006240DC" w:rsidP="003365A5">
            <w:pPr>
              <w:pStyle w:val="Tabletextprimarysource"/>
            </w:pPr>
            <w:r>
              <w:t>No report</w:t>
            </w:r>
            <w:r w:rsidR="00B1165A">
              <w:t>.</w:t>
            </w:r>
          </w:p>
        </w:tc>
      </w:tr>
      <w:tr w:rsidR="00DA352E" w:rsidRPr="00DA352E" w14:paraId="60A9B38E" w14:textId="77777777" w:rsidTr="00BA1AD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7E2BE42" w14:textId="4BA1AF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6240DC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6240DC">
                  <w:t>TWA: 0.1 mg/m</w:t>
                </w:r>
                <w:r w:rsidR="006240DC" w:rsidRPr="006240DC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44EFD6B3" w14:textId="77777777" w:rsidTr="00BA1AD9">
        <w:trPr>
          <w:gridAfter w:val="1"/>
          <w:wAfter w:w="8" w:type="pct"/>
          <w:cantSplit/>
        </w:trPr>
        <w:tc>
          <w:tcPr>
            <w:tcW w:w="4992" w:type="pct"/>
          </w:tcPr>
          <w:p w14:paraId="70C322F9" w14:textId="41BFD94A" w:rsidR="00DA352E" w:rsidRDefault="00612995" w:rsidP="003365A5">
            <w:pPr>
              <w:pStyle w:val="Tabletextprimarysource"/>
            </w:pPr>
            <w:r>
              <w:t>Administrative OEL; insufficient data in humans</w:t>
            </w:r>
            <w:r w:rsidR="00162A48">
              <w:t>.</w:t>
            </w:r>
          </w:p>
          <w:p w14:paraId="6A908158" w14:textId="77777777" w:rsidR="00612995" w:rsidRDefault="00612995" w:rsidP="003365A5">
            <w:pPr>
              <w:pStyle w:val="Tabletextprimarysource"/>
            </w:pPr>
            <w:r>
              <w:t>Summary of additional data:</w:t>
            </w:r>
          </w:p>
          <w:p w14:paraId="67F0DAD1" w14:textId="4279EC9E" w:rsidR="00A334CB" w:rsidRDefault="00DA1C28" w:rsidP="00AB7AA0">
            <w:pPr>
              <w:pStyle w:val="ListBullet"/>
              <w:spacing w:before="0" w:after="0"/>
              <w:ind w:left="714" w:hanging="357"/>
              <w:contextualSpacing w:val="0"/>
            </w:pPr>
            <w:r>
              <w:t>t</w:t>
            </w:r>
            <w:r w:rsidRPr="00DA1C28">
              <w:rPr>
                <w:vertAlign w:val="subscript"/>
              </w:rPr>
              <w:t>1/</w:t>
            </w:r>
            <w:proofErr w:type="gramStart"/>
            <w:r w:rsidRPr="00DA1C28">
              <w:rPr>
                <w:vertAlign w:val="subscript"/>
              </w:rPr>
              <w:t xml:space="preserve">2 </w:t>
            </w:r>
            <w:r w:rsidR="00612995" w:rsidRPr="00DA1C28">
              <w:rPr>
                <w:vertAlign w:val="subscript"/>
              </w:rPr>
              <w:t xml:space="preserve"> </w:t>
            </w:r>
            <w:r w:rsidR="005240AD">
              <w:rPr>
                <w:rFonts w:cs="Arial"/>
              </w:rPr>
              <w:t>≈</w:t>
            </w:r>
            <w:proofErr w:type="gramEnd"/>
            <w:r w:rsidR="00612995">
              <w:t>5 d observed in dogs after oral exposure</w:t>
            </w:r>
            <w:r w:rsidR="001E11A1">
              <w:t>:</w:t>
            </w:r>
            <w:r w:rsidR="00612995">
              <w:t xml:space="preserve"> </w:t>
            </w:r>
          </w:p>
          <w:p w14:paraId="087E3183" w14:textId="32C919D5" w:rsidR="00612995" w:rsidRDefault="00612995" w:rsidP="005333D8">
            <w:pPr>
              <w:pStyle w:val="ListBullet"/>
              <w:numPr>
                <w:ilvl w:val="0"/>
                <w:numId w:val="14"/>
              </w:numPr>
              <w:spacing w:before="0" w:after="0"/>
              <w:contextualSpacing w:val="0"/>
            </w:pPr>
            <w:r>
              <w:t>may accumulate in the body</w:t>
            </w:r>
          </w:p>
          <w:p w14:paraId="1FF22D74" w14:textId="5383DA73" w:rsidR="00612995" w:rsidRDefault="00612995" w:rsidP="00AB7AA0">
            <w:pPr>
              <w:pStyle w:val="ListBullet"/>
              <w:spacing w:before="0" w:after="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A77F77">
              <w:t>:</w:t>
            </w:r>
            <w:r>
              <w:rPr>
                <w:vertAlign w:val="subscript"/>
              </w:rPr>
              <w:t xml:space="preserve"> </w:t>
            </w:r>
            <w:r>
              <w:t>0.52 mg/kg</w:t>
            </w:r>
            <w:r w:rsidR="001E11A1">
              <w:t>/d</w:t>
            </w:r>
            <w:r>
              <w:t xml:space="preserve"> </w:t>
            </w:r>
            <w:r w:rsidR="00A77F77">
              <w:t>(r</w:t>
            </w:r>
            <w:r>
              <w:t>abbits</w:t>
            </w:r>
            <w:r w:rsidR="00A77F77">
              <w:t>,7 d)</w:t>
            </w:r>
            <w:r>
              <w:t xml:space="preserve">; </w:t>
            </w:r>
            <w:r w:rsidR="00A77F77">
              <w:rPr>
                <w:rFonts w:cs="Arial"/>
              </w:rPr>
              <w:t>≡</w:t>
            </w:r>
            <w:r>
              <w:t>dose 36.4 mg/</w:t>
            </w:r>
            <w:r w:rsidR="005C3520">
              <w:t>d</w:t>
            </w:r>
            <w:r w:rsidR="001E11A1">
              <w:t xml:space="preserve"> </w:t>
            </w:r>
            <w:r>
              <w:t>in 70 kg worker</w:t>
            </w:r>
          </w:p>
          <w:p w14:paraId="3B1278A5" w14:textId="77777777" w:rsidR="00A73661" w:rsidRDefault="00A73661" w:rsidP="00AB7AA0">
            <w:pPr>
              <w:pStyle w:val="ListBullet"/>
              <w:spacing w:before="0" w:after="0"/>
              <w:ind w:left="714" w:hanging="357"/>
              <w:contextualSpacing w:val="0"/>
            </w:pPr>
            <w:r>
              <w:t>Exposure to OEL of 0.1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A77F77">
              <w:rPr>
                <w:rFonts w:cs="Arial"/>
              </w:rPr>
              <w:t>≡</w:t>
            </w:r>
            <w:r>
              <w:t>dose 1 mg/d for a worker breathing 10</w:t>
            </w:r>
            <w:r w:rsidR="00B1165A">
              <w:t> </w:t>
            </w:r>
            <w:r>
              <w:t>m</w:t>
            </w:r>
            <w:r>
              <w:rPr>
                <w:vertAlign w:val="superscript"/>
              </w:rPr>
              <w:t>3</w:t>
            </w:r>
            <w:r w:rsidR="00590C57">
              <w:t>; administrative OEL likely to high</w:t>
            </w:r>
            <w:r w:rsidR="00B1165A">
              <w:t>.</w:t>
            </w:r>
          </w:p>
          <w:p w14:paraId="695A36A9" w14:textId="1D6EB495" w:rsidR="00AE27F5" w:rsidRPr="00DA352E" w:rsidRDefault="00AE27F5" w:rsidP="00AE27F5">
            <w:pPr>
              <w:pStyle w:val="ListBullet"/>
              <w:numPr>
                <w:ilvl w:val="0"/>
                <w:numId w:val="0"/>
              </w:numPr>
              <w:spacing w:before="0" w:after="0"/>
              <w:ind w:left="714"/>
              <w:contextualSpacing w:val="0"/>
            </w:pPr>
          </w:p>
        </w:tc>
      </w:tr>
    </w:tbl>
    <w:p w14:paraId="400C5AA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1"/>
        <w:gridCol w:w="423"/>
        <w:gridCol w:w="661"/>
        <w:gridCol w:w="6451"/>
      </w:tblGrid>
      <w:tr w:rsidR="004966BF" w:rsidRPr="00263255" w14:paraId="31F178D0" w14:textId="77777777" w:rsidTr="00BA1A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1" w:type="dxa"/>
            <w:shd w:val="clear" w:color="auto" w:fill="BFBFBF" w:themeFill="background1" w:themeFillShade="BF"/>
            <w:vAlign w:val="center"/>
          </w:tcPr>
          <w:p w14:paraId="34FFB441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50B302CB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E7F1623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6C81283C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AEAC2AC" w14:textId="77777777" w:rsidTr="00BA1AD9">
        <w:trPr>
          <w:cantSplit/>
        </w:trPr>
        <w:tc>
          <w:tcPr>
            <w:tcW w:w="1491" w:type="dxa"/>
          </w:tcPr>
          <w:p w14:paraId="06D4A285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266B8F0D" w14:textId="1FBF8763" w:rsidR="004966BF" w:rsidRPr="00CE617F" w:rsidRDefault="00BA1AD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44F2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75BAB2F" w14:textId="68D4DCA3" w:rsidR="004966BF" w:rsidRPr="004C23F4" w:rsidRDefault="00F44F2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ND</w:t>
            </w:r>
          </w:p>
        </w:tc>
        <w:tc>
          <w:tcPr>
            <w:tcW w:w="6451" w:type="dxa"/>
          </w:tcPr>
          <w:p w14:paraId="62C2EC29" w14:textId="4DCA6231" w:rsidR="004966BF" w:rsidRPr="004C23F4" w:rsidRDefault="00F44F25" w:rsidP="00AB7AA0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1709CE">
              <w:rPr>
                <w:rStyle w:val="checkbox"/>
                <w:rFonts w:ascii="Arial" w:hAnsi="Arial" w:cs="Arial"/>
              </w:rPr>
              <w:t xml:space="preserve">Human </w:t>
            </w:r>
            <w:r w:rsidRPr="00F43202">
              <w:t>health</w:t>
            </w:r>
            <w:r w:rsidRPr="001709CE">
              <w:rPr>
                <w:rStyle w:val="checkbox"/>
                <w:rFonts w:ascii="Arial" w:hAnsi="Arial" w:cs="Arial"/>
              </w:rPr>
              <w:t xml:space="preserve"> tier I assessment</w:t>
            </w:r>
            <w:r>
              <w:rPr>
                <w:rStyle w:val="checkbox"/>
                <w:rFonts w:ascii="Arial" w:hAnsi="Arial" w:cs="Arial"/>
              </w:rPr>
              <w:t>; no further information</w:t>
            </w:r>
            <w:r w:rsidR="00146EBE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5BEC9922" w14:textId="77777777" w:rsidTr="00BA1AD9">
        <w:trPr>
          <w:cantSplit/>
        </w:trPr>
        <w:tc>
          <w:tcPr>
            <w:tcW w:w="1491" w:type="dxa"/>
          </w:tcPr>
          <w:p w14:paraId="4B3B4243" w14:textId="77777777" w:rsidR="004966BF" w:rsidRPr="004C23F4" w:rsidRDefault="004966BF" w:rsidP="00224EE2">
            <w:pPr>
              <w:pStyle w:val="Tablefont"/>
            </w:pPr>
            <w:r>
              <w:t>APVMA</w:t>
            </w:r>
          </w:p>
        </w:tc>
        <w:tc>
          <w:tcPr>
            <w:tcW w:w="423" w:type="dxa"/>
          </w:tcPr>
          <w:p w14:paraId="3B69CEE5" w14:textId="5CCF906D" w:rsidR="004966BF" w:rsidRPr="00CE617F" w:rsidRDefault="00BA1AD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864932884"/>
                <w:placeholder>
                  <w:docPart w:val="CC96E8CFB35445F7B98574D62F848316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90C5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532F6C3" w14:textId="30A857BF" w:rsidR="004966BF" w:rsidRPr="004C23F4" w:rsidRDefault="00590C57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</w:t>
            </w:r>
            <w:bookmarkStart w:id="1" w:name="_GoBack"/>
            <w:bookmarkEnd w:id="1"/>
            <w:r>
              <w:rPr>
                <w:rStyle w:val="checkbox"/>
                <w:rFonts w:ascii="Arial" w:hAnsi="Arial" w:cs="Arial"/>
              </w:rPr>
              <w:t>02</w:t>
            </w:r>
          </w:p>
        </w:tc>
        <w:tc>
          <w:tcPr>
            <w:tcW w:w="6451" w:type="dxa"/>
          </w:tcPr>
          <w:p w14:paraId="6F31934B" w14:textId="2994794D" w:rsidR="004966BF" w:rsidRPr="004C23F4" w:rsidRDefault="00590C57" w:rsidP="00AB7AA0">
            <w:pPr>
              <w:pStyle w:val="ListBullet"/>
              <w:numPr>
                <w:ilvl w:val="0"/>
                <w:numId w:val="13"/>
              </w:numPr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No additional </w:t>
            </w:r>
            <w:r w:rsidRPr="00A77F77">
              <w:t>information</w:t>
            </w:r>
            <w:r w:rsidR="00146EBE">
              <w:t>.</w:t>
            </w:r>
          </w:p>
        </w:tc>
      </w:tr>
    </w:tbl>
    <w:bookmarkEnd w:id="0"/>
    <w:p w14:paraId="4555FB35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759E3DAE" w14:textId="77777777" w:rsidTr="00BD6DCF">
        <w:trPr>
          <w:trHeight w:val="454"/>
          <w:tblHeader/>
        </w:trPr>
        <w:tc>
          <w:tcPr>
            <w:tcW w:w="6597" w:type="dxa"/>
            <w:vAlign w:val="center"/>
          </w:tcPr>
          <w:p w14:paraId="0E92EF28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35ED8F46" w14:textId="4198F94A" w:rsidR="002E0D61" w:rsidRDefault="00BD6DCF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151AB4A1" w14:textId="77777777" w:rsidTr="00BD6DCF">
        <w:trPr>
          <w:trHeight w:val="454"/>
        </w:trPr>
        <w:tc>
          <w:tcPr>
            <w:tcW w:w="6597" w:type="dxa"/>
            <w:vAlign w:val="center"/>
          </w:tcPr>
          <w:p w14:paraId="52B12077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0375091" w14:textId="3CF582DB" w:rsidR="008A36CF" w:rsidRDefault="00BD6DCF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A334CB" w14:paraId="7AA9C18D" w14:textId="77777777" w:rsidTr="00BA31ED">
        <w:trPr>
          <w:trHeight w:val="454"/>
        </w:trPr>
        <w:sdt>
          <w:sdtPr>
            <w:rPr>
              <w:b/>
            </w:rPr>
            <w:id w:val="1830936485"/>
            <w:placeholder>
              <w:docPart w:val="B4C68A25100A48D19C850AF4EAEC92EF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02D9DAC1" w14:textId="259843F3" w:rsidR="00A334CB" w:rsidRDefault="00A334CB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026955F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59123FE" w14:textId="77777777" w:rsidTr="00BA1A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E147C11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2E851A7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D91BECE" w14:textId="77777777" w:rsidTr="00BA1AD9">
        <w:trPr>
          <w:cantSplit/>
        </w:trPr>
        <w:tc>
          <w:tcPr>
            <w:tcW w:w="3227" w:type="dxa"/>
          </w:tcPr>
          <w:p w14:paraId="5C1ECD8B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4C03A85" w14:textId="3B41038D" w:rsidR="00687890" w:rsidRPr="00DD2F9B" w:rsidRDefault="006240DC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37A2443E" w14:textId="77777777" w:rsidTr="00BA1AD9">
        <w:trPr>
          <w:cantSplit/>
        </w:trPr>
        <w:tc>
          <w:tcPr>
            <w:tcW w:w="3227" w:type="dxa"/>
          </w:tcPr>
          <w:p w14:paraId="5B51D168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CDB6443" w14:textId="0E58CD41" w:rsidR="007925F0" w:rsidRPr="00DD2F9B" w:rsidRDefault="006240DC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3124B525" w14:textId="77777777" w:rsidTr="00BA1AD9">
        <w:trPr>
          <w:cantSplit/>
        </w:trPr>
        <w:tc>
          <w:tcPr>
            <w:tcW w:w="3227" w:type="dxa"/>
          </w:tcPr>
          <w:p w14:paraId="6720D98F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2473763" w14:textId="0D9A2FE1" w:rsidR="00AF483F" w:rsidRPr="00DD2F9B" w:rsidRDefault="006240DC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6892780" w14:textId="77777777" w:rsidTr="00BA1AD9">
        <w:trPr>
          <w:cantSplit/>
        </w:trPr>
        <w:tc>
          <w:tcPr>
            <w:tcW w:w="3227" w:type="dxa"/>
          </w:tcPr>
          <w:p w14:paraId="684620BC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562B365" w14:textId="064A0BF6" w:rsidR="00687890" w:rsidRPr="00DD2F9B" w:rsidRDefault="006240DC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9CAEE96" w14:textId="77777777" w:rsidTr="00BA1AD9">
        <w:trPr>
          <w:cantSplit/>
        </w:trPr>
        <w:tc>
          <w:tcPr>
            <w:tcW w:w="3227" w:type="dxa"/>
          </w:tcPr>
          <w:p w14:paraId="26BD0C01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D82462D" w14:textId="3B24F418" w:rsidR="00E41A26" w:rsidRPr="00DD2F9B" w:rsidRDefault="006240DC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EA32AAB" w14:textId="77777777" w:rsidTr="00BA1AD9">
        <w:trPr>
          <w:cantSplit/>
        </w:trPr>
        <w:tc>
          <w:tcPr>
            <w:tcW w:w="3227" w:type="dxa"/>
          </w:tcPr>
          <w:p w14:paraId="092FB9DA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6F98D02" w14:textId="6CD5BA90" w:rsidR="002E0D61" w:rsidRPr="00DD2F9B" w:rsidRDefault="006240DC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A153247" w14:textId="77777777" w:rsidTr="00BA1AD9">
        <w:trPr>
          <w:cantSplit/>
        </w:trPr>
        <w:tc>
          <w:tcPr>
            <w:tcW w:w="3227" w:type="dxa"/>
          </w:tcPr>
          <w:p w14:paraId="44A8AAA7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5A79BEB" w14:textId="324305AA" w:rsidR="002E0D61" w:rsidRPr="00DD2F9B" w:rsidRDefault="006240D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A88405C" w14:textId="77777777" w:rsidTr="00BA1AD9">
        <w:trPr>
          <w:cantSplit/>
        </w:trPr>
        <w:tc>
          <w:tcPr>
            <w:tcW w:w="3227" w:type="dxa"/>
          </w:tcPr>
          <w:p w14:paraId="7A36B890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053664C" w14:textId="42A2D02C" w:rsidR="002E0D61" w:rsidRPr="00DD2F9B" w:rsidRDefault="006240D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1732ED7" w14:textId="77777777" w:rsidTr="00BA1AD9">
        <w:trPr>
          <w:cantSplit/>
        </w:trPr>
        <w:tc>
          <w:tcPr>
            <w:tcW w:w="3227" w:type="dxa"/>
          </w:tcPr>
          <w:p w14:paraId="1819DF98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3A3795A" w14:textId="741AA8A7" w:rsidR="002E0D61" w:rsidRPr="00DD2F9B" w:rsidRDefault="006240DC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4F2FBF9E" w14:textId="77777777" w:rsidTr="00BA1AD9">
        <w:trPr>
          <w:cantSplit/>
        </w:trPr>
        <w:tc>
          <w:tcPr>
            <w:tcW w:w="3227" w:type="dxa"/>
          </w:tcPr>
          <w:p w14:paraId="5AD8A9F9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4FD9451" w14:textId="7117AC5C" w:rsidR="00386093" w:rsidRPr="00DD2F9B" w:rsidRDefault="006240DC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3963D8A" w14:textId="77777777" w:rsidTr="00BA1AD9">
        <w:trPr>
          <w:cantSplit/>
        </w:trPr>
        <w:tc>
          <w:tcPr>
            <w:tcW w:w="3227" w:type="dxa"/>
          </w:tcPr>
          <w:p w14:paraId="75D6E238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FB165AB" w14:textId="6A4ADA6E" w:rsidR="00386093" w:rsidRPr="00DD2F9B" w:rsidRDefault="006240DC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15C3D0F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4347AE9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EC6FF0C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C5BF4B1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E4D409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2333338C" w14:textId="2EE60729" w:rsidR="00932DCE" w:rsidRPr="004C23F4" w:rsidRDefault="00BD6DCF" w:rsidP="00F9496B">
            <w:pPr>
              <w:pStyle w:val="Tablefont"/>
            </w:pPr>
            <w:r>
              <w:t>Insufficient data</w:t>
            </w:r>
            <w:r w:rsidR="00B1165A">
              <w:t xml:space="preserve"> to assign a skin notation</w:t>
            </w:r>
            <w:r w:rsidR="00A334CB">
              <w:t>.</w:t>
            </w:r>
          </w:p>
        </w:tc>
      </w:tr>
    </w:tbl>
    <w:bookmarkEnd w:id="4"/>
    <w:p w14:paraId="74B3228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15D38522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73FF700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BF374C6" w14:textId="2B007E3C" w:rsidR="00EB3D1B" w:rsidRDefault="006240DC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6EA71B7A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0554C81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BD60505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C8B414B" w14:textId="3B25F5C3" w:rsidR="001B79E5" w:rsidRDefault="006240DC" w:rsidP="001B79E5">
                <w:pPr>
                  <w:pStyle w:val="Tablefont"/>
                </w:pPr>
                <w:r w:rsidRPr="006240DC">
                  <w:t>230.26</w:t>
                </w:r>
              </w:p>
            </w:tc>
          </w:sdtContent>
        </w:sdt>
      </w:tr>
      <w:tr w:rsidR="00A31D99" w:rsidRPr="004C23F4" w14:paraId="60CC69F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08CFF49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C2A60B2" w14:textId="1C526BE6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E11CC7">
                  <w:t>9.43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E11CC7" w:rsidRPr="00E11CC7">
                  <w:t>0.11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A496D7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D096E97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DE44C22" w14:textId="421F8BDC" w:rsidR="00687890" w:rsidRPr="004C23F4" w:rsidRDefault="00A77F77" w:rsidP="00717D45">
                <w:pPr>
                  <w:pStyle w:val="Tablefont"/>
                </w:pPr>
                <w:r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p>
            </w:tc>
          </w:sdtContent>
        </w:sdt>
      </w:tr>
      <w:tr w:rsidR="00687890" w:rsidRPr="004C23F4" w14:paraId="5DD161F2" w14:textId="77777777" w:rsidTr="00EA6243">
        <w:trPr>
          <w:cantSplit/>
        </w:trPr>
        <w:tc>
          <w:tcPr>
            <w:tcW w:w="4077" w:type="dxa"/>
            <w:vAlign w:val="center"/>
          </w:tcPr>
          <w:p w14:paraId="3DF897F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4EB9C2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192B788" w14:textId="77777777" w:rsidTr="00EA6243">
        <w:trPr>
          <w:cantSplit/>
        </w:trPr>
        <w:tc>
          <w:tcPr>
            <w:tcW w:w="4077" w:type="dxa"/>
            <w:vAlign w:val="center"/>
          </w:tcPr>
          <w:p w14:paraId="44A77773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79E5E40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41CCED9" w14:textId="77777777" w:rsidTr="00EA6243">
        <w:trPr>
          <w:cantSplit/>
        </w:trPr>
        <w:tc>
          <w:tcPr>
            <w:tcW w:w="4077" w:type="dxa"/>
            <w:vAlign w:val="center"/>
          </w:tcPr>
          <w:p w14:paraId="3497C70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DBB4397" w14:textId="77777777" w:rsidR="00E06F40" w:rsidRPr="00A006A0" w:rsidRDefault="00BA1AD9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038303F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79D06DE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69FE3CA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EF27C73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2507B4C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E1D4A3D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4B5ECF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4496FBF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F4CCEAD" w14:textId="12B72530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71A582A" w14:textId="09B973E1" w:rsidR="00A77F77" w:rsidRDefault="00A77F77" w:rsidP="00084859">
      <w:r>
        <w:t>Australian Pesticides and Veterinary Medicines Authority (APVMA) (2002)</w:t>
      </w:r>
      <w:r w:rsidR="00F43202">
        <w:t xml:space="preserve"> Pindone - NRA Review.</w:t>
      </w:r>
    </w:p>
    <w:p w14:paraId="1B1EB019" w14:textId="0BFA119D" w:rsidR="00594070" w:rsidRDefault="00594070" w:rsidP="00084859">
      <w:r w:rsidRPr="002022B6">
        <w:t>Health Council of the Netherlands</w:t>
      </w:r>
      <w:r>
        <w:t xml:space="preserve"> (HCOTN) (</w:t>
      </w:r>
      <w:r w:rsidRPr="00594070">
        <w:t>2004</w:t>
      </w:r>
      <w:r>
        <w:t xml:space="preserve">) </w:t>
      </w:r>
      <w:r w:rsidRPr="00594070">
        <w:t>Pindone</w:t>
      </w:r>
      <w:r w:rsidRPr="005F7416">
        <w:t xml:space="preserve">. Health-based calculated occupational cancer risk values. The Hague: Health Council of the Netherlands; publication no. </w:t>
      </w:r>
      <w:r w:rsidRPr="00594070">
        <w:t>2000/15OSH/109</w:t>
      </w:r>
      <w:r>
        <w:t>.</w:t>
      </w:r>
    </w:p>
    <w:p w14:paraId="390C77E0" w14:textId="28E3211D" w:rsidR="00A77F77" w:rsidRDefault="00A77F77" w:rsidP="00A77F77">
      <w:r>
        <w:t>National Industrial Chemicals Notification and Assessment Scheme (NICNAS) (2016) Pindone: Human health tier I assessment – IMAP report.</w:t>
      </w:r>
    </w:p>
    <w:p w14:paraId="13826544" w14:textId="77777777" w:rsidR="00A77F77" w:rsidRPr="00351FE0" w:rsidRDefault="00A77F77" w:rsidP="00084859"/>
    <w:sectPr w:rsidR="00A77F77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A43C0" w14:textId="77777777" w:rsidR="006E2F90" w:rsidRDefault="006E2F90" w:rsidP="00F43AD5">
      <w:pPr>
        <w:spacing w:after="0" w:line="240" w:lineRule="auto"/>
      </w:pPr>
      <w:r>
        <w:separator/>
      </w:r>
    </w:p>
  </w:endnote>
  <w:endnote w:type="continuationSeparator" w:id="0">
    <w:p w14:paraId="6545D8EA" w14:textId="77777777" w:rsidR="006E2F90" w:rsidRDefault="006E2F90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7391D" w14:textId="77777777" w:rsidR="00BA1AD9" w:rsidRDefault="00BA1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BCB82AF" w14:textId="1BE1572C" w:rsidR="008A36CF" w:rsidRDefault="006240DC" w:rsidP="0034744C">
        <w:pPr>
          <w:pStyle w:val="Footer"/>
          <w:rPr>
            <w:sz w:val="18"/>
            <w:szCs w:val="18"/>
          </w:rPr>
        </w:pPr>
        <w:r w:rsidRPr="006240DC">
          <w:rPr>
            <w:b/>
            <w:sz w:val="18"/>
            <w:szCs w:val="18"/>
          </w:rPr>
          <w:t>Pindone</w:t>
        </w:r>
        <w:r w:rsidR="008A36CF">
          <w:rPr>
            <w:b/>
            <w:sz w:val="18"/>
            <w:szCs w:val="18"/>
          </w:rPr>
          <w:t xml:space="preserve"> (</w:t>
        </w:r>
        <w:r w:rsidRPr="006240DC">
          <w:rPr>
            <w:b/>
            <w:sz w:val="18"/>
            <w:szCs w:val="18"/>
          </w:rPr>
          <w:t>83-26-1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0B2D67" w:rsidRPr="00F43AD5">
          <w:rPr>
            <w:sz w:val="18"/>
            <w:szCs w:val="18"/>
          </w:rPr>
          <w:t>20</w:t>
        </w:r>
        <w:r w:rsidR="000B2D67">
          <w:rPr>
            <w:sz w:val="18"/>
            <w:szCs w:val="18"/>
          </w:rPr>
          <w:t>20</w:t>
        </w:r>
      </w:p>
      <w:p w14:paraId="29614A45" w14:textId="581CB8AA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B13B7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1583" w14:textId="77777777" w:rsidR="00BA1AD9" w:rsidRDefault="00BA1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7F30C" w14:textId="77777777" w:rsidR="006E2F90" w:rsidRDefault="006E2F90" w:rsidP="00F43AD5">
      <w:pPr>
        <w:spacing w:after="0" w:line="240" w:lineRule="auto"/>
      </w:pPr>
      <w:r>
        <w:separator/>
      </w:r>
    </w:p>
  </w:footnote>
  <w:footnote w:type="continuationSeparator" w:id="0">
    <w:p w14:paraId="4A483310" w14:textId="77777777" w:rsidR="006E2F90" w:rsidRDefault="006E2F90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1DC0E" w14:textId="77777777" w:rsidR="00BA1AD9" w:rsidRDefault="00BA1A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C7408" w14:textId="725F2938" w:rsidR="008A36CF" w:rsidRPr="00BA1AD9" w:rsidRDefault="00BA1AD9" w:rsidP="00BA1AD9">
    <w:pPr>
      <w:pStyle w:val="Header"/>
      <w:jc w:val="right"/>
    </w:pPr>
    <w:r>
      <w:pict w14:anchorId="20F688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CF05AE5" wp14:editId="6E3E1A39">
          <wp:extent cx="2945130" cy="593725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8D0BF" w14:textId="77777777" w:rsidR="00BA1AD9" w:rsidRDefault="00BA1A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7F4C" w14:textId="2E16AEA7" w:rsidR="00BA1AD9" w:rsidRDefault="00BA1AD9" w:rsidP="00BA1AD9">
    <w:pPr>
      <w:pStyle w:val="Header"/>
      <w:jc w:val="right"/>
    </w:pPr>
    <w:r>
      <w:pict w14:anchorId="294A05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7B197AD" wp14:editId="3B6BB54A">
          <wp:extent cx="2945130" cy="593725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6449F9" w14:textId="77777777" w:rsidR="00BA1AD9" w:rsidRDefault="00BA1AD9" w:rsidP="00BA1AD9">
    <w:pPr>
      <w:pStyle w:val="Header"/>
    </w:pPr>
  </w:p>
  <w:p w14:paraId="07578BD3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8227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D0C7B"/>
    <w:multiLevelType w:val="hybridMultilevel"/>
    <w:tmpl w:val="16646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067FD"/>
    <w:multiLevelType w:val="hybridMultilevel"/>
    <w:tmpl w:val="410CDA0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2D67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E76CE"/>
    <w:rsid w:val="000F51C4"/>
    <w:rsid w:val="0010461E"/>
    <w:rsid w:val="00106FAA"/>
    <w:rsid w:val="00113443"/>
    <w:rsid w:val="001269A7"/>
    <w:rsid w:val="00131092"/>
    <w:rsid w:val="00140E6A"/>
    <w:rsid w:val="00146545"/>
    <w:rsid w:val="00146B75"/>
    <w:rsid w:val="00146EBE"/>
    <w:rsid w:val="0015266D"/>
    <w:rsid w:val="0015288A"/>
    <w:rsid w:val="00160F47"/>
    <w:rsid w:val="00162A48"/>
    <w:rsid w:val="001632E8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C72D2"/>
    <w:rsid w:val="001D291C"/>
    <w:rsid w:val="001D56F0"/>
    <w:rsid w:val="001D663B"/>
    <w:rsid w:val="001D7B41"/>
    <w:rsid w:val="001E11A1"/>
    <w:rsid w:val="001E1FE0"/>
    <w:rsid w:val="001E46DA"/>
    <w:rsid w:val="001E7057"/>
    <w:rsid w:val="001E7D80"/>
    <w:rsid w:val="001F4B6C"/>
    <w:rsid w:val="001F62CB"/>
    <w:rsid w:val="001F6ED0"/>
    <w:rsid w:val="001F72E6"/>
    <w:rsid w:val="001F73C5"/>
    <w:rsid w:val="00202D1F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5788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D0827"/>
    <w:rsid w:val="002E0D61"/>
    <w:rsid w:val="002E4C7B"/>
    <w:rsid w:val="003054F5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07B0"/>
    <w:rsid w:val="003B387D"/>
    <w:rsid w:val="003C0D58"/>
    <w:rsid w:val="003D425C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21B5"/>
    <w:rsid w:val="00417A56"/>
    <w:rsid w:val="00420957"/>
    <w:rsid w:val="00422A10"/>
    <w:rsid w:val="00430179"/>
    <w:rsid w:val="004414B5"/>
    <w:rsid w:val="00444400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33E"/>
    <w:rsid w:val="00493A35"/>
    <w:rsid w:val="0049527A"/>
    <w:rsid w:val="004966BF"/>
    <w:rsid w:val="00497984"/>
    <w:rsid w:val="004A208E"/>
    <w:rsid w:val="004A4C0A"/>
    <w:rsid w:val="004A5088"/>
    <w:rsid w:val="004C1E3F"/>
    <w:rsid w:val="004C23F4"/>
    <w:rsid w:val="004C3475"/>
    <w:rsid w:val="004C58B6"/>
    <w:rsid w:val="004D10A7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40AD"/>
    <w:rsid w:val="005272E2"/>
    <w:rsid w:val="0053108F"/>
    <w:rsid w:val="00532B56"/>
    <w:rsid w:val="005333D8"/>
    <w:rsid w:val="00533E57"/>
    <w:rsid w:val="00534B10"/>
    <w:rsid w:val="00541716"/>
    <w:rsid w:val="005446A2"/>
    <w:rsid w:val="00544D2F"/>
    <w:rsid w:val="00551BD8"/>
    <w:rsid w:val="00581055"/>
    <w:rsid w:val="00590C57"/>
    <w:rsid w:val="00591E38"/>
    <w:rsid w:val="00594070"/>
    <w:rsid w:val="005A19C5"/>
    <w:rsid w:val="005A3034"/>
    <w:rsid w:val="005A462D"/>
    <w:rsid w:val="005B13B7"/>
    <w:rsid w:val="005B253B"/>
    <w:rsid w:val="005B771D"/>
    <w:rsid w:val="005C229E"/>
    <w:rsid w:val="005C3520"/>
    <w:rsid w:val="005C5D16"/>
    <w:rsid w:val="005D3193"/>
    <w:rsid w:val="005D4A6E"/>
    <w:rsid w:val="005E6979"/>
    <w:rsid w:val="005E75CB"/>
    <w:rsid w:val="005F305D"/>
    <w:rsid w:val="006013C1"/>
    <w:rsid w:val="0060669E"/>
    <w:rsid w:val="00610F2E"/>
    <w:rsid w:val="00611399"/>
    <w:rsid w:val="00612995"/>
    <w:rsid w:val="006240DC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1223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0FCD"/>
    <w:rsid w:val="006D79EA"/>
    <w:rsid w:val="006E2F90"/>
    <w:rsid w:val="006E5D05"/>
    <w:rsid w:val="00701053"/>
    <w:rsid w:val="00701507"/>
    <w:rsid w:val="00714021"/>
    <w:rsid w:val="007163E8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6E3A"/>
    <w:rsid w:val="00826F21"/>
    <w:rsid w:val="00834CC8"/>
    <w:rsid w:val="00835E00"/>
    <w:rsid w:val="00837113"/>
    <w:rsid w:val="008414E4"/>
    <w:rsid w:val="00843E21"/>
    <w:rsid w:val="0084508E"/>
    <w:rsid w:val="008507DD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00D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4AE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34CB"/>
    <w:rsid w:val="00A357BA"/>
    <w:rsid w:val="00A35ADC"/>
    <w:rsid w:val="00A402A3"/>
    <w:rsid w:val="00A52880"/>
    <w:rsid w:val="00A53681"/>
    <w:rsid w:val="00A633D4"/>
    <w:rsid w:val="00A6461A"/>
    <w:rsid w:val="00A73661"/>
    <w:rsid w:val="00A77F77"/>
    <w:rsid w:val="00A84504"/>
    <w:rsid w:val="00A8672F"/>
    <w:rsid w:val="00A93057"/>
    <w:rsid w:val="00A94AB7"/>
    <w:rsid w:val="00A968B0"/>
    <w:rsid w:val="00AB2672"/>
    <w:rsid w:val="00AB2817"/>
    <w:rsid w:val="00AB43C4"/>
    <w:rsid w:val="00AB7AA0"/>
    <w:rsid w:val="00AC32E7"/>
    <w:rsid w:val="00AC3A9F"/>
    <w:rsid w:val="00AC6D2F"/>
    <w:rsid w:val="00AD0A74"/>
    <w:rsid w:val="00AE2745"/>
    <w:rsid w:val="00AE27F5"/>
    <w:rsid w:val="00AE2F64"/>
    <w:rsid w:val="00AF42CB"/>
    <w:rsid w:val="00AF483F"/>
    <w:rsid w:val="00AF5E07"/>
    <w:rsid w:val="00AF5F06"/>
    <w:rsid w:val="00B00A25"/>
    <w:rsid w:val="00B1165A"/>
    <w:rsid w:val="00B1422A"/>
    <w:rsid w:val="00B1765C"/>
    <w:rsid w:val="00B213C4"/>
    <w:rsid w:val="00B23230"/>
    <w:rsid w:val="00B26314"/>
    <w:rsid w:val="00B3124E"/>
    <w:rsid w:val="00B40C60"/>
    <w:rsid w:val="00B479A9"/>
    <w:rsid w:val="00B52EDF"/>
    <w:rsid w:val="00B71188"/>
    <w:rsid w:val="00B76A41"/>
    <w:rsid w:val="00B87D4C"/>
    <w:rsid w:val="00B93646"/>
    <w:rsid w:val="00BA0B38"/>
    <w:rsid w:val="00BA1AD9"/>
    <w:rsid w:val="00BA1DBB"/>
    <w:rsid w:val="00BA4510"/>
    <w:rsid w:val="00BA529A"/>
    <w:rsid w:val="00BB612A"/>
    <w:rsid w:val="00BC28ED"/>
    <w:rsid w:val="00BD499F"/>
    <w:rsid w:val="00BD56DE"/>
    <w:rsid w:val="00BD6DCF"/>
    <w:rsid w:val="00BF2406"/>
    <w:rsid w:val="00BF660B"/>
    <w:rsid w:val="00C06E43"/>
    <w:rsid w:val="00C16315"/>
    <w:rsid w:val="00C3091E"/>
    <w:rsid w:val="00C3602A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5940"/>
    <w:rsid w:val="00CD2BFD"/>
    <w:rsid w:val="00CE5AD6"/>
    <w:rsid w:val="00CE617F"/>
    <w:rsid w:val="00CE7870"/>
    <w:rsid w:val="00CE78EF"/>
    <w:rsid w:val="00CF18BC"/>
    <w:rsid w:val="00D048F7"/>
    <w:rsid w:val="00D0517E"/>
    <w:rsid w:val="00D140FC"/>
    <w:rsid w:val="00D21D8C"/>
    <w:rsid w:val="00D272C1"/>
    <w:rsid w:val="00D31357"/>
    <w:rsid w:val="00D33220"/>
    <w:rsid w:val="00D334D1"/>
    <w:rsid w:val="00D41B33"/>
    <w:rsid w:val="00D44C89"/>
    <w:rsid w:val="00D516CD"/>
    <w:rsid w:val="00D668E6"/>
    <w:rsid w:val="00D70670"/>
    <w:rsid w:val="00D714E5"/>
    <w:rsid w:val="00D74D80"/>
    <w:rsid w:val="00D76624"/>
    <w:rsid w:val="00D87570"/>
    <w:rsid w:val="00D91CB9"/>
    <w:rsid w:val="00D97989"/>
    <w:rsid w:val="00D97D8D"/>
    <w:rsid w:val="00DA1C28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1CC7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202"/>
    <w:rsid w:val="00F43AD5"/>
    <w:rsid w:val="00F4402E"/>
    <w:rsid w:val="00F44F25"/>
    <w:rsid w:val="00F56DD0"/>
    <w:rsid w:val="00F6491C"/>
    <w:rsid w:val="00F67BBB"/>
    <w:rsid w:val="00F736D4"/>
    <w:rsid w:val="00F76431"/>
    <w:rsid w:val="00F87D92"/>
    <w:rsid w:val="00F90AA7"/>
    <w:rsid w:val="00F92498"/>
    <w:rsid w:val="00F9496B"/>
    <w:rsid w:val="00F970C9"/>
    <w:rsid w:val="00F97A89"/>
    <w:rsid w:val="00FA06A8"/>
    <w:rsid w:val="00FA3DF5"/>
    <w:rsid w:val="00FA5FA7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A94AB7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1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2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22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22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C96E8CFB35445F7B98574D62F84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39DF5-6E93-475B-AC7E-D7E1C74E2052}"/>
      </w:docPartPr>
      <w:docPartBody>
        <w:p w:rsidR="00D21A9F" w:rsidRDefault="00D21A9F">
          <w:pPr>
            <w:pStyle w:val="CC96E8CFB35445F7B98574D62F848316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E7BE97C694B04E4AB0286DA9AA2FC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7694-D958-4B85-989F-9ED3D60AE03E}"/>
      </w:docPartPr>
      <w:docPartBody>
        <w:p w:rsidR="00117A3D" w:rsidRDefault="00550CE0" w:rsidP="00550CE0">
          <w:pPr>
            <w:pStyle w:val="E7BE97C694B04E4AB0286DA9AA2FCCB4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B4C68A25100A48D19C850AF4EAEC9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B65BB-E39E-482C-99EF-8CC685FB0FCA}"/>
      </w:docPartPr>
      <w:docPartBody>
        <w:p w:rsidR="007A3DBE" w:rsidRDefault="008500CC" w:rsidP="008500CC">
          <w:pPr>
            <w:pStyle w:val="B4C68A25100A48D19C850AF4EAEC92EF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7A3D"/>
    <w:rsid w:val="00345712"/>
    <w:rsid w:val="003629BC"/>
    <w:rsid w:val="00550CE0"/>
    <w:rsid w:val="007A3DBE"/>
    <w:rsid w:val="008500CC"/>
    <w:rsid w:val="00CE14E7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0CC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F5CF216AA2224FB9A60E8F1A6CDE660D">
    <w:name w:val="F5CF216AA2224FB9A60E8F1A6CDE660D"/>
    <w:rsid w:val="003629BC"/>
  </w:style>
  <w:style w:type="paragraph" w:customStyle="1" w:styleId="00A9EB91AA264E6CAC3B9241FF3B778C">
    <w:name w:val="00A9EB91AA264E6CAC3B9241FF3B778C"/>
    <w:rsid w:val="003629BC"/>
  </w:style>
  <w:style w:type="paragraph" w:customStyle="1" w:styleId="17728C6DAA904E02BCF2F409EE780615">
    <w:name w:val="17728C6DAA904E02BCF2F409EE780615"/>
    <w:rsid w:val="003629BC"/>
  </w:style>
  <w:style w:type="paragraph" w:customStyle="1" w:styleId="E7BE97C694B04E4AB0286DA9AA2FCCB4">
    <w:name w:val="E7BE97C694B04E4AB0286DA9AA2FCCB4"/>
    <w:rsid w:val="00550CE0"/>
  </w:style>
  <w:style w:type="paragraph" w:customStyle="1" w:styleId="B4C68A25100A48D19C850AF4EAEC92EF">
    <w:name w:val="B4C68A25100A48D19C850AF4EAEC92EF"/>
    <w:rsid w:val="00850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5531-D2F0-4604-9E0D-DF4F905CF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3E04C-A3D3-4FC9-B3C6-0F9DF338D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7077F-7002-4B39-9578-F671994DBD4D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bf54d604-3e62-4e70-ba33-9e9084b96a6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325143A-DAE5-4BFB-946D-1EE3FB40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2020-04-30T04:41:00Z</dcterms:created>
  <dcterms:modified xsi:type="dcterms:W3CDTF">2020-07-21T00:36:00Z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