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7D06CCB4" w14:textId="4370FDB7" w:rsidR="00BD499F" w:rsidRPr="004C23F4" w:rsidRDefault="00A46534" w:rsidP="00B40C60">
          <w:pPr>
            <w:pStyle w:val="Heading1"/>
            <w:jc w:val="center"/>
            <w:rPr>
              <w:rFonts w:ascii="Arial" w:hAnsi="Arial" w:cs="Arial"/>
            </w:rPr>
          </w:pPr>
          <w:r w:rsidRPr="00A46534">
            <w:rPr>
              <w:rFonts w:ascii="Arial" w:hAnsi="Arial" w:cs="Arial"/>
            </w:rPr>
            <w:t>Piperidine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9"/>
        <w:gridCol w:w="5037"/>
      </w:tblGrid>
      <w:tr w:rsidR="00F43AD5" w:rsidRPr="004C23F4" w14:paraId="17A1F7DF" w14:textId="77777777" w:rsidTr="00B76A41">
        <w:trPr>
          <w:cantSplit/>
          <w:tblHeader/>
        </w:trPr>
        <w:tc>
          <w:tcPr>
            <w:tcW w:w="4077" w:type="dxa"/>
          </w:tcPr>
          <w:p w14:paraId="08E7FF0B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473000F8" w14:textId="45C22552" w:rsidR="00F43AD5" w:rsidRPr="00717D45" w:rsidRDefault="00F9209F" w:rsidP="00B76A41">
            <w:pPr>
              <w:pStyle w:val="Tablefont"/>
            </w:pPr>
            <w:r w:rsidRPr="00F9209F">
              <w:t>110-89-4</w:t>
            </w:r>
          </w:p>
        </w:tc>
      </w:tr>
      <w:tr w:rsidR="00F43AD5" w:rsidRPr="004C23F4" w14:paraId="3E6896A0" w14:textId="77777777" w:rsidTr="00B76A41">
        <w:trPr>
          <w:cantSplit/>
        </w:trPr>
        <w:tc>
          <w:tcPr>
            <w:tcW w:w="4077" w:type="dxa"/>
          </w:tcPr>
          <w:p w14:paraId="3BAEEE51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40F97E21" w14:textId="33002E7B" w:rsidR="00F43AD5" w:rsidRPr="00717D45" w:rsidRDefault="00F9209F" w:rsidP="00B76A41">
            <w:pPr>
              <w:pStyle w:val="Tablefont"/>
            </w:pPr>
            <w:r>
              <w:t>—</w:t>
            </w:r>
          </w:p>
        </w:tc>
      </w:tr>
      <w:tr w:rsidR="00F43AD5" w:rsidRPr="004C23F4" w14:paraId="34F5C1B8" w14:textId="77777777" w:rsidTr="00B76A41">
        <w:trPr>
          <w:cantSplit/>
        </w:trPr>
        <w:tc>
          <w:tcPr>
            <w:tcW w:w="4077" w:type="dxa"/>
          </w:tcPr>
          <w:p w14:paraId="4D673B6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0C5F0955" w14:textId="7373B8C8" w:rsidR="00F43AD5" w:rsidRPr="003F0859" w:rsidRDefault="00F9209F" w:rsidP="00B76A41">
            <w:pPr>
              <w:pStyle w:val="Tablefont"/>
              <w:rPr>
                <w:rFonts w:cs="Arial"/>
              </w:rPr>
            </w:pPr>
            <w:r w:rsidRPr="003F0859">
              <w:rPr>
                <w:rFonts w:cs="Arial"/>
              </w:rPr>
              <w:t>(CH</w:t>
            </w:r>
            <w:proofErr w:type="gramStart"/>
            <w:r w:rsidRPr="003F0859">
              <w:rPr>
                <w:rFonts w:ascii="Cambria Math" w:hAnsi="Cambria Math" w:cs="Cambria Math"/>
              </w:rPr>
              <w:t>₂</w:t>
            </w:r>
            <w:r w:rsidRPr="003F0859">
              <w:rPr>
                <w:rFonts w:cs="Arial"/>
              </w:rPr>
              <w:t>)</w:t>
            </w:r>
            <w:r w:rsidRPr="003F0859">
              <w:rPr>
                <w:rFonts w:ascii="Cambria Math" w:hAnsi="Cambria Math" w:cs="Cambria Math"/>
              </w:rPr>
              <w:t>₅</w:t>
            </w:r>
            <w:proofErr w:type="gramEnd"/>
            <w:r w:rsidRPr="003F0859">
              <w:rPr>
                <w:rFonts w:cs="Arial"/>
              </w:rPr>
              <w:t>NH</w:t>
            </w:r>
          </w:p>
        </w:tc>
      </w:tr>
      <w:tr w:rsidR="00F43AD5" w:rsidRPr="004C23F4" w14:paraId="32D98FD6" w14:textId="77777777" w:rsidTr="00B76A41">
        <w:trPr>
          <w:cantSplit/>
        </w:trPr>
        <w:tc>
          <w:tcPr>
            <w:tcW w:w="4077" w:type="dxa"/>
          </w:tcPr>
          <w:p w14:paraId="53158064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7AEB6047" w14:textId="243F4860" w:rsidR="00F43AD5" w:rsidRPr="00B40C60" w:rsidRDefault="00F9209F" w:rsidP="00B76A41">
            <w:pPr>
              <w:pStyle w:val="Tablerowheading"/>
              <w:rPr>
                <w:b w:val="0"/>
              </w:rPr>
            </w:pPr>
            <w:r>
              <w:t>—</w:t>
            </w:r>
          </w:p>
        </w:tc>
      </w:tr>
    </w:tbl>
    <w:p w14:paraId="5F6FCAF3" w14:textId="3190258B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680AFB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29F5E763" w14:textId="77777777" w:rsidTr="00680AFB">
        <w:trPr>
          <w:cantSplit/>
          <w:tblHeader/>
        </w:trPr>
        <w:tc>
          <w:tcPr>
            <w:tcW w:w="4010" w:type="dxa"/>
            <w:vAlign w:val="center"/>
          </w:tcPr>
          <w:p w14:paraId="5EC9ADAF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7A18F181" w14:textId="32FBEE9F" w:rsidR="002C7AFE" w:rsidRPr="00EB3D1B" w:rsidRDefault="00A76726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 ppm (3.5 mg/m</w:t>
            </w:r>
            <w:r w:rsidRPr="00A76726"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680AFB" w:rsidRPr="004C23F4" w14:paraId="2752001D" w14:textId="77777777" w:rsidTr="00680AFB">
        <w:trPr>
          <w:cantSplit/>
        </w:trPr>
        <w:tc>
          <w:tcPr>
            <w:tcW w:w="4010" w:type="dxa"/>
            <w:vAlign w:val="center"/>
          </w:tcPr>
          <w:p w14:paraId="59BA8ED0" w14:textId="77777777" w:rsidR="00680AFB" w:rsidRPr="002C58FF" w:rsidRDefault="00680AFB" w:rsidP="00680AFB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6505B733" w14:textId="793BB904" w:rsidR="00680AFB" w:rsidRPr="00EB3D1B" w:rsidRDefault="00680AFB" w:rsidP="00680AFB">
            <w:pPr>
              <w:pStyle w:val="Tablefont"/>
              <w:rPr>
                <w:b/>
              </w:rPr>
            </w:pPr>
            <w:r w:rsidRPr="00D42EC6">
              <w:rPr>
                <w:b/>
              </w:rPr>
              <w:t>—</w:t>
            </w:r>
          </w:p>
        </w:tc>
      </w:tr>
      <w:tr w:rsidR="00680AFB" w:rsidRPr="004C23F4" w14:paraId="3EE6BCAF" w14:textId="77777777" w:rsidTr="00680AFB">
        <w:trPr>
          <w:cantSplit/>
        </w:trPr>
        <w:tc>
          <w:tcPr>
            <w:tcW w:w="4010" w:type="dxa"/>
            <w:vAlign w:val="center"/>
          </w:tcPr>
          <w:p w14:paraId="0FDB112F" w14:textId="77777777" w:rsidR="00680AFB" w:rsidRPr="002C58FF" w:rsidRDefault="00680AFB" w:rsidP="00680AFB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622EF7D6" w14:textId="0335D780" w:rsidR="00680AFB" w:rsidRPr="00EB3D1B" w:rsidRDefault="00680AFB" w:rsidP="00680AFB">
            <w:pPr>
              <w:pStyle w:val="Tablefont"/>
              <w:rPr>
                <w:b/>
              </w:rPr>
            </w:pPr>
            <w:r w:rsidRPr="00D42EC6">
              <w:rPr>
                <w:b/>
              </w:rPr>
              <w:t>—</w:t>
            </w:r>
          </w:p>
        </w:tc>
      </w:tr>
      <w:tr w:rsidR="002C7AFE" w:rsidRPr="004C23F4" w14:paraId="58925053" w14:textId="77777777" w:rsidTr="00680AFB">
        <w:trPr>
          <w:cantSplit/>
        </w:trPr>
        <w:tc>
          <w:tcPr>
            <w:tcW w:w="4010" w:type="dxa"/>
          </w:tcPr>
          <w:p w14:paraId="34E16DA7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16" w:type="dxa"/>
          </w:tcPr>
          <w:p w14:paraId="47385E9C" w14:textId="0BB52E9C" w:rsidR="002C7AFE" w:rsidRPr="00EB3D1B" w:rsidRDefault="002B7F9C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2C7AFE" w:rsidRPr="004C23F4" w14:paraId="5404CA5D" w14:textId="77777777" w:rsidTr="00680AFB">
        <w:trPr>
          <w:cantSplit/>
        </w:trPr>
        <w:tc>
          <w:tcPr>
            <w:tcW w:w="4010" w:type="dxa"/>
            <w:vAlign w:val="center"/>
          </w:tcPr>
          <w:p w14:paraId="00206F33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756B258" w14:textId="1727B206" w:rsidR="002C7AFE" w:rsidRPr="00680AFB" w:rsidRDefault="00F9209F" w:rsidP="00017C82">
            <w:pPr>
              <w:pStyle w:val="Tablefont"/>
              <w:rPr>
                <w:b/>
              </w:rPr>
            </w:pPr>
            <w:r w:rsidRPr="00680AFB">
              <w:rPr>
                <w:b/>
              </w:rPr>
              <w:t>—</w:t>
            </w:r>
          </w:p>
        </w:tc>
      </w:tr>
      <w:tr w:rsidR="00680AFB" w:rsidRPr="004C23F4" w14:paraId="23E52EAF" w14:textId="77777777" w:rsidTr="009663C1">
        <w:trPr>
          <w:cantSplit/>
        </w:trPr>
        <w:tc>
          <w:tcPr>
            <w:tcW w:w="9026" w:type="dxa"/>
            <w:gridSpan w:val="2"/>
            <w:vAlign w:val="center"/>
          </w:tcPr>
          <w:p w14:paraId="23A8F5AA" w14:textId="71878ABA" w:rsidR="00680AFB" w:rsidRPr="00680AFB" w:rsidRDefault="00680AFB" w:rsidP="00017C82">
            <w:pPr>
              <w:pStyle w:val="Tablefont"/>
              <w:rPr>
                <w:b/>
              </w:rPr>
            </w:pPr>
            <w:r w:rsidRPr="00680AFB">
              <w:rPr>
                <w:b/>
              </w:rPr>
              <w:t>Sampling and analysis: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B080072D824A4F62A285DECFD5F8847D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024DAF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2A3CC4B2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7852A153" w14:textId="607E9E94" w:rsidR="006639B4" w:rsidRPr="004C23F4" w:rsidRDefault="002B7F9C" w:rsidP="000C139A">
      <w:pPr>
        <w:rPr>
          <w:rFonts w:cs="Arial"/>
        </w:rPr>
      </w:pPr>
      <w:r>
        <w:rPr>
          <w:rFonts w:cs="Arial"/>
        </w:rPr>
        <w:t>A TWA of 1 ppm (3.5 mg/m</w:t>
      </w:r>
      <w:r w:rsidRPr="002B7F9C"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to protect for </w:t>
      </w:r>
      <w:r w:rsidR="00141D76">
        <w:rPr>
          <w:rStyle w:val="checkbox"/>
          <w:rFonts w:ascii="Arial" w:hAnsi="Arial" w:cs="Arial"/>
        </w:rPr>
        <w:t>decreased motor activity</w:t>
      </w:r>
      <w:r w:rsidR="00141D76">
        <w:rPr>
          <w:rFonts w:cs="Arial"/>
        </w:rPr>
        <w:t xml:space="preserve"> and </w:t>
      </w:r>
      <w:r>
        <w:rPr>
          <w:rFonts w:cs="Arial"/>
        </w:rPr>
        <w:t xml:space="preserve">eye and upper respiratory tract irritation in exposed workers. </w:t>
      </w:r>
    </w:p>
    <w:p w14:paraId="1503E3FE" w14:textId="77777777" w:rsidR="00C7155E" w:rsidRPr="004C23F4" w:rsidRDefault="00F10C97" w:rsidP="003365A5">
      <w:pPr>
        <w:pStyle w:val="Heading2"/>
      </w:pPr>
      <w:r>
        <w:t>Discussion and conclusions</w:t>
      </w:r>
    </w:p>
    <w:p w14:paraId="4B25C2BF" w14:textId="279883C1" w:rsidR="00826E8A" w:rsidRDefault="002B7F9C" w:rsidP="006639B4">
      <w:pPr>
        <w:rPr>
          <w:rStyle w:val="checkbox"/>
          <w:rFonts w:ascii="Arial" w:hAnsi="Arial" w:cs="Arial"/>
        </w:rPr>
      </w:pPr>
      <w:r>
        <w:rPr>
          <w:rFonts w:cs="Arial"/>
        </w:rPr>
        <w:t xml:space="preserve">Piperidine is </w:t>
      </w:r>
      <w:r>
        <w:rPr>
          <w:rStyle w:val="checkbox"/>
          <w:rFonts w:ascii="Arial" w:hAnsi="Arial" w:cs="Arial"/>
        </w:rPr>
        <w:t>used as a solvent</w:t>
      </w:r>
      <w:r w:rsidR="007944D3">
        <w:rPr>
          <w:rStyle w:val="checkbox"/>
          <w:rFonts w:ascii="Arial" w:hAnsi="Arial" w:cs="Arial"/>
        </w:rPr>
        <w:t xml:space="preserve"> and</w:t>
      </w:r>
      <w:r>
        <w:rPr>
          <w:rStyle w:val="checkbox"/>
          <w:rFonts w:ascii="Arial" w:hAnsi="Arial" w:cs="Arial"/>
        </w:rPr>
        <w:t xml:space="preserve"> an ingredient in fuels and oils</w:t>
      </w:r>
      <w:r w:rsidR="007944D3">
        <w:rPr>
          <w:rStyle w:val="checkbox"/>
          <w:rFonts w:ascii="Arial" w:hAnsi="Arial" w:cs="Arial"/>
        </w:rPr>
        <w:t>. It is also used as</w:t>
      </w:r>
      <w:r>
        <w:rPr>
          <w:rStyle w:val="checkbox"/>
          <w:rFonts w:ascii="Arial" w:hAnsi="Arial" w:cs="Arial"/>
        </w:rPr>
        <w:t xml:space="preserve"> a curing agent for rubber and epoxy resins. </w:t>
      </w:r>
    </w:p>
    <w:p w14:paraId="20260252" w14:textId="77777777" w:rsidR="00574F3C" w:rsidRDefault="00612462" w:rsidP="006639B4">
      <w:pPr>
        <w:rPr>
          <w:rStyle w:val="checkbox"/>
          <w:rFonts w:ascii="Arial" w:hAnsi="Arial" w:cs="Arial"/>
        </w:rPr>
      </w:pPr>
      <w:r>
        <w:rPr>
          <w:rStyle w:val="checkbox"/>
          <w:rFonts w:ascii="Arial" w:hAnsi="Arial" w:cs="Arial"/>
        </w:rPr>
        <w:t xml:space="preserve">Critical effects of exposure include decreased motor activity, blanching, upper respiratory tract irritation and nasal secretions. </w:t>
      </w:r>
    </w:p>
    <w:p w14:paraId="514E3E0C" w14:textId="02FFA89A" w:rsidR="006639B4" w:rsidRDefault="002B7F9C" w:rsidP="006639B4">
      <w:pPr>
        <w:rPr>
          <w:rStyle w:val="checkbox"/>
          <w:rFonts w:ascii="Arial" w:hAnsi="Arial" w:cs="Arial"/>
        </w:rPr>
      </w:pPr>
      <w:r>
        <w:rPr>
          <w:rStyle w:val="checkbox"/>
          <w:rFonts w:ascii="Arial" w:hAnsi="Arial" w:cs="Arial"/>
        </w:rPr>
        <w:t xml:space="preserve">Very limited human toxicological data </w:t>
      </w:r>
      <w:r w:rsidR="009D107E">
        <w:rPr>
          <w:rStyle w:val="checkbox"/>
          <w:rFonts w:ascii="Arial" w:hAnsi="Arial" w:cs="Arial"/>
        </w:rPr>
        <w:t>are</w:t>
      </w:r>
      <w:r>
        <w:rPr>
          <w:rStyle w:val="checkbox"/>
          <w:rFonts w:ascii="Arial" w:hAnsi="Arial" w:cs="Arial"/>
        </w:rPr>
        <w:t xml:space="preserve"> available</w:t>
      </w:r>
      <w:r w:rsidR="00411931">
        <w:rPr>
          <w:rStyle w:val="checkbox"/>
          <w:rFonts w:ascii="Arial" w:hAnsi="Arial" w:cs="Arial"/>
        </w:rPr>
        <w:t xml:space="preserve">. </w:t>
      </w:r>
      <w:r w:rsidR="004C73BD">
        <w:rPr>
          <w:rStyle w:val="checkbox"/>
          <w:rFonts w:ascii="Arial" w:hAnsi="Arial" w:cs="Arial"/>
        </w:rPr>
        <w:t xml:space="preserve">An irritation threshold of 26 ppm </w:t>
      </w:r>
      <w:r w:rsidR="00826E8A">
        <w:rPr>
          <w:rStyle w:val="checkbox"/>
          <w:rFonts w:ascii="Arial" w:hAnsi="Arial" w:cs="Arial"/>
        </w:rPr>
        <w:t>i</w:t>
      </w:r>
      <w:r w:rsidR="004C73BD">
        <w:rPr>
          <w:rStyle w:val="checkbox"/>
          <w:rFonts w:ascii="Arial" w:hAnsi="Arial" w:cs="Arial"/>
        </w:rPr>
        <w:t xml:space="preserve">s established </w:t>
      </w:r>
      <w:r w:rsidR="00826E8A">
        <w:rPr>
          <w:rStyle w:val="checkbox"/>
          <w:rFonts w:ascii="Arial" w:hAnsi="Arial" w:cs="Arial"/>
        </w:rPr>
        <w:t>from</w:t>
      </w:r>
      <w:r w:rsidR="004C73BD">
        <w:rPr>
          <w:rStyle w:val="checkbox"/>
          <w:rFonts w:ascii="Arial" w:hAnsi="Arial" w:cs="Arial"/>
        </w:rPr>
        <w:t xml:space="preserve"> a volunteer study and odour is consider</w:t>
      </w:r>
      <w:r w:rsidR="0074616A">
        <w:rPr>
          <w:rStyle w:val="checkbox"/>
          <w:rFonts w:ascii="Arial" w:hAnsi="Arial" w:cs="Arial"/>
        </w:rPr>
        <w:t>ed</w:t>
      </w:r>
      <w:r w:rsidR="004C73BD">
        <w:rPr>
          <w:rStyle w:val="checkbox"/>
          <w:rFonts w:ascii="Arial" w:hAnsi="Arial" w:cs="Arial"/>
        </w:rPr>
        <w:t xml:space="preserve"> intolerable at between 2 and 5 ppm (HSE, 1993; OARS, 1996).</w:t>
      </w:r>
      <w:r w:rsidR="00141D76">
        <w:t xml:space="preserve"> </w:t>
      </w:r>
      <w:r w:rsidR="00826E8A">
        <w:rPr>
          <w:rStyle w:val="checkbox"/>
          <w:rFonts w:ascii="Arial" w:hAnsi="Arial" w:cs="Arial"/>
        </w:rPr>
        <w:t xml:space="preserve">Animal eye and dermal studies show piperidine to be severely irritating with permanent corneal injury, necrosis, oedema reported. </w:t>
      </w:r>
      <w:r w:rsidR="00574F3C">
        <w:rPr>
          <w:rStyle w:val="checkbox"/>
          <w:rFonts w:ascii="Arial" w:hAnsi="Arial" w:cs="Arial"/>
        </w:rPr>
        <w:t>A</w:t>
      </w:r>
      <w:r w:rsidR="00141D76" w:rsidRPr="00141D76">
        <w:rPr>
          <w:rStyle w:val="checkbox"/>
          <w:rFonts w:ascii="Arial" w:hAnsi="Arial" w:cs="Arial"/>
        </w:rPr>
        <w:t>ltered brain electrical activity, effects on the cardiovascular system and sperm generation and some loss of fun</w:t>
      </w:r>
      <w:r w:rsidR="00141D76">
        <w:rPr>
          <w:rStyle w:val="checkbox"/>
          <w:rFonts w:ascii="Arial" w:hAnsi="Arial" w:cs="Arial"/>
        </w:rPr>
        <w:t xml:space="preserve">ction in the </w:t>
      </w:r>
      <w:r w:rsidR="00141D76" w:rsidRPr="00141D76">
        <w:rPr>
          <w:rStyle w:val="checkbox"/>
          <w:rFonts w:ascii="Arial" w:hAnsi="Arial" w:cs="Arial"/>
        </w:rPr>
        <w:t>liver and kidneys</w:t>
      </w:r>
      <w:r w:rsidR="00141D76">
        <w:rPr>
          <w:rStyle w:val="checkbox"/>
          <w:rFonts w:ascii="Arial" w:hAnsi="Arial" w:cs="Arial"/>
        </w:rPr>
        <w:t xml:space="preserve"> following </w:t>
      </w:r>
      <w:r w:rsidR="00141D76" w:rsidRPr="00141D76">
        <w:rPr>
          <w:rStyle w:val="checkbox"/>
          <w:rFonts w:ascii="Arial" w:hAnsi="Arial" w:cs="Arial"/>
        </w:rPr>
        <w:t>exposure at 2.9 pp</w:t>
      </w:r>
      <w:r w:rsidR="00141D76">
        <w:rPr>
          <w:rStyle w:val="checkbox"/>
          <w:rFonts w:ascii="Arial" w:hAnsi="Arial" w:cs="Arial"/>
        </w:rPr>
        <w:t xml:space="preserve">m for </w:t>
      </w:r>
      <w:r w:rsidR="00826E8A">
        <w:rPr>
          <w:rStyle w:val="checkbox"/>
          <w:rFonts w:ascii="Arial" w:hAnsi="Arial" w:cs="Arial"/>
        </w:rPr>
        <w:t>four</w:t>
      </w:r>
      <w:r w:rsidR="00141D76">
        <w:rPr>
          <w:rStyle w:val="checkbox"/>
          <w:rFonts w:ascii="Arial" w:hAnsi="Arial" w:cs="Arial"/>
        </w:rPr>
        <w:t xml:space="preserve"> months</w:t>
      </w:r>
      <w:r w:rsidR="00574F3C">
        <w:rPr>
          <w:rStyle w:val="checkbox"/>
          <w:rFonts w:ascii="Arial" w:hAnsi="Arial" w:cs="Arial"/>
        </w:rPr>
        <w:t xml:space="preserve"> </w:t>
      </w:r>
      <w:r w:rsidR="00B15D6A">
        <w:rPr>
          <w:rStyle w:val="checkbox"/>
          <w:rFonts w:ascii="Arial" w:hAnsi="Arial" w:cs="Arial"/>
        </w:rPr>
        <w:t xml:space="preserve">is </w:t>
      </w:r>
      <w:r w:rsidR="00574F3C">
        <w:rPr>
          <w:rStyle w:val="checkbox"/>
          <w:rFonts w:ascii="Arial" w:hAnsi="Arial" w:cs="Arial"/>
        </w:rPr>
        <w:t>reported in inhalation studies in animals (species not stated)</w:t>
      </w:r>
      <w:r w:rsidR="00141D76">
        <w:rPr>
          <w:rStyle w:val="checkbox"/>
          <w:rFonts w:ascii="Arial" w:hAnsi="Arial" w:cs="Arial"/>
        </w:rPr>
        <w:t>.</w:t>
      </w:r>
      <w:r w:rsidR="00141D76" w:rsidRPr="00141D76">
        <w:rPr>
          <w:rStyle w:val="checkbox"/>
          <w:rFonts w:ascii="Arial" w:hAnsi="Arial" w:cs="Arial"/>
        </w:rPr>
        <w:t xml:space="preserve"> </w:t>
      </w:r>
      <w:r w:rsidR="00411931">
        <w:rPr>
          <w:rStyle w:val="checkbox"/>
          <w:rFonts w:ascii="Arial" w:hAnsi="Arial" w:cs="Arial"/>
        </w:rPr>
        <w:t>A NOAEC of 20 ppm (70 mg/m</w:t>
      </w:r>
      <w:r w:rsidR="00411931" w:rsidRPr="00FD2AE8">
        <w:rPr>
          <w:rStyle w:val="checkbox"/>
          <w:rFonts w:ascii="Arial" w:hAnsi="Arial" w:cs="Arial"/>
          <w:vertAlign w:val="superscript"/>
        </w:rPr>
        <w:t>3</w:t>
      </w:r>
      <w:r w:rsidR="00411931">
        <w:rPr>
          <w:rStyle w:val="checkbox"/>
          <w:rFonts w:ascii="Arial" w:hAnsi="Arial" w:cs="Arial"/>
        </w:rPr>
        <w:t xml:space="preserve">) </w:t>
      </w:r>
      <w:r w:rsidR="00826E8A">
        <w:rPr>
          <w:rStyle w:val="checkbox"/>
          <w:rFonts w:ascii="Arial" w:hAnsi="Arial" w:cs="Arial"/>
        </w:rPr>
        <w:t>i</w:t>
      </w:r>
      <w:r w:rsidR="00411931">
        <w:rPr>
          <w:rStyle w:val="checkbox"/>
          <w:rFonts w:ascii="Arial" w:hAnsi="Arial" w:cs="Arial"/>
        </w:rPr>
        <w:t xml:space="preserve">s identified in </w:t>
      </w:r>
      <w:r w:rsidR="00411931">
        <w:t xml:space="preserve">a </w:t>
      </w:r>
      <w:r w:rsidR="00574F3C">
        <w:t>28-</w:t>
      </w:r>
      <w:r w:rsidR="00411931">
        <w:t xml:space="preserve">day inhalation study </w:t>
      </w:r>
      <w:r w:rsidR="00826E8A">
        <w:t>i</w:t>
      </w:r>
      <w:r w:rsidR="00411931">
        <w:t>n rats</w:t>
      </w:r>
      <w:r w:rsidR="00411931">
        <w:rPr>
          <w:rStyle w:val="checkbox"/>
          <w:rFonts w:ascii="Arial" w:hAnsi="Arial" w:cs="Arial"/>
        </w:rPr>
        <w:t xml:space="preserve"> </w:t>
      </w:r>
      <w:r w:rsidR="00826E8A">
        <w:rPr>
          <w:rStyle w:val="checkbox"/>
          <w:rFonts w:ascii="Arial" w:hAnsi="Arial" w:cs="Arial"/>
        </w:rPr>
        <w:t xml:space="preserve">for </w:t>
      </w:r>
      <w:r w:rsidR="00826E8A" w:rsidRPr="00826E8A">
        <w:rPr>
          <w:rStyle w:val="checkbox"/>
          <w:rFonts w:ascii="Arial" w:hAnsi="Arial" w:cs="Arial"/>
        </w:rPr>
        <w:t>slight</w:t>
      </w:r>
      <w:r w:rsidR="00826E8A">
        <w:rPr>
          <w:rStyle w:val="checkbox"/>
          <w:rFonts w:ascii="Arial" w:hAnsi="Arial" w:cs="Arial"/>
        </w:rPr>
        <w:t>ly</w:t>
      </w:r>
      <w:r w:rsidR="00826E8A" w:rsidRPr="00826E8A">
        <w:rPr>
          <w:rStyle w:val="checkbox"/>
          <w:rFonts w:ascii="Arial" w:hAnsi="Arial" w:cs="Arial"/>
        </w:rPr>
        <w:t xml:space="preserve"> decreased b</w:t>
      </w:r>
      <w:r w:rsidR="00826E8A">
        <w:rPr>
          <w:rStyle w:val="checkbox"/>
          <w:rFonts w:ascii="Arial" w:hAnsi="Arial" w:cs="Arial"/>
        </w:rPr>
        <w:t xml:space="preserve">ody </w:t>
      </w:r>
      <w:r w:rsidR="00826E8A" w:rsidRPr="00826E8A">
        <w:rPr>
          <w:rStyle w:val="checkbox"/>
          <w:rFonts w:ascii="Arial" w:hAnsi="Arial" w:cs="Arial"/>
        </w:rPr>
        <w:t>w</w:t>
      </w:r>
      <w:r w:rsidR="00826E8A">
        <w:rPr>
          <w:rStyle w:val="checkbox"/>
          <w:rFonts w:ascii="Arial" w:hAnsi="Arial" w:cs="Arial"/>
        </w:rPr>
        <w:t>eight</w:t>
      </w:r>
      <w:r w:rsidR="00826E8A" w:rsidRPr="00826E8A">
        <w:rPr>
          <w:rStyle w:val="checkbox"/>
          <w:rFonts w:ascii="Arial" w:hAnsi="Arial" w:cs="Arial"/>
        </w:rPr>
        <w:t xml:space="preserve"> gain in males and increased liver weight in females </w:t>
      </w:r>
      <w:r w:rsidR="00411931">
        <w:rPr>
          <w:rStyle w:val="checkbox"/>
          <w:rFonts w:ascii="Arial" w:hAnsi="Arial" w:cs="Arial"/>
        </w:rPr>
        <w:t xml:space="preserve">(NICNAS, 2016; ECHA, 2019). </w:t>
      </w:r>
      <w:r w:rsidR="00A73138">
        <w:rPr>
          <w:rStyle w:val="checkbox"/>
          <w:rFonts w:ascii="Arial" w:hAnsi="Arial" w:cs="Arial"/>
        </w:rPr>
        <w:t>Th</w:t>
      </w:r>
      <w:r w:rsidR="00FB6C70">
        <w:rPr>
          <w:rStyle w:val="checkbox"/>
          <w:rFonts w:ascii="Arial" w:hAnsi="Arial" w:cs="Arial"/>
        </w:rPr>
        <w:t>is</w:t>
      </w:r>
      <w:r w:rsidR="00A73138">
        <w:rPr>
          <w:rStyle w:val="checkbox"/>
          <w:rFonts w:ascii="Arial" w:hAnsi="Arial" w:cs="Arial"/>
        </w:rPr>
        <w:t xml:space="preserve"> NOAEC </w:t>
      </w:r>
      <w:r w:rsidR="00826E8A">
        <w:rPr>
          <w:rStyle w:val="checkbox"/>
          <w:rFonts w:ascii="Arial" w:hAnsi="Arial" w:cs="Arial"/>
        </w:rPr>
        <w:t>i</w:t>
      </w:r>
      <w:r w:rsidR="00A73138">
        <w:rPr>
          <w:rStyle w:val="checkbox"/>
          <w:rFonts w:ascii="Arial" w:hAnsi="Arial" w:cs="Arial"/>
        </w:rPr>
        <w:t xml:space="preserve">s used as a </w:t>
      </w:r>
      <w:r w:rsidR="00826E8A">
        <w:rPr>
          <w:rStyle w:val="checkbox"/>
          <w:rFonts w:ascii="Arial" w:hAnsi="Arial" w:cs="Arial"/>
        </w:rPr>
        <w:t>point of departure</w:t>
      </w:r>
      <w:r w:rsidR="00A73138">
        <w:rPr>
          <w:rStyle w:val="checkbox"/>
          <w:rFonts w:ascii="Arial" w:hAnsi="Arial" w:cs="Arial"/>
        </w:rPr>
        <w:t xml:space="preserve"> by ECHA (2019) to calculate a </w:t>
      </w:r>
      <w:r w:rsidR="00411931">
        <w:rPr>
          <w:rStyle w:val="checkbox"/>
          <w:rFonts w:ascii="Arial" w:hAnsi="Arial" w:cs="Arial"/>
        </w:rPr>
        <w:t>derived no effect level</w:t>
      </w:r>
      <w:r w:rsidR="00141D76">
        <w:rPr>
          <w:rStyle w:val="checkbox"/>
          <w:rFonts w:ascii="Arial" w:hAnsi="Arial" w:cs="Arial"/>
        </w:rPr>
        <w:t xml:space="preserve"> (DNEL)</w:t>
      </w:r>
      <w:r w:rsidR="00411931">
        <w:rPr>
          <w:rStyle w:val="checkbox"/>
          <w:rFonts w:ascii="Arial" w:hAnsi="Arial" w:cs="Arial"/>
        </w:rPr>
        <w:t xml:space="preserve"> of </w:t>
      </w:r>
      <w:r w:rsidR="00411931" w:rsidRPr="00411931">
        <w:rPr>
          <w:rStyle w:val="checkbox"/>
          <w:rFonts w:ascii="Arial" w:hAnsi="Arial" w:cs="Arial"/>
        </w:rPr>
        <w:t>7.05 mg/m</w:t>
      </w:r>
      <w:r w:rsidR="00411931" w:rsidRPr="00411931">
        <w:rPr>
          <w:rStyle w:val="checkbox"/>
          <w:rFonts w:ascii="Arial" w:hAnsi="Arial" w:cs="Arial"/>
          <w:vertAlign w:val="superscript"/>
        </w:rPr>
        <w:t>3</w:t>
      </w:r>
      <w:r w:rsidR="00141D76">
        <w:rPr>
          <w:rStyle w:val="checkbox"/>
          <w:rFonts w:ascii="Arial" w:hAnsi="Arial" w:cs="Arial"/>
        </w:rPr>
        <w:t xml:space="preserve"> (approx</w:t>
      </w:r>
      <w:r w:rsidR="003F0859">
        <w:rPr>
          <w:rStyle w:val="checkbox"/>
          <w:rFonts w:ascii="Arial" w:hAnsi="Arial" w:cs="Arial"/>
        </w:rPr>
        <w:t>imately</w:t>
      </w:r>
      <w:r w:rsidR="00141D76">
        <w:rPr>
          <w:rStyle w:val="checkbox"/>
          <w:rFonts w:ascii="Arial" w:hAnsi="Arial" w:cs="Arial"/>
        </w:rPr>
        <w:t xml:space="preserve"> 2</w:t>
      </w:r>
      <w:r w:rsidR="003F0859">
        <w:rPr>
          <w:rStyle w:val="checkbox"/>
          <w:rFonts w:ascii="Arial" w:hAnsi="Arial" w:cs="Arial"/>
        </w:rPr>
        <w:t> </w:t>
      </w:r>
      <w:r w:rsidR="00141D76">
        <w:rPr>
          <w:rStyle w:val="checkbox"/>
          <w:rFonts w:ascii="Arial" w:hAnsi="Arial" w:cs="Arial"/>
        </w:rPr>
        <w:t>ppm)</w:t>
      </w:r>
      <w:r w:rsidR="00A73138">
        <w:rPr>
          <w:rStyle w:val="checkbox"/>
          <w:rFonts w:ascii="Arial" w:hAnsi="Arial" w:cs="Arial"/>
        </w:rPr>
        <w:t>.</w:t>
      </w:r>
    </w:p>
    <w:p w14:paraId="603D6BA1" w14:textId="32D31634" w:rsidR="00411931" w:rsidRPr="002B7F9C" w:rsidRDefault="00411931" w:rsidP="006639B4">
      <w:pPr>
        <w:rPr>
          <w:rFonts w:cs="Arial"/>
        </w:rPr>
      </w:pPr>
      <w:r>
        <w:rPr>
          <w:rStyle w:val="checkbox"/>
          <w:rFonts w:ascii="Arial" w:hAnsi="Arial" w:cs="Arial"/>
        </w:rPr>
        <w:t>Based on the</w:t>
      </w:r>
      <w:r w:rsidR="00141D76">
        <w:rPr>
          <w:rStyle w:val="checkbox"/>
          <w:rFonts w:ascii="Arial" w:hAnsi="Arial" w:cs="Arial"/>
        </w:rPr>
        <w:t xml:space="preserve"> reported intolerable odour </w:t>
      </w:r>
      <w:r w:rsidR="00826E8A">
        <w:rPr>
          <w:rStyle w:val="checkbox"/>
          <w:rFonts w:ascii="Arial" w:hAnsi="Arial" w:cs="Arial"/>
        </w:rPr>
        <w:t xml:space="preserve">at a </w:t>
      </w:r>
      <w:r w:rsidR="00141D76">
        <w:rPr>
          <w:rStyle w:val="checkbox"/>
          <w:rFonts w:ascii="Arial" w:hAnsi="Arial" w:cs="Arial"/>
        </w:rPr>
        <w:t xml:space="preserve">concentration as low as 2 ppm, </w:t>
      </w:r>
      <w:r w:rsidR="00826E8A">
        <w:rPr>
          <w:rStyle w:val="checkbox"/>
          <w:rFonts w:ascii="Arial" w:hAnsi="Arial" w:cs="Arial"/>
        </w:rPr>
        <w:t xml:space="preserve">adverse systemic </w:t>
      </w:r>
      <w:r w:rsidR="00141D76">
        <w:rPr>
          <w:rStyle w:val="checkbox"/>
          <w:rFonts w:ascii="Arial" w:hAnsi="Arial" w:cs="Arial"/>
        </w:rPr>
        <w:t>effects in animals at 2.9</w:t>
      </w:r>
      <w:r w:rsidR="00826E8A">
        <w:rPr>
          <w:rStyle w:val="checkbox"/>
          <w:rFonts w:ascii="Arial" w:hAnsi="Arial" w:cs="Arial"/>
        </w:rPr>
        <w:t> </w:t>
      </w:r>
      <w:r w:rsidR="00141D76">
        <w:rPr>
          <w:rStyle w:val="checkbox"/>
          <w:rFonts w:ascii="Arial" w:hAnsi="Arial" w:cs="Arial"/>
        </w:rPr>
        <w:t>ppm in a sub</w:t>
      </w:r>
      <w:r w:rsidR="00FB6C70">
        <w:rPr>
          <w:rStyle w:val="checkbox"/>
          <w:rFonts w:ascii="Arial" w:hAnsi="Arial" w:cs="Arial"/>
        </w:rPr>
        <w:t>-</w:t>
      </w:r>
      <w:r w:rsidR="00141D76">
        <w:rPr>
          <w:rStyle w:val="checkbox"/>
          <w:rFonts w:ascii="Arial" w:hAnsi="Arial" w:cs="Arial"/>
        </w:rPr>
        <w:t>chronic study and the DNEL of 2 ppm</w:t>
      </w:r>
      <w:r w:rsidR="00826E8A">
        <w:rPr>
          <w:rStyle w:val="checkbox"/>
          <w:rFonts w:ascii="Arial" w:hAnsi="Arial" w:cs="Arial"/>
        </w:rPr>
        <w:t>,</w:t>
      </w:r>
      <w:r w:rsidR="00141D76">
        <w:rPr>
          <w:rStyle w:val="checkbox"/>
          <w:rFonts w:ascii="Arial" w:hAnsi="Arial" w:cs="Arial"/>
        </w:rPr>
        <w:t xml:space="preserve"> </w:t>
      </w:r>
      <w:r>
        <w:rPr>
          <w:rStyle w:val="checkbox"/>
          <w:rFonts w:ascii="Arial" w:hAnsi="Arial" w:cs="Arial"/>
        </w:rPr>
        <w:t xml:space="preserve">the </w:t>
      </w:r>
      <w:r w:rsidR="00574F3C">
        <w:rPr>
          <w:rStyle w:val="checkbox"/>
          <w:rFonts w:ascii="Arial" w:hAnsi="Arial" w:cs="Arial"/>
        </w:rPr>
        <w:t xml:space="preserve">SWA </w:t>
      </w:r>
      <w:r>
        <w:rPr>
          <w:rStyle w:val="checkbox"/>
          <w:rFonts w:ascii="Arial" w:hAnsi="Arial" w:cs="Arial"/>
        </w:rPr>
        <w:t xml:space="preserve">TWA of 1 </w:t>
      </w:r>
      <w:r w:rsidRPr="00F0459C">
        <w:rPr>
          <w:rStyle w:val="checkbox"/>
          <w:rFonts w:ascii="Arial" w:hAnsi="Arial" w:cs="Arial"/>
        </w:rPr>
        <w:t>ppm</w:t>
      </w:r>
      <w:r w:rsidR="00F0459C" w:rsidRPr="0042376E">
        <w:rPr>
          <w:rStyle w:val="checkbox"/>
          <w:rFonts w:ascii="Arial" w:hAnsi="Arial" w:cs="Arial"/>
        </w:rPr>
        <w:t xml:space="preserve"> </w:t>
      </w:r>
      <w:r w:rsidR="00F0459C" w:rsidRPr="0042376E">
        <w:t>(3.5</w:t>
      </w:r>
      <w:r w:rsidR="00574F3C">
        <w:t> </w:t>
      </w:r>
      <w:r w:rsidR="00F0459C" w:rsidRPr="0042376E">
        <w:t>mg/m</w:t>
      </w:r>
      <w:r w:rsidR="00F0459C" w:rsidRPr="0042376E">
        <w:rPr>
          <w:vertAlign w:val="superscript"/>
        </w:rPr>
        <w:t>3</w:t>
      </w:r>
      <w:r w:rsidR="00F0459C" w:rsidRPr="0042376E">
        <w:t>)</w:t>
      </w:r>
      <w:r>
        <w:rPr>
          <w:rStyle w:val="checkbox"/>
          <w:rFonts w:ascii="Arial" w:hAnsi="Arial" w:cs="Arial"/>
        </w:rPr>
        <w:t xml:space="preserve"> </w:t>
      </w:r>
      <w:r w:rsidR="00574F3C">
        <w:rPr>
          <w:rStyle w:val="checkbox"/>
          <w:rFonts w:ascii="Arial" w:hAnsi="Arial" w:cs="Arial"/>
        </w:rPr>
        <w:t xml:space="preserve">derived by </w:t>
      </w:r>
      <w:r w:rsidR="00574F3C" w:rsidRPr="00DA352E">
        <w:t>OARS/AIHA</w:t>
      </w:r>
      <w:r w:rsidR="00574F3C" w:rsidRPr="003365A5">
        <w:t xml:space="preserve"> </w:t>
      </w:r>
      <w:r w:rsidR="00574F3C">
        <w:t xml:space="preserve">(1996) </w:t>
      </w:r>
      <w:r>
        <w:rPr>
          <w:rStyle w:val="checkbox"/>
          <w:rFonts w:ascii="Arial" w:hAnsi="Arial" w:cs="Arial"/>
        </w:rPr>
        <w:t>is recommended to be retained</w:t>
      </w:r>
      <w:r w:rsidR="00FB6C70">
        <w:rPr>
          <w:rStyle w:val="checkbox"/>
          <w:rFonts w:ascii="Arial" w:hAnsi="Arial" w:cs="Arial"/>
        </w:rPr>
        <w:t>. The recommended TWA is expected</w:t>
      </w:r>
      <w:r>
        <w:rPr>
          <w:rStyle w:val="checkbox"/>
          <w:rFonts w:ascii="Arial" w:hAnsi="Arial" w:cs="Arial"/>
        </w:rPr>
        <w:t xml:space="preserve"> to</w:t>
      </w:r>
      <w:r w:rsidR="00141D76">
        <w:rPr>
          <w:rStyle w:val="checkbox"/>
          <w:rFonts w:ascii="Arial" w:hAnsi="Arial" w:cs="Arial"/>
        </w:rPr>
        <w:t xml:space="preserve"> </w:t>
      </w:r>
      <w:r>
        <w:rPr>
          <w:rStyle w:val="checkbox"/>
          <w:rFonts w:ascii="Arial" w:hAnsi="Arial" w:cs="Arial"/>
        </w:rPr>
        <w:t>protect for irritant effects in exposed workers</w:t>
      </w:r>
      <w:r w:rsidR="00141D76">
        <w:rPr>
          <w:rStyle w:val="checkbox"/>
          <w:rFonts w:ascii="Arial" w:hAnsi="Arial" w:cs="Arial"/>
        </w:rPr>
        <w:t xml:space="preserve"> </w:t>
      </w:r>
      <w:r w:rsidR="00826E8A">
        <w:rPr>
          <w:rStyle w:val="checkbox"/>
          <w:rFonts w:ascii="Arial" w:hAnsi="Arial" w:cs="Arial"/>
        </w:rPr>
        <w:t>and</w:t>
      </w:r>
      <w:r w:rsidR="00141D76">
        <w:rPr>
          <w:rStyle w:val="checkbox"/>
          <w:rFonts w:ascii="Arial" w:hAnsi="Arial" w:cs="Arial"/>
        </w:rPr>
        <w:t xml:space="preserve"> minimise the potential for</w:t>
      </w:r>
      <w:r w:rsidR="00033CA9">
        <w:rPr>
          <w:rStyle w:val="checkbox"/>
          <w:rFonts w:ascii="Arial" w:hAnsi="Arial" w:cs="Arial"/>
        </w:rPr>
        <w:t xml:space="preserve"> </w:t>
      </w:r>
      <w:r w:rsidR="00574F3C">
        <w:rPr>
          <w:rStyle w:val="checkbox"/>
          <w:rFonts w:ascii="Arial" w:hAnsi="Arial" w:cs="Arial"/>
        </w:rPr>
        <w:t xml:space="preserve">adverse </w:t>
      </w:r>
      <w:r w:rsidR="00033CA9">
        <w:rPr>
          <w:rStyle w:val="checkbox"/>
          <w:rFonts w:ascii="Arial" w:hAnsi="Arial" w:cs="Arial"/>
        </w:rPr>
        <w:t>effects on the CNS</w:t>
      </w:r>
      <w:r>
        <w:rPr>
          <w:rStyle w:val="checkbox"/>
          <w:rFonts w:ascii="Arial" w:hAnsi="Arial" w:cs="Arial"/>
        </w:rPr>
        <w:t xml:space="preserve">. </w:t>
      </w:r>
    </w:p>
    <w:p w14:paraId="41AF23BB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7EA6D0D9" w14:textId="0F3EC888" w:rsidR="00F9209F" w:rsidRPr="00A76726" w:rsidRDefault="00F9209F" w:rsidP="00F9209F">
      <w:pPr>
        <w:rPr>
          <w:rFonts w:cs="Arial"/>
        </w:rPr>
      </w:pPr>
      <w:r w:rsidRPr="00A76726">
        <w:rPr>
          <w:rFonts w:cs="Arial"/>
        </w:rPr>
        <w:t>Not classified as a carcinogen according to the Globally Harmonized System of Classification and Labelling o</w:t>
      </w:r>
      <w:r w:rsidR="00A76726" w:rsidRPr="00A76726">
        <w:rPr>
          <w:rFonts w:cs="Arial"/>
        </w:rPr>
        <w:t>f</w:t>
      </w:r>
      <w:r w:rsidRPr="00A76726">
        <w:rPr>
          <w:rFonts w:cs="Arial"/>
        </w:rPr>
        <w:t xml:space="preserve"> Chemicals (GHS). </w:t>
      </w:r>
    </w:p>
    <w:p w14:paraId="60A7176E" w14:textId="1CC31790" w:rsidR="00F9209F" w:rsidRPr="00A76726" w:rsidRDefault="00F9209F" w:rsidP="00F9209F">
      <w:pPr>
        <w:rPr>
          <w:rFonts w:cs="Arial"/>
        </w:rPr>
      </w:pPr>
      <w:r w:rsidRPr="00A76726">
        <w:rPr>
          <w:rFonts w:cs="Arial"/>
        </w:rPr>
        <w:t>Not classified as a skin</w:t>
      </w:r>
      <w:r w:rsidR="00A76726" w:rsidRPr="00A76726">
        <w:rPr>
          <w:rFonts w:cs="Arial"/>
        </w:rPr>
        <w:t xml:space="preserve"> sensitiser</w:t>
      </w:r>
      <w:r w:rsidRPr="00A76726">
        <w:rPr>
          <w:rFonts w:cs="Arial"/>
        </w:rPr>
        <w:t xml:space="preserve"> or respiratory sensitiser according to the GHS.</w:t>
      </w:r>
    </w:p>
    <w:p w14:paraId="053AC7E2" w14:textId="2CB73F06" w:rsidR="00F9209F" w:rsidRPr="004C23F4" w:rsidRDefault="002B7F9C" w:rsidP="00F9209F">
      <w:pPr>
        <w:rPr>
          <w:rFonts w:cs="Arial"/>
        </w:rPr>
      </w:pPr>
      <w:r w:rsidRPr="002B7F9C">
        <w:rPr>
          <w:rFonts w:cs="Arial"/>
        </w:rPr>
        <w:t>A skin notation</w:t>
      </w:r>
      <w:r>
        <w:rPr>
          <w:rFonts w:cs="Arial"/>
        </w:rPr>
        <w:t xml:space="preserve"> is</w:t>
      </w:r>
      <w:r w:rsidRPr="002B7F9C">
        <w:rPr>
          <w:rFonts w:cs="Arial"/>
        </w:rPr>
        <w:t xml:space="preserve"> recommended based on evidence suggesting potential dermal absorption and adverse systemic effects in animals</w:t>
      </w:r>
      <w:r w:rsidR="00F9209F" w:rsidRPr="002B7F9C">
        <w:rPr>
          <w:rFonts w:cs="Arial"/>
        </w:rPr>
        <w:t>.</w:t>
      </w:r>
    </w:p>
    <w:p w14:paraId="07F82A47" w14:textId="77777777" w:rsidR="0025734A" w:rsidRPr="004C23F4" w:rsidRDefault="0025734A">
      <w:pPr>
        <w:rPr>
          <w:rFonts w:cs="Arial"/>
        </w:rPr>
      </w:pPr>
    </w:p>
    <w:p w14:paraId="543A2958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5650F001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7A144AC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7DB5A0F5" w14:textId="77777777" w:rsidTr="00F2492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77867EA6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0A0886FC" w14:textId="77777777" w:rsidTr="00F2492B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BECE48B" w14:textId="0FB7713B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F9209F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F9209F">
                  <w:t>TWA: 1 ppm (3.5 mg/m</w:t>
                </w:r>
                <w:r w:rsidR="00F9209F" w:rsidRPr="00F9209F">
                  <w:rPr>
                    <w:vertAlign w:val="superscript"/>
                  </w:rPr>
                  <w:t>3</w:t>
                </w:r>
                <w:r w:rsidR="00F9209F">
                  <w:t>)</w:t>
                </w:r>
              </w:sdtContent>
            </w:sdt>
          </w:p>
        </w:tc>
      </w:tr>
      <w:tr w:rsidR="00C978F0" w:rsidRPr="00DA352E" w14:paraId="1FF4059F" w14:textId="77777777" w:rsidTr="00F2492B">
        <w:trPr>
          <w:gridAfter w:val="1"/>
          <w:wAfter w:w="8" w:type="pct"/>
          <w:cantSplit/>
        </w:trPr>
        <w:tc>
          <w:tcPr>
            <w:tcW w:w="4992" w:type="pct"/>
          </w:tcPr>
          <w:p w14:paraId="042F26E6" w14:textId="6FB8189C" w:rsidR="00C978F0" w:rsidRPr="00DA352E" w:rsidRDefault="00A73138" w:rsidP="001C26BC">
            <w:pPr>
              <w:pStyle w:val="Tabletextprimarysource"/>
            </w:pPr>
            <w:r>
              <w:t xml:space="preserve">Adopted </w:t>
            </w:r>
            <w:r w:rsidR="001C26BC">
              <w:t>from</w:t>
            </w:r>
            <w:r>
              <w:t xml:space="preserve"> UK </w:t>
            </w:r>
            <w:r w:rsidR="003F0859">
              <w:t>HSE.</w:t>
            </w:r>
          </w:p>
        </w:tc>
      </w:tr>
      <w:tr w:rsidR="00C978F0" w:rsidRPr="00DA352E" w14:paraId="5E6B79C9" w14:textId="77777777" w:rsidTr="00F2492B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F8863D9" w14:textId="6E402463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F9209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proofErr w:type="spellStart"/>
                <w:r w:rsidR="00F9209F">
                  <w:t>NA</w:t>
                </w:r>
                <w:proofErr w:type="spellEnd"/>
              </w:sdtContent>
            </w:sdt>
          </w:p>
        </w:tc>
      </w:tr>
      <w:tr w:rsidR="00C978F0" w:rsidRPr="00DA352E" w14:paraId="1E450C18" w14:textId="77777777" w:rsidTr="00F2492B">
        <w:trPr>
          <w:gridAfter w:val="1"/>
          <w:wAfter w:w="8" w:type="pct"/>
          <w:cantSplit/>
        </w:trPr>
        <w:tc>
          <w:tcPr>
            <w:tcW w:w="4992" w:type="pct"/>
          </w:tcPr>
          <w:p w14:paraId="5C2BFAE5" w14:textId="72398F53" w:rsidR="00C978F0" w:rsidRPr="00DA352E" w:rsidRDefault="00F9209F" w:rsidP="003365A5">
            <w:pPr>
              <w:pStyle w:val="Tabletextprimarysource"/>
            </w:pPr>
            <w:r>
              <w:t>No report</w:t>
            </w:r>
            <w:r w:rsidR="00815351">
              <w:t>.</w:t>
            </w:r>
          </w:p>
        </w:tc>
      </w:tr>
      <w:tr w:rsidR="00C978F0" w:rsidRPr="00DA352E" w14:paraId="0F0F442F" w14:textId="77777777" w:rsidTr="00F2492B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9EDB395" w14:textId="602E9C8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C6784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C67848">
                  <w:t>NA</w:t>
                </w:r>
                <w:proofErr w:type="spellEnd"/>
              </w:sdtContent>
            </w:sdt>
          </w:p>
        </w:tc>
      </w:tr>
      <w:tr w:rsidR="00C978F0" w:rsidRPr="00DA352E" w14:paraId="31BE3366" w14:textId="77777777" w:rsidTr="00F2492B">
        <w:trPr>
          <w:gridAfter w:val="1"/>
          <w:wAfter w:w="8" w:type="pct"/>
          <w:cantSplit/>
        </w:trPr>
        <w:tc>
          <w:tcPr>
            <w:tcW w:w="4992" w:type="pct"/>
          </w:tcPr>
          <w:p w14:paraId="57B76583" w14:textId="253C4DA1" w:rsidR="00C978F0" w:rsidRPr="00DA352E" w:rsidRDefault="00C67848" w:rsidP="003365A5">
            <w:pPr>
              <w:pStyle w:val="Tabletextprimarysource"/>
            </w:pPr>
            <w:r>
              <w:t>No report</w:t>
            </w:r>
            <w:r w:rsidR="00815351">
              <w:t>.</w:t>
            </w:r>
          </w:p>
        </w:tc>
      </w:tr>
      <w:tr w:rsidR="00C978F0" w:rsidRPr="00DA352E" w14:paraId="26991D13" w14:textId="77777777" w:rsidTr="00F2492B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8C69D9A" w14:textId="327F1090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C6784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C67848">
                  <w:t>NA</w:t>
                </w:r>
                <w:proofErr w:type="spellEnd"/>
              </w:sdtContent>
            </w:sdt>
          </w:p>
        </w:tc>
      </w:tr>
      <w:tr w:rsidR="00C978F0" w:rsidRPr="00DA352E" w14:paraId="3DA513D2" w14:textId="77777777" w:rsidTr="00F2492B">
        <w:trPr>
          <w:gridAfter w:val="1"/>
          <w:wAfter w:w="8" w:type="pct"/>
          <w:cantSplit/>
        </w:trPr>
        <w:tc>
          <w:tcPr>
            <w:tcW w:w="4992" w:type="pct"/>
          </w:tcPr>
          <w:p w14:paraId="5AFD2C9B" w14:textId="157AD150" w:rsidR="00C978F0" w:rsidRPr="00DA352E" w:rsidRDefault="00C67848" w:rsidP="003365A5">
            <w:pPr>
              <w:pStyle w:val="Tabletextprimarysource"/>
            </w:pPr>
            <w:r>
              <w:t>No report</w:t>
            </w:r>
            <w:r w:rsidR="00815351">
              <w:t>.</w:t>
            </w:r>
          </w:p>
        </w:tc>
      </w:tr>
      <w:tr w:rsidR="00DA352E" w:rsidRPr="00DA352E" w14:paraId="7F2E8D59" w14:textId="77777777" w:rsidTr="00F2492B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0F62D25" w14:textId="659F8864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C67848">
                  <w:t>1996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C67848">
                  <w:t>TWA: 1 ppm</w:t>
                </w:r>
                <w:r w:rsidR="005D68CC">
                  <w:t xml:space="preserve"> (3.5 mg/m</w:t>
                </w:r>
                <w:r w:rsidR="005D68CC" w:rsidRPr="005D68CC">
                  <w:rPr>
                    <w:vertAlign w:val="superscript"/>
                  </w:rPr>
                  <w:t>3</w:t>
                </w:r>
                <w:r w:rsidR="005D68CC">
                  <w:t>)</w:t>
                </w:r>
              </w:sdtContent>
            </w:sdt>
          </w:p>
        </w:tc>
      </w:tr>
      <w:tr w:rsidR="00DA352E" w:rsidRPr="00DA352E" w14:paraId="4A1F0C6A" w14:textId="77777777" w:rsidTr="00F2492B">
        <w:trPr>
          <w:gridAfter w:val="1"/>
          <w:wAfter w:w="8" w:type="pct"/>
          <w:cantSplit/>
        </w:trPr>
        <w:tc>
          <w:tcPr>
            <w:tcW w:w="4992" w:type="pct"/>
          </w:tcPr>
          <w:p w14:paraId="6F6898C4" w14:textId="176D3A72" w:rsidR="00DF20F3" w:rsidRDefault="005B6D8C" w:rsidP="003365A5">
            <w:pPr>
              <w:pStyle w:val="Tabletextprimarysource"/>
            </w:pPr>
            <w:r>
              <w:t>Summary of data:</w:t>
            </w:r>
          </w:p>
          <w:p w14:paraId="5467D9EA" w14:textId="77588E1C" w:rsidR="00DF20F3" w:rsidRDefault="00DF20F3" w:rsidP="003365A5">
            <w:pPr>
              <w:pStyle w:val="Tabletextprimarysource"/>
            </w:pPr>
            <w:r>
              <w:t>TWA derived on analogy to 2-aminopyridine and ACGIH TLV of 0.5</w:t>
            </w:r>
            <w:r w:rsidR="00A73138">
              <w:t xml:space="preserve"> </w:t>
            </w:r>
            <w:r>
              <w:t xml:space="preserve">ppm. </w:t>
            </w:r>
            <w:r w:rsidR="003F0859">
              <w:t>N</w:t>
            </w:r>
            <w:r>
              <w:t xml:space="preserve">ot considered as acutely toxic as 2-aminopyridine. </w:t>
            </w:r>
            <w:r w:rsidR="00050851">
              <w:t xml:space="preserve">Given irritation and odour thresholds, a WEEL (TWA) of 1 ppm is considered adequate. No derivation or further information provided. </w:t>
            </w:r>
          </w:p>
          <w:p w14:paraId="3D4CE625" w14:textId="30F2F65D" w:rsidR="00DF20F3" w:rsidRDefault="00DF20F3" w:rsidP="003365A5">
            <w:pPr>
              <w:pStyle w:val="Tabletextprimarysource"/>
            </w:pPr>
            <w:r>
              <w:t>Human Data:</w:t>
            </w:r>
          </w:p>
          <w:p w14:paraId="73E21783" w14:textId="0E01C9D6" w:rsidR="00DF20F3" w:rsidRDefault="00DF20F3" w:rsidP="00826E8A">
            <w:pPr>
              <w:pStyle w:val="ListBullet"/>
              <w:tabs>
                <w:tab w:val="clear" w:pos="360"/>
              </w:tabs>
              <w:spacing w:before="60" w:after="60"/>
              <w:ind w:left="726" w:hanging="357"/>
              <w:contextualSpacing w:val="0"/>
            </w:pPr>
            <w:r>
              <w:t>Respiratory irritation at 26</w:t>
            </w:r>
            <w:r w:rsidR="00A73138">
              <w:t xml:space="preserve"> </w:t>
            </w:r>
            <w:r>
              <w:t>ppm</w:t>
            </w:r>
          </w:p>
          <w:p w14:paraId="4A84AF9A" w14:textId="4493F7CD" w:rsidR="00DF20F3" w:rsidRDefault="00DF20F3" w:rsidP="00826E8A">
            <w:pPr>
              <w:pStyle w:val="ListBullet"/>
              <w:tabs>
                <w:tab w:val="clear" w:pos="360"/>
              </w:tabs>
              <w:spacing w:before="60" w:after="60"/>
              <w:ind w:left="726" w:hanging="357"/>
              <w:contextualSpacing w:val="0"/>
            </w:pPr>
            <w:r>
              <w:t>Odour intolerable at 2</w:t>
            </w:r>
            <w:r w:rsidR="00654DCB">
              <w:t>–</w:t>
            </w:r>
            <w:r>
              <w:t>5 ppm</w:t>
            </w:r>
          </w:p>
          <w:p w14:paraId="5CBD2040" w14:textId="77825097" w:rsidR="00050851" w:rsidRDefault="00050851" w:rsidP="00826E8A">
            <w:pPr>
              <w:pStyle w:val="ListBullet"/>
              <w:tabs>
                <w:tab w:val="clear" w:pos="360"/>
              </w:tabs>
              <w:spacing w:before="60" w:after="60"/>
              <w:ind w:left="726" w:hanging="357"/>
              <w:contextualSpacing w:val="0"/>
            </w:pPr>
            <w:r>
              <w:t>Skin exposure to liquid for &lt;3 min caused severe epithelial damage</w:t>
            </w:r>
            <w:r w:rsidR="00826E8A">
              <w:t>.</w:t>
            </w:r>
          </w:p>
          <w:p w14:paraId="7CDC463F" w14:textId="56A98858" w:rsidR="00DF20F3" w:rsidRDefault="00DF20F3" w:rsidP="003365A5">
            <w:pPr>
              <w:pStyle w:val="Tabletextprimarysource"/>
            </w:pPr>
            <w:r>
              <w:t>Animal Data:</w:t>
            </w:r>
          </w:p>
          <w:p w14:paraId="24B568ED" w14:textId="31D9296F" w:rsidR="0019469F" w:rsidRDefault="001C7360" w:rsidP="00826E8A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Oral </w:t>
            </w:r>
            <w:r w:rsidR="0019469F">
              <w:t>LD</w:t>
            </w:r>
            <w:r w:rsidR="0019469F" w:rsidRPr="00DF20F3">
              <w:rPr>
                <w:vertAlign w:val="subscript"/>
              </w:rPr>
              <w:t>50</w:t>
            </w:r>
            <w:r w:rsidR="0019469F">
              <w:t>: 133 mg/kg (female rats); 200 mg/kg (male rats), acute haemorrhage of stomach, necrosis, ulceration and congestion of kidneys</w:t>
            </w:r>
          </w:p>
          <w:p w14:paraId="77EE9F6C" w14:textId="1FD42409" w:rsidR="005B6D8C" w:rsidRDefault="001C7360" w:rsidP="00826E8A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Oral </w:t>
            </w:r>
            <w:r w:rsidR="0019469F">
              <w:t>LD</w:t>
            </w:r>
            <w:r w:rsidR="0019469F" w:rsidRPr="00914E80">
              <w:rPr>
                <w:vertAlign w:val="subscript"/>
              </w:rPr>
              <w:t>50</w:t>
            </w:r>
            <w:r w:rsidR="0019469F">
              <w:t>: 145 mg/kg (rabbits); 30 mg/kg (mice)</w:t>
            </w:r>
          </w:p>
          <w:p w14:paraId="5CCE11B5" w14:textId="034792F6" w:rsidR="0019469F" w:rsidRDefault="0019469F" w:rsidP="00826E8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Severe skin irritant to rats, mice, guinea pigs (no further information)</w:t>
            </w:r>
          </w:p>
          <w:p w14:paraId="6BDD8689" w14:textId="528B9190" w:rsidR="001C7360" w:rsidRDefault="001C7360" w:rsidP="00826E8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Dermal LD</w:t>
            </w:r>
            <w:r w:rsidRPr="00DF20F3">
              <w:rPr>
                <w:vertAlign w:val="subscript"/>
              </w:rPr>
              <w:t>50</w:t>
            </w:r>
            <w:r>
              <w:t>: 275 mg/kg (rats); 320 mg/kg (rabbits)</w:t>
            </w:r>
          </w:p>
          <w:p w14:paraId="293ECD08" w14:textId="42D6B24B" w:rsidR="0019469F" w:rsidRDefault="0019469F" w:rsidP="00826E8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In rabbits, necrosis of skin following application to uncovered belly</w:t>
            </w:r>
          </w:p>
          <w:p w14:paraId="2D011CF6" w14:textId="77777777" w:rsidR="0019469F" w:rsidRDefault="0019469F" w:rsidP="00826E8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Instillation in rabbit eye caused severe injury and permanent corneal damage</w:t>
            </w:r>
          </w:p>
          <w:p w14:paraId="59EA9DAE" w14:textId="27DB958F" w:rsidR="00826E8A" w:rsidRDefault="001C736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4 h exposure at 4,000 mg/m</w:t>
            </w:r>
            <w:r w:rsidRPr="00DF20F3">
              <w:rPr>
                <w:vertAlign w:val="superscript"/>
              </w:rPr>
              <w:t>3</w:t>
            </w:r>
            <w:r>
              <w:t xml:space="preserve"> in rats was lethal to 6/6</w:t>
            </w:r>
            <w:r w:rsidR="005E4430">
              <w:t xml:space="preserve"> animals</w:t>
            </w:r>
            <w:r w:rsidR="00FB6C70">
              <w:t>:</w:t>
            </w:r>
            <w:r w:rsidR="005E4430">
              <w:t xml:space="preserve"> </w:t>
            </w:r>
          </w:p>
          <w:p w14:paraId="70EDA085" w14:textId="6E5F5271" w:rsidR="001C7360" w:rsidRDefault="005E4430" w:rsidP="00826E8A">
            <w:pPr>
              <w:pStyle w:val="ListBullet"/>
              <w:numPr>
                <w:ilvl w:val="0"/>
                <w:numId w:val="21"/>
              </w:numPr>
              <w:spacing w:before="60" w:after="60"/>
              <w:contextualSpacing w:val="0"/>
            </w:pPr>
            <w:r>
              <w:t>acute toxic response included increased blood pressure and heart rate, nausea, vomiting, salivation, respiratory distress, ataxia, muscular weakness, paralysis and convulsions</w:t>
            </w:r>
          </w:p>
          <w:p w14:paraId="4B2C5CC6" w14:textId="4052E5AB" w:rsidR="001C7360" w:rsidRDefault="005B4DFD" w:rsidP="00826E8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IP LD</w:t>
            </w:r>
            <w:r w:rsidRPr="00DF20F3">
              <w:rPr>
                <w:vertAlign w:val="subscript"/>
              </w:rPr>
              <w:t>50</w:t>
            </w:r>
            <w:r>
              <w:t>: &lt;50 mg/kg (rats)</w:t>
            </w:r>
            <w:r w:rsidR="005E4430">
              <w:t>; 50 mg/kg (mice)</w:t>
            </w:r>
          </w:p>
          <w:p w14:paraId="29D4818F" w14:textId="1FB768E3" w:rsidR="00826E8A" w:rsidRDefault="005E4430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Negative results in </w:t>
            </w:r>
            <w:r>
              <w:rPr>
                <w:i/>
              </w:rPr>
              <w:t>S. typhimurium</w:t>
            </w:r>
            <w:r>
              <w:t xml:space="preserve"> in Ames test and host-mediated assay</w:t>
            </w:r>
            <w:r w:rsidR="00FB6C70">
              <w:t>:</w:t>
            </w:r>
            <w:r w:rsidR="00836914">
              <w:t xml:space="preserve"> </w:t>
            </w:r>
          </w:p>
          <w:p w14:paraId="4B521C89" w14:textId="10691197" w:rsidR="005E4430" w:rsidRDefault="00836914" w:rsidP="00826E8A">
            <w:pPr>
              <w:pStyle w:val="ListBullet"/>
              <w:numPr>
                <w:ilvl w:val="0"/>
                <w:numId w:val="21"/>
              </w:numPr>
              <w:spacing w:before="60" w:after="60"/>
              <w:contextualSpacing w:val="0"/>
            </w:pPr>
            <w:r>
              <w:t>in mouse lymphoma assay DNA strand breaks only occurred at a significant level when incubated with S9 fraction</w:t>
            </w:r>
            <w:r w:rsidR="00DF20F3">
              <w:t>.</w:t>
            </w:r>
          </w:p>
          <w:p w14:paraId="37F19648" w14:textId="3DE9BE0A" w:rsidR="005B4DFD" w:rsidRPr="00DA352E" w:rsidRDefault="005B4DFD" w:rsidP="00DF20F3">
            <w:pPr>
              <w:pStyle w:val="ListBullet"/>
              <w:numPr>
                <w:ilvl w:val="0"/>
                <w:numId w:val="0"/>
              </w:numPr>
              <w:ind w:left="714"/>
            </w:pPr>
          </w:p>
        </w:tc>
      </w:tr>
      <w:tr w:rsidR="00DA352E" w:rsidRPr="00DA352E" w14:paraId="4D696094" w14:textId="77777777" w:rsidTr="00F2492B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42C2A8E" w14:textId="0F494336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C6784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C67848">
                  <w:t>NA</w:t>
                </w:r>
                <w:proofErr w:type="spellEnd"/>
              </w:sdtContent>
            </w:sdt>
          </w:p>
        </w:tc>
      </w:tr>
      <w:tr w:rsidR="00DA352E" w:rsidRPr="00DA352E" w14:paraId="5CDA5E9C" w14:textId="77777777" w:rsidTr="00F2492B">
        <w:trPr>
          <w:gridAfter w:val="1"/>
          <w:wAfter w:w="8" w:type="pct"/>
          <w:cantSplit/>
        </w:trPr>
        <w:tc>
          <w:tcPr>
            <w:tcW w:w="4992" w:type="pct"/>
          </w:tcPr>
          <w:p w14:paraId="5EAAE32F" w14:textId="23BCA9E7" w:rsidR="00DA352E" w:rsidRPr="00DA352E" w:rsidRDefault="00C67848" w:rsidP="003365A5">
            <w:pPr>
              <w:pStyle w:val="Tabletextprimarysource"/>
            </w:pPr>
            <w:r>
              <w:t>No report</w:t>
            </w:r>
            <w:r w:rsidR="00815351">
              <w:t>.</w:t>
            </w:r>
          </w:p>
        </w:tc>
      </w:tr>
    </w:tbl>
    <w:p w14:paraId="406C6D06" w14:textId="77777777" w:rsidR="00A20751" w:rsidRPr="004C23F4" w:rsidRDefault="00A20751" w:rsidP="003365A5">
      <w:pPr>
        <w:pStyle w:val="Heading3"/>
      </w:pPr>
      <w:bookmarkStart w:id="1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8"/>
        <w:gridCol w:w="423"/>
        <w:gridCol w:w="661"/>
        <w:gridCol w:w="6444"/>
      </w:tblGrid>
      <w:tr w:rsidR="004966BF" w:rsidRPr="00263255" w14:paraId="2F540788" w14:textId="77777777" w:rsidTr="00F24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8" w:type="dxa"/>
            <w:shd w:val="clear" w:color="auto" w:fill="BFBFBF" w:themeFill="background1" w:themeFillShade="BF"/>
            <w:vAlign w:val="center"/>
          </w:tcPr>
          <w:p w14:paraId="1A9F5DAB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6ED91E78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1A72C806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40704D58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A73138" w:rsidRPr="004C23F4" w14:paraId="183C95AA" w14:textId="77777777" w:rsidTr="00F2492B">
        <w:tc>
          <w:tcPr>
            <w:tcW w:w="1498" w:type="dxa"/>
          </w:tcPr>
          <w:p w14:paraId="2B9EFCC0" w14:textId="14E0428D" w:rsidR="00A73138" w:rsidRDefault="00A73138" w:rsidP="00224EE2">
            <w:pPr>
              <w:pStyle w:val="Tablefont"/>
            </w:pPr>
            <w:r>
              <w:t>HSE</w:t>
            </w:r>
          </w:p>
        </w:tc>
        <w:tc>
          <w:tcPr>
            <w:tcW w:w="423" w:type="dxa"/>
          </w:tcPr>
          <w:p w14:paraId="0D532E97" w14:textId="77777777" w:rsidR="00A73138" w:rsidRDefault="00A73138" w:rsidP="00AB43C4">
            <w:pPr>
              <w:spacing w:before="40"/>
              <w:jc w:val="center"/>
              <w:rPr>
                <w:rStyle w:val="checkbox"/>
              </w:rPr>
            </w:pPr>
          </w:p>
        </w:tc>
        <w:tc>
          <w:tcPr>
            <w:tcW w:w="661" w:type="dxa"/>
          </w:tcPr>
          <w:p w14:paraId="4B2F0C5B" w14:textId="62BA373E" w:rsidR="00A73138" w:rsidRDefault="00A73138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1993</w:t>
            </w:r>
          </w:p>
        </w:tc>
        <w:tc>
          <w:tcPr>
            <w:tcW w:w="6444" w:type="dxa"/>
          </w:tcPr>
          <w:p w14:paraId="21C3E8D4" w14:textId="3248D417" w:rsidR="004C73BD" w:rsidRDefault="00826E8A" w:rsidP="00041954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I</w:t>
            </w:r>
            <w:r w:rsidR="004C73BD">
              <w:rPr>
                <w:rStyle w:val="checkbox"/>
                <w:rFonts w:ascii="Arial" w:hAnsi="Arial" w:cs="Arial"/>
              </w:rPr>
              <w:t>rritation threshold of 26 ppm established in a volunteer study</w:t>
            </w:r>
          </w:p>
          <w:p w14:paraId="1BA05A8D" w14:textId="77777777" w:rsidR="00826E8A" w:rsidRDefault="00A73138" w:rsidP="00041954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In animal studies (species not disclosed), inhalation exposure at 2.9 ppm for 4 h/d for 4 mo resulted in: </w:t>
            </w:r>
          </w:p>
          <w:p w14:paraId="1E21A162" w14:textId="0F7521DA" w:rsidR="00A73138" w:rsidRDefault="00A73138" w:rsidP="00826E8A">
            <w:pPr>
              <w:pStyle w:val="ListBullet"/>
              <w:numPr>
                <w:ilvl w:val="0"/>
                <w:numId w:val="20"/>
              </w:numPr>
              <w:spacing w:before="60" w:after="60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altered brain electrical activity, effects on the cardiovascular system and sperm generation</w:t>
            </w:r>
            <w:r w:rsidR="004C73BD">
              <w:rPr>
                <w:rStyle w:val="checkbox"/>
                <w:rFonts w:ascii="Arial" w:hAnsi="Arial" w:cs="Arial"/>
              </w:rPr>
              <w:t xml:space="preserve"> and some loss of function in the </w:t>
            </w:r>
            <w:r w:rsidR="00141D76">
              <w:rPr>
                <w:rStyle w:val="checkbox"/>
                <w:rFonts w:ascii="Arial" w:hAnsi="Arial" w:cs="Arial"/>
              </w:rPr>
              <w:t>liver</w:t>
            </w:r>
            <w:r w:rsidR="004C73BD">
              <w:rPr>
                <w:rStyle w:val="checkbox"/>
                <w:rFonts w:ascii="Arial" w:hAnsi="Arial" w:cs="Arial"/>
              </w:rPr>
              <w:t xml:space="preserve"> and kidneys</w:t>
            </w:r>
          </w:p>
          <w:p w14:paraId="66F9CD0F" w14:textId="2EFD4029" w:rsidR="00A73138" w:rsidRPr="00826E8A" w:rsidRDefault="003F0859" w:rsidP="00826E8A">
            <w:pPr>
              <w:pStyle w:val="ListBullet"/>
              <w:numPr>
                <w:ilvl w:val="0"/>
                <w:numId w:val="20"/>
              </w:numPr>
              <w:spacing w:before="60" w:after="60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a</w:t>
            </w:r>
            <w:r w:rsidR="004C73BD">
              <w:rPr>
                <w:rStyle w:val="checkbox"/>
                <w:rFonts w:ascii="Arial" w:hAnsi="Arial" w:cs="Arial"/>
              </w:rPr>
              <w:t>t 0.6 ppm decreased blood pressure and neuromuscular irritability were reported</w:t>
            </w:r>
          </w:p>
        </w:tc>
      </w:tr>
      <w:tr w:rsidR="004966BF" w:rsidRPr="004C23F4" w14:paraId="323DE23A" w14:textId="77777777" w:rsidTr="00F2492B">
        <w:tc>
          <w:tcPr>
            <w:tcW w:w="1498" w:type="dxa"/>
          </w:tcPr>
          <w:p w14:paraId="1B1C6B42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2C4B9074" w14:textId="090A2D80" w:rsidR="004966BF" w:rsidRPr="00CE617F" w:rsidRDefault="00D72527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135684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9F184EF" w14:textId="6959BF0D" w:rsidR="004966BF" w:rsidRPr="004C23F4" w:rsidRDefault="00135684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2016</w:t>
            </w:r>
          </w:p>
        </w:tc>
        <w:tc>
          <w:tcPr>
            <w:tcW w:w="6444" w:type="dxa"/>
          </w:tcPr>
          <w:p w14:paraId="72A27071" w14:textId="7CA3DEB3" w:rsidR="00135684" w:rsidRDefault="00041954" w:rsidP="00041954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C</w:t>
            </w:r>
            <w:r w:rsidR="00135684">
              <w:rPr>
                <w:rStyle w:val="checkbox"/>
                <w:rFonts w:ascii="Arial" w:hAnsi="Arial" w:cs="Arial"/>
              </w:rPr>
              <w:t>aused death in laboratory animals following absorption through skin</w:t>
            </w:r>
          </w:p>
          <w:p w14:paraId="02659DF3" w14:textId="5A3F85C9" w:rsidR="00135684" w:rsidRDefault="00135684" w:rsidP="00041954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LD</w:t>
            </w:r>
            <w:r w:rsidRPr="00135684">
              <w:rPr>
                <w:rStyle w:val="checkbox"/>
                <w:rFonts w:ascii="Arial" w:hAnsi="Arial" w:cs="Arial"/>
                <w:vertAlign w:val="subscript"/>
              </w:rPr>
              <w:t>50</w:t>
            </w:r>
            <w:r>
              <w:rPr>
                <w:rStyle w:val="checkbox"/>
                <w:rFonts w:ascii="Arial" w:hAnsi="Arial" w:cs="Arial"/>
              </w:rPr>
              <w:t>: 133</w:t>
            </w:r>
            <w:r w:rsidR="00815351">
              <w:rPr>
                <w:rStyle w:val="checkbox"/>
                <w:rFonts w:ascii="Arial" w:hAnsi="Arial" w:cs="Arial"/>
              </w:rPr>
              <w:t>–</w:t>
            </w:r>
            <w:r>
              <w:rPr>
                <w:rStyle w:val="checkbox"/>
                <w:rFonts w:ascii="Arial" w:hAnsi="Arial" w:cs="Arial"/>
              </w:rPr>
              <w:t>740 mg/kg</w:t>
            </w:r>
            <w:r w:rsidR="00930459"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 xml:space="preserve">(rats, duration not stated), </w:t>
            </w:r>
            <w:r w:rsidR="00930459">
              <w:rPr>
                <w:rStyle w:val="checkbox"/>
                <w:rFonts w:ascii="Arial" w:hAnsi="Arial" w:cs="Arial"/>
              </w:rPr>
              <w:t>sublethal effects were decreased motor activity, tremors, blanching, piloerection, lethargy and respiratory effects</w:t>
            </w:r>
          </w:p>
          <w:p w14:paraId="66BAA443" w14:textId="51FC4822" w:rsidR="00930459" w:rsidRDefault="00930459" w:rsidP="00041954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LD</w:t>
            </w:r>
            <w:r w:rsidRPr="00135684">
              <w:rPr>
                <w:rStyle w:val="checkbox"/>
                <w:rFonts w:ascii="Arial" w:hAnsi="Arial" w:cs="Arial"/>
                <w:vertAlign w:val="subscript"/>
              </w:rPr>
              <w:t>50</w:t>
            </w:r>
            <w:r>
              <w:rPr>
                <w:rStyle w:val="checkbox"/>
                <w:rFonts w:ascii="Arial" w:hAnsi="Arial" w:cs="Arial"/>
              </w:rPr>
              <w:t xml:space="preserve">: </w:t>
            </w:r>
            <w:r>
              <w:rPr>
                <w:rStyle w:val="checkbox"/>
                <w:rFonts w:ascii="Times New Roman" w:hAnsi="Times New Roman" w:cs="Times New Roman"/>
              </w:rPr>
              <w:t>≈</w:t>
            </w:r>
            <w:r>
              <w:rPr>
                <w:rStyle w:val="checkbox"/>
                <w:rFonts w:ascii="Arial" w:hAnsi="Arial" w:cs="Arial"/>
              </w:rPr>
              <w:t xml:space="preserve"> 275 mg/kg (rabbits, dermal, applied to shaved trunk)</w:t>
            </w:r>
          </w:p>
          <w:p w14:paraId="55EEA547" w14:textId="44933B83" w:rsidR="0062687A" w:rsidRDefault="0062687A" w:rsidP="00041954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4</w:t>
            </w:r>
            <w:r w:rsidR="00826E8A"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>h LC</w:t>
            </w:r>
            <w:r w:rsidRPr="0062687A">
              <w:rPr>
                <w:rStyle w:val="checkbox"/>
                <w:rFonts w:ascii="Arial" w:hAnsi="Arial" w:cs="Arial"/>
                <w:vertAlign w:val="subscript"/>
              </w:rPr>
              <w:t>50</w:t>
            </w:r>
            <w:r>
              <w:rPr>
                <w:rStyle w:val="checkbox"/>
                <w:rFonts w:ascii="Arial" w:hAnsi="Arial" w:cs="Arial"/>
              </w:rPr>
              <w:t xml:space="preserve">: 4.8 mg/L </w:t>
            </w:r>
            <w:r w:rsidR="005D68CC">
              <w:rPr>
                <w:rStyle w:val="checkbox"/>
                <w:rFonts w:ascii="Arial" w:hAnsi="Arial" w:cs="Arial"/>
              </w:rPr>
              <w:t>(4,800 mg/m</w:t>
            </w:r>
            <w:r w:rsidR="005D68CC" w:rsidRPr="005D68CC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5D68CC">
              <w:rPr>
                <w:rStyle w:val="checkbox"/>
                <w:rFonts w:ascii="Arial" w:hAnsi="Arial" w:cs="Arial"/>
              </w:rPr>
              <w:t xml:space="preserve">) </w:t>
            </w:r>
            <w:r>
              <w:rPr>
                <w:rStyle w:val="checkbox"/>
                <w:rFonts w:ascii="Arial" w:hAnsi="Arial" w:cs="Arial"/>
              </w:rPr>
              <w:t>(rats, inhalation, whole body), concentration range 1</w:t>
            </w:r>
            <w:r w:rsidR="00815351">
              <w:rPr>
                <w:rStyle w:val="checkbox"/>
                <w:rFonts w:ascii="Arial" w:hAnsi="Arial" w:cs="Arial"/>
              </w:rPr>
              <w:t>–</w:t>
            </w:r>
            <w:r>
              <w:rPr>
                <w:rStyle w:val="checkbox"/>
                <w:rFonts w:ascii="Arial" w:hAnsi="Arial" w:cs="Arial"/>
              </w:rPr>
              <w:t xml:space="preserve"> 7 mg/L</w:t>
            </w:r>
            <w:r w:rsidR="005D68CC">
              <w:rPr>
                <w:rStyle w:val="checkbox"/>
                <w:rFonts w:ascii="Arial" w:hAnsi="Arial" w:cs="Arial"/>
              </w:rPr>
              <w:t xml:space="preserve"> (1,000</w:t>
            </w:r>
            <w:r w:rsidR="00815351">
              <w:rPr>
                <w:rStyle w:val="checkbox"/>
                <w:rFonts w:ascii="Arial" w:hAnsi="Arial" w:cs="Arial"/>
              </w:rPr>
              <w:t>–</w:t>
            </w:r>
            <w:r w:rsidR="005D68CC">
              <w:rPr>
                <w:rStyle w:val="checkbox"/>
                <w:rFonts w:ascii="Arial" w:hAnsi="Arial" w:cs="Arial"/>
              </w:rPr>
              <w:t xml:space="preserve"> 7,000</w:t>
            </w:r>
            <w:r w:rsidR="00815351">
              <w:rPr>
                <w:rStyle w:val="checkbox"/>
                <w:rFonts w:ascii="Arial" w:hAnsi="Arial" w:cs="Arial"/>
              </w:rPr>
              <w:t> </w:t>
            </w:r>
            <w:r w:rsidR="005D68CC">
              <w:rPr>
                <w:rStyle w:val="checkbox"/>
                <w:rFonts w:ascii="Arial" w:hAnsi="Arial" w:cs="Arial"/>
              </w:rPr>
              <w:t>mg/m</w:t>
            </w:r>
            <w:r w:rsidR="005D68CC" w:rsidRPr="005D68CC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5D68CC">
              <w:rPr>
                <w:rStyle w:val="checkbox"/>
                <w:rFonts w:ascii="Arial" w:hAnsi="Arial" w:cs="Arial"/>
              </w:rPr>
              <w:t>)</w:t>
            </w:r>
          </w:p>
          <w:p w14:paraId="4D9A0B6C" w14:textId="7642731F" w:rsidR="00826E8A" w:rsidRDefault="0062687A" w:rsidP="00041954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Corrosive to rabbit skin after 3 min exposure</w:t>
            </w:r>
            <w:r w:rsidR="00FB6C70">
              <w:rPr>
                <w:rStyle w:val="checkbox"/>
                <w:rFonts w:ascii="Arial" w:hAnsi="Arial" w:cs="Arial"/>
              </w:rPr>
              <w:t>:</w:t>
            </w:r>
            <w:r w:rsidR="004E04B1">
              <w:rPr>
                <w:rStyle w:val="checkbox"/>
                <w:rFonts w:ascii="Arial" w:hAnsi="Arial" w:cs="Arial"/>
              </w:rPr>
              <w:t xml:space="preserve"> </w:t>
            </w:r>
          </w:p>
          <w:p w14:paraId="7FC8A291" w14:textId="3B3A7B54" w:rsidR="0062687A" w:rsidRDefault="004E04B1" w:rsidP="00826E8A">
            <w:pPr>
              <w:pStyle w:val="ListBullet"/>
              <w:numPr>
                <w:ilvl w:val="0"/>
                <w:numId w:val="21"/>
              </w:numPr>
              <w:spacing w:before="60" w:after="60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severely irritating to skin of rats and mice (no further information)</w:t>
            </w:r>
          </w:p>
          <w:p w14:paraId="4F7A43D2" w14:textId="2D6760DD" w:rsidR="0062687A" w:rsidRDefault="004E04B1" w:rsidP="00041954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0.5 mL undiluted applied to shaved back of rabbits (occlusive conditions) for 3 min, 1</w:t>
            </w:r>
            <w:r w:rsidR="00815351"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>h and 4 h caused necrosis and oedema; not reversible</w:t>
            </w:r>
          </w:p>
          <w:p w14:paraId="3427103B" w14:textId="77777777" w:rsidR="004E04B1" w:rsidRDefault="004E04B1" w:rsidP="00041954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Not considered a skin sensitiser</w:t>
            </w:r>
          </w:p>
          <w:p w14:paraId="1ABE5F63" w14:textId="4210C5E5" w:rsidR="00826E8A" w:rsidRDefault="0016491B" w:rsidP="00041954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Whole body exposure at 2 mg/m</w:t>
            </w:r>
            <w:r w:rsidRPr="0016491B"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 and 10 mg/m</w:t>
            </w:r>
            <w:r w:rsidRPr="0016491B"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 (4 h/d, 5</w:t>
            </w:r>
            <w:r w:rsidR="00815351">
              <w:rPr>
                <w:rStyle w:val="checkbox"/>
                <w:rFonts w:ascii="Arial" w:hAnsi="Arial" w:cs="Arial"/>
              </w:rPr>
              <w:t> </w:t>
            </w:r>
            <w:r>
              <w:rPr>
                <w:rStyle w:val="checkbox"/>
                <w:rFonts w:ascii="Arial" w:hAnsi="Arial" w:cs="Arial"/>
              </w:rPr>
              <w:t>d/wk, 4 mo duration) in rats and rabbits</w:t>
            </w:r>
            <w:r w:rsidR="00FB6C70">
              <w:rPr>
                <w:rStyle w:val="checkbox"/>
                <w:rFonts w:ascii="Arial" w:hAnsi="Arial" w:cs="Arial"/>
              </w:rPr>
              <w:t>: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</w:p>
          <w:p w14:paraId="6B0D0DB7" w14:textId="07175A02" w:rsidR="00826E8A" w:rsidRDefault="0016491B" w:rsidP="00826E8A">
            <w:pPr>
              <w:pStyle w:val="ListBullet"/>
              <w:numPr>
                <w:ilvl w:val="0"/>
                <w:numId w:val="21"/>
              </w:numPr>
              <w:spacing w:before="60" w:after="60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LOAEC = 10 mg/m</w:t>
            </w:r>
            <w:r w:rsidRPr="0016491B"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 based on reduced and impaired kidney function </w:t>
            </w:r>
          </w:p>
          <w:p w14:paraId="5B773F2A" w14:textId="5C7847E0" w:rsidR="00826E8A" w:rsidRDefault="0016491B" w:rsidP="00826E8A">
            <w:pPr>
              <w:pStyle w:val="ListBullet"/>
              <w:numPr>
                <w:ilvl w:val="0"/>
                <w:numId w:val="21"/>
              </w:numPr>
              <w:spacing w:before="60" w:after="60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effects fully reversible </w:t>
            </w:r>
          </w:p>
          <w:p w14:paraId="147A4BCC" w14:textId="6ED42408" w:rsidR="004E04B1" w:rsidRDefault="0016491B" w:rsidP="00826E8A">
            <w:pPr>
              <w:pStyle w:val="ListBullet"/>
              <w:numPr>
                <w:ilvl w:val="0"/>
                <w:numId w:val="21"/>
              </w:numPr>
              <w:spacing w:before="60" w:after="60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study not according to OECD</w:t>
            </w:r>
          </w:p>
          <w:p w14:paraId="26BA1552" w14:textId="04FF0822" w:rsidR="00826E8A" w:rsidRDefault="0016491B" w:rsidP="00041954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Whole body exposure at 5 ppm, 20 ppm and 100 ppm (6 h/d, 5 d/wk, 28 d duration) in rats</w:t>
            </w:r>
            <w:r w:rsidR="00390EB7">
              <w:rPr>
                <w:rStyle w:val="checkbox"/>
                <w:rFonts w:ascii="Arial" w:hAnsi="Arial" w:cs="Arial"/>
              </w:rPr>
              <w:t>: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</w:p>
          <w:p w14:paraId="2B1562ED" w14:textId="644D26D5" w:rsidR="00826E8A" w:rsidRDefault="0016491B" w:rsidP="00826E8A">
            <w:pPr>
              <w:pStyle w:val="ListBullet"/>
              <w:numPr>
                <w:ilvl w:val="0"/>
                <w:numId w:val="23"/>
              </w:numPr>
              <w:spacing w:before="60" w:after="60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at 100 ppm, slight </w:t>
            </w:r>
            <w:r w:rsidRPr="00464F97">
              <w:rPr>
                <w:rStyle w:val="checkbox"/>
                <w:rFonts w:ascii="Arial" w:hAnsi="Arial" w:cs="Arial"/>
              </w:rPr>
              <w:t xml:space="preserve">decreased </w:t>
            </w:r>
            <w:r w:rsidR="00464F97" w:rsidRPr="00464F97">
              <w:rPr>
                <w:rStyle w:val="checkbox"/>
                <w:rFonts w:ascii="Arial" w:hAnsi="Arial" w:cs="Arial"/>
              </w:rPr>
              <w:t>b</w:t>
            </w:r>
            <w:r w:rsidR="00464F97" w:rsidRPr="00390EB7">
              <w:rPr>
                <w:rStyle w:val="checkbox"/>
                <w:rFonts w:ascii="Arial" w:hAnsi="Arial" w:cs="Arial"/>
              </w:rPr>
              <w:t>ody weight</w:t>
            </w:r>
            <w:r w:rsidR="00464F97"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>gain in males and increased liver weight in females</w:t>
            </w:r>
            <w:r w:rsidR="00870696">
              <w:rPr>
                <w:rStyle w:val="checkbox"/>
                <w:rFonts w:ascii="Arial" w:hAnsi="Arial" w:cs="Arial"/>
              </w:rPr>
              <w:t xml:space="preserve"> </w:t>
            </w:r>
          </w:p>
          <w:p w14:paraId="63F6CC65" w14:textId="7ED79B62" w:rsidR="00826E8A" w:rsidRDefault="00870696" w:rsidP="00826E8A">
            <w:pPr>
              <w:pStyle w:val="ListBullet"/>
              <w:numPr>
                <w:ilvl w:val="0"/>
                <w:numId w:val="23"/>
              </w:numPr>
              <w:spacing w:before="60" w:after="60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no adverse effects described at 20 ppm </w:t>
            </w:r>
          </w:p>
          <w:p w14:paraId="75FE0237" w14:textId="6E80F2FD" w:rsidR="0016491B" w:rsidRDefault="00870696" w:rsidP="00826E8A">
            <w:pPr>
              <w:pStyle w:val="ListBullet"/>
              <w:numPr>
                <w:ilvl w:val="0"/>
                <w:numId w:val="23"/>
              </w:numPr>
              <w:spacing w:before="60" w:after="60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study in accordance with OECD</w:t>
            </w:r>
          </w:p>
          <w:p w14:paraId="0609C52F" w14:textId="77777777" w:rsidR="00870696" w:rsidRPr="000129B9" w:rsidRDefault="000129B9" w:rsidP="00041954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Positive result </w:t>
            </w:r>
            <w:r>
              <w:t xml:space="preserve">in </w:t>
            </w:r>
            <w:r>
              <w:rPr>
                <w:i/>
              </w:rPr>
              <w:t>in vitro</w:t>
            </w:r>
            <w:r>
              <w:t xml:space="preserve"> mammalian cell </w:t>
            </w:r>
            <w:r w:rsidRPr="00041954">
              <w:rPr>
                <w:rStyle w:val="checkbox"/>
                <w:rFonts w:ascii="Arial" w:hAnsi="Arial" w:cs="Arial"/>
              </w:rPr>
              <w:t>forward</w:t>
            </w:r>
            <w:r>
              <w:t xml:space="preserve"> mutation assay; g</w:t>
            </w:r>
            <w:r w:rsidRPr="000129B9">
              <w:t>enotoxicity</w:t>
            </w:r>
            <w:r>
              <w:t xml:space="preserve"> not observed in all other </w:t>
            </w:r>
            <w:r>
              <w:rPr>
                <w:i/>
              </w:rPr>
              <w:t xml:space="preserve">in </w:t>
            </w:r>
            <w:r w:rsidRPr="00A76726">
              <w:rPr>
                <w:i/>
              </w:rPr>
              <w:t>vitro</w:t>
            </w:r>
            <w:r>
              <w:t xml:space="preserve"> </w:t>
            </w:r>
            <w:r w:rsidRPr="000129B9">
              <w:t>studies</w:t>
            </w:r>
          </w:p>
          <w:p w14:paraId="28C79B4E" w14:textId="2CB438DD" w:rsidR="00220867" w:rsidRPr="00220867" w:rsidRDefault="00220867" w:rsidP="00041954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220867">
              <w:rPr>
                <w:rStyle w:val="checkbox"/>
                <w:rFonts w:ascii="Arial" w:hAnsi="Arial" w:cs="Arial"/>
              </w:rPr>
              <w:t>Negative results for carcinogenicity</w:t>
            </w:r>
            <w:r w:rsidR="009D107E">
              <w:rPr>
                <w:rStyle w:val="checkbox"/>
                <w:rFonts w:ascii="Arial" w:hAnsi="Arial" w:cs="Arial"/>
              </w:rPr>
              <w:t>.</w:t>
            </w:r>
          </w:p>
          <w:p w14:paraId="7185BA02" w14:textId="38E0F705" w:rsidR="000129B9" w:rsidRPr="004C23F4" w:rsidRDefault="00EF3F68" w:rsidP="00041954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NOAEC</w:t>
            </w:r>
            <w:r w:rsidR="00530E73">
              <w:rPr>
                <w:rStyle w:val="checkbox"/>
                <w:rFonts w:ascii="Arial" w:hAnsi="Arial" w:cs="Arial"/>
              </w:rPr>
              <w:t>:</w:t>
            </w:r>
            <w:r>
              <w:rPr>
                <w:rStyle w:val="checkbox"/>
                <w:rFonts w:ascii="Arial" w:hAnsi="Arial" w:cs="Arial"/>
              </w:rPr>
              <w:t xml:space="preserve"> 3 </w:t>
            </w:r>
            <w:r w:rsidR="00C16AF9">
              <w:rPr>
                <w:rStyle w:val="checkbox"/>
                <w:rFonts w:ascii="Arial" w:hAnsi="Arial" w:cs="Arial"/>
              </w:rPr>
              <w:t>mg/m</w:t>
            </w:r>
            <w:r w:rsidR="00C16AF9" w:rsidRPr="00EF3F68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C16AF9">
              <w:rPr>
                <w:rStyle w:val="checkbox"/>
                <w:rFonts w:ascii="Arial" w:hAnsi="Arial" w:cs="Arial"/>
              </w:rPr>
              <w:t xml:space="preserve"> (exposure at 3, 15 or 100 mg/m</w:t>
            </w:r>
            <w:r w:rsidR="00C16AF9" w:rsidRPr="00EF3F68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C16AF9">
              <w:rPr>
                <w:rStyle w:val="checkbox"/>
                <w:rFonts w:ascii="Arial" w:hAnsi="Arial" w:cs="Arial"/>
              </w:rPr>
              <w:t xml:space="preserve"> until </w:t>
            </w:r>
            <w:r w:rsidR="00F05B39">
              <w:rPr>
                <w:rStyle w:val="checkbox"/>
                <w:rFonts w:ascii="Arial" w:hAnsi="Arial" w:cs="Arial"/>
              </w:rPr>
              <w:t>GD</w:t>
            </w:r>
            <w:r w:rsidR="00C16AF9">
              <w:rPr>
                <w:rStyle w:val="checkbox"/>
                <w:rFonts w:ascii="Arial" w:hAnsi="Arial" w:cs="Arial"/>
              </w:rPr>
              <w:t xml:space="preserve"> 21)</w:t>
            </w:r>
            <w:r w:rsidR="00C16AF9">
              <w:rPr>
                <w:rStyle w:val="checkbox"/>
                <w:rFonts w:ascii="Arial" w:hAnsi="Arial" w:cs="Arial"/>
                <w:vertAlign w:val="superscript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>and 71 mg/m</w:t>
            </w:r>
            <w:r w:rsidRPr="00EF3F68"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="00C16AF9">
              <w:rPr>
                <w:rStyle w:val="checkbox"/>
                <w:rFonts w:ascii="Arial" w:hAnsi="Arial" w:cs="Arial"/>
              </w:rPr>
              <w:t>(exposure at 17, 71 and 280</w:t>
            </w:r>
            <w:r w:rsidR="00815351">
              <w:rPr>
                <w:rStyle w:val="checkbox"/>
                <w:rFonts w:ascii="Arial" w:hAnsi="Arial" w:cs="Arial"/>
              </w:rPr>
              <w:t> </w:t>
            </w:r>
            <w:r w:rsidR="00C16AF9">
              <w:rPr>
                <w:rStyle w:val="checkbox"/>
                <w:rFonts w:ascii="Arial" w:hAnsi="Arial" w:cs="Arial"/>
              </w:rPr>
              <w:t>mg/m</w:t>
            </w:r>
            <w:r w:rsidR="00C16AF9" w:rsidRPr="00EF3F68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C16AF9">
              <w:rPr>
                <w:rStyle w:val="checkbox"/>
                <w:rFonts w:ascii="Arial" w:hAnsi="Arial" w:cs="Arial"/>
              </w:rPr>
              <w:t xml:space="preserve">, 6 h/d, during </w:t>
            </w:r>
            <w:r w:rsidR="00F05B39">
              <w:rPr>
                <w:rStyle w:val="checkbox"/>
                <w:rFonts w:ascii="Arial" w:hAnsi="Arial" w:cs="Arial"/>
              </w:rPr>
              <w:t>GD</w:t>
            </w:r>
            <w:r w:rsidR="00C16AF9">
              <w:rPr>
                <w:rStyle w:val="checkbox"/>
                <w:rFonts w:ascii="Arial" w:hAnsi="Arial" w:cs="Arial"/>
              </w:rPr>
              <w:t xml:space="preserve"> 6</w:t>
            </w:r>
            <w:r w:rsidR="00815351">
              <w:rPr>
                <w:rStyle w:val="checkbox"/>
                <w:rFonts w:ascii="Arial" w:hAnsi="Arial" w:cs="Arial"/>
              </w:rPr>
              <w:t>–</w:t>
            </w:r>
            <w:r w:rsidR="00C16AF9">
              <w:rPr>
                <w:rStyle w:val="checkbox"/>
                <w:rFonts w:ascii="Arial" w:hAnsi="Arial" w:cs="Arial"/>
              </w:rPr>
              <w:t xml:space="preserve">15), </w:t>
            </w:r>
            <w:r>
              <w:rPr>
                <w:rStyle w:val="checkbox"/>
                <w:rFonts w:ascii="Arial" w:hAnsi="Arial" w:cs="Arial"/>
              </w:rPr>
              <w:t>for developmental and/or maternal toxicity in rats</w:t>
            </w:r>
            <w:r w:rsidR="006F780B">
              <w:rPr>
                <w:rStyle w:val="checkbox"/>
                <w:rFonts w:ascii="Arial" w:hAnsi="Arial" w:cs="Arial"/>
              </w:rPr>
              <w:t>.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</w:p>
        </w:tc>
      </w:tr>
      <w:tr w:rsidR="004966BF" w:rsidRPr="004C23F4" w14:paraId="129EBD34" w14:textId="77777777" w:rsidTr="00F2492B">
        <w:tc>
          <w:tcPr>
            <w:tcW w:w="1498" w:type="dxa"/>
          </w:tcPr>
          <w:p w14:paraId="429C7731" w14:textId="1573DEEE" w:rsidR="004966BF" w:rsidRPr="004C23F4" w:rsidRDefault="00DE78F6" w:rsidP="00224EE2">
            <w:pPr>
              <w:pStyle w:val="Tablefont"/>
            </w:pPr>
            <w:r w:rsidRPr="00AA4048">
              <w:t>ECHA</w:t>
            </w:r>
          </w:p>
        </w:tc>
        <w:tc>
          <w:tcPr>
            <w:tcW w:w="423" w:type="dxa"/>
          </w:tcPr>
          <w:p w14:paraId="079561B4" w14:textId="5A64D8DC" w:rsidR="004966BF" w:rsidRPr="00CE617F" w:rsidRDefault="00D72527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AA4048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8D1F423" w14:textId="2890F7DF" w:rsidR="004966BF" w:rsidRPr="004C23F4" w:rsidRDefault="00AA4048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44" w:type="dxa"/>
          </w:tcPr>
          <w:p w14:paraId="684A283E" w14:textId="77777777" w:rsidR="00DF20F3" w:rsidRDefault="00DF20F3" w:rsidP="00DF20F3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skin sensitisation observed in workers handling the chemical and no allergic reactions to the chemical amongst 448 patients tested; 2 patch-tested patients found to be hypersensitive following case of allergic contact dermatitis from wearing rubber gloves confirmed to contain piperidine</w:t>
            </w:r>
          </w:p>
          <w:p w14:paraId="1DB3AB64" w14:textId="5157A453" w:rsidR="004966BF" w:rsidRDefault="00B035D1" w:rsidP="00041954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lastRenderedPageBreak/>
              <w:t>Rats exposed at 50</w:t>
            </w:r>
            <w:r w:rsidR="00815351">
              <w:rPr>
                <w:rStyle w:val="checkbox"/>
                <w:rFonts w:ascii="Arial" w:hAnsi="Arial" w:cs="Arial"/>
              </w:rPr>
              <w:t>–</w:t>
            </w:r>
            <w:r>
              <w:rPr>
                <w:rStyle w:val="checkbox"/>
                <w:rFonts w:ascii="Arial" w:hAnsi="Arial" w:cs="Arial"/>
              </w:rPr>
              <w:t>200 ppm for 6 h experienced upper respiratory tract irritation/nasal secretions, eye irritation; no effects at 20 ppm</w:t>
            </w:r>
          </w:p>
          <w:p w14:paraId="1A1FACEA" w14:textId="77777777" w:rsidR="00B035D1" w:rsidRDefault="00680AFB" w:rsidP="00041954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Not sensitising to male and female guinea pigs in dermal sensitisation study</w:t>
            </w:r>
          </w:p>
          <w:p w14:paraId="30F28A3F" w14:textId="05B60D66" w:rsidR="00FD2AE8" w:rsidRDefault="00464F97" w:rsidP="00041954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NOAEL</w:t>
            </w:r>
            <w:r w:rsidR="00530E73">
              <w:rPr>
                <w:rStyle w:val="checkbox"/>
                <w:rFonts w:ascii="Arial" w:hAnsi="Arial" w:cs="Arial"/>
              </w:rPr>
              <w:t>:</w:t>
            </w:r>
            <w:r w:rsidR="00697201">
              <w:rPr>
                <w:rStyle w:val="checkbox"/>
                <w:rFonts w:ascii="Arial" w:hAnsi="Arial" w:cs="Arial"/>
              </w:rPr>
              <w:t xml:space="preserve"> 80 mg/kg</w:t>
            </w:r>
            <w:r w:rsidRPr="00464F97">
              <w:rPr>
                <w:rStyle w:val="checkbox"/>
                <w:rFonts w:ascii="Arial" w:hAnsi="Arial" w:cs="Arial"/>
              </w:rPr>
              <w:t>/</w:t>
            </w:r>
            <w:r w:rsidRPr="00FB6C70">
              <w:rPr>
                <w:rStyle w:val="checkbox"/>
                <w:rFonts w:ascii="Arial" w:hAnsi="Arial" w:cs="Arial"/>
              </w:rPr>
              <w:t>d</w:t>
            </w:r>
            <w:r w:rsidR="00697201">
              <w:rPr>
                <w:rStyle w:val="checkbox"/>
                <w:rFonts w:ascii="Arial" w:hAnsi="Arial" w:cs="Arial"/>
              </w:rPr>
              <w:t xml:space="preserve"> (male and female rats, 90 d feeding study), </w:t>
            </w:r>
            <w:r w:rsidR="00530E73">
              <w:rPr>
                <w:rStyle w:val="checkbox"/>
                <w:rFonts w:ascii="Arial" w:hAnsi="Arial" w:cs="Arial"/>
              </w:rPr>
              <w:t xml:space="preserve">based on reduced </w:t>
            </w:r>
            <w:r w:rsidRPr="00327448">
              <w:rPr>
                <w:rStyle w:val="checkbox"/>
                <w:rFonts w:ascii="Arial" w:hAnsi="Arial" w:cs="Arial"/>
              </w:rPr>
              <w:t>body weight</w:t>
            </w:r>
            <w:r w:rsidR="00530E73">
              <w:rPr>
                <w:rStyle w:val="checkbox"/>
                <w:rFonts w:ascii="Arial" w:hAnsi="Arial" w:cs="Arial"/>
              </w:rPr>
              <w:t xml:space="preserve">, </w:t>
            </w:r>
            <w:r w:rsidR="00697201">
              <w:rPr>
                <w:rStyle w:val="checkbox"/>
                <w:rFonts w:ascii="Arial" w:hAnsi="Arial" w:cs="Arial"/>
              </w:rPr>
              <w:t xml:space="preserve">doses at </w:t>
            </w:r>
            <w:r w:rsidR="00530E73">
              <w:rPr>
                <w:rStyle w:val="checkbox"/>
                <w:rFonts w:ascii="Arial" w:hAnsi="Arial" w:cs="Arial"/>
              </w:rPr>
              <w:t xml:space="preserve">0, </w:t>
            </w:r>
            <w:r w:rsidR="00697201">
              <w:rPr>
                <w:rStyle w:val="checkbox"/>
                <w:rFonts w:ascii="Arial" w:hAnsi="Arial" w:cs="Arial"/>
              </w:rPr>
              <w:t>80, 160 and 310 mg/k</w:t>
            </w:r>
            <w:r w:rsidR="00697201" w:rsidRPr="00464F97">
              <w:rPr>
                <w:rStyle w:val="checkbox"/>
                <w:rFonts w:ascii="Arial" w:hAnsi="Arial" w:cs="Arial"/>
              </w:rPr>
              <w:t>g</w:t>
            </w:r>
            <w:r w:rsidRPr="00464F97">
              <w:rPr>
                <w:rStyle w:val="checkbox"/>
                <w:rFonts w:ascii="Arial" w:hAnsi="Arial" w:cs="Arial"/>
              </w:rPr>
              <w:t>/</w:t>
            </w:r>
            <w:r w:rsidRPr="00FB6C70">
              <w:rPr>
                <w:rStyle w:val="checkbox"/>
                <w:rFonts w:ascii="Arial" w:hAnsi="Arial" w:cs="Arial"/>
              </w:rPr>
              <w:t>d</w:t>
            </w:r>
          </w:p>
          <w:p w14:paraId="37BD4B78" w14:textId="7AFA8C03" w:rsidR="00A76726" w:rsidRDefault="00FD2AE8" w:rsidP="00041954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NOAEC of 20 ppm (70 mg/m</w:t>
            </w:r>
            <w:r w:rsidRPr="00FD2AE8"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>) from 28</w:t>
            </w:r>
            <w:r w:rsidR="00815351"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>d rat study (cited in NICNAS, 2016) selected as POD for derivation of DNEL</w:t>
            </w:r>
            <w:r w:rsidR="00A76726">
              <w:rPr>
                <w:rStyle w:val="checkbox"/>
                <w:rFonts w:ascii="Arial" w:hAnsi="Arial" w:cs="Arial"/>
              </w:rPr>
              <w:t>; resulting DNEL following application of AFs was 7.05 mg/m</w:t>
            </w:r>
            <w:r w:rsidR="00A76726" w:rsidRPr="00A76726">
              <w:rPr>
                <w:rStyle w:val="checkbox"/>
                <w:rFonts w:ascii="Arial" w:hAnsi="Arial" w:cs="Arial"/>
                <w:vertAlign w:val="superscript"/>
              </w:rPr>
              <w:t>3</w:t>
            </w:r>
          </w:p>
          <w:p w14:paraId="798F8999" w14:textId="4E9FB6FC" w:rsidR="00680AFB" w:rsidRPr="004C23F4" w:rsidRDefault="00A76726" w:rsidP="00041954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Not mutagenic in </w:t>
            </w:r>
            <w:r>
              <w:rPr>
                <w:rStyle w:val="checkbox"/>
                <w:rFonts w:ascii="Arial" w:hAnsi="Arial" w:cs="Arial"/>
                <w:i/>
              </w:rPr>
              <w:t xml:space="preserve">in vivo </w:t>
            </w:r>
            <w:r>
              <w:rPr>
                <w:rStyle w:val="checkbox"/>
                <w:rFonts w:ascii="Arial" w:hAnsi="Arial" w:cs="Arial"/>
              </w:rPr>
              <w:t>studies.</w:t>
            </w:r>
          </w:p>
        </w:tc>
      </w:tr>
    </w:tbl>
    <w:bookmarkEnd w:id="1"/>
    <w:p w14:paraId="7B2CEF38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450D3E2F" w14:textId="77777777" w:rsidTr="006F780B">
        <w:trPr>
          <w:trHeight w:val="454"/>
          <w:tblHeader/>
        </w:trPr>
        <w:tc>
          <w:tcPr>
            <w:tcW w:w="6603" w:type="dxa"/>
            <w:vAlign w:val="center"/>
          </w:tcPr>
          <w:p w14:paraId="05E21E86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4EB9B2CD" w14:textId="354FEEF7" w:rsidR="002E0D61" w:rsidRDefault="00A76726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5B5AFEB" w14:textId="77777777" w:rsidTr="006F780B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2B1BC43D" w14:textId="63035395" w:rsidR="008A36CF" w:rsidRPr="006901A2" w:rsidRDefault="00A76726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634413BA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5B42B92C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48355D6E" w14:textId="77777777" w:rsidTr="00F24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29C6BE34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487B95F9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1FD2E528" w14:textId="77777777" w:rsidTr="00F2492B">
        <w:trPr>
          <w:cantSplit/>
        </w:trPr>
        <w:tc>
          <w:tcPr>
            <w:tcW w:w="3227" w:type="dxa"/>
          </w:tcPr>
          <w:p w14:paraId="424E14FC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4887E116" w14:textId="54AF9E25" w:rsidR="00687890" w:rsidRPr="00DD2F9B" w:rsidRDefault="00C67848" w:rsidP="00DD2F9B">
            <w:pPr>
              <w:pStyle w:val="Tablefont"/>
            </w:pPr>
            <w:r w:rsidRPr="00C67848">
              <w:t>Skin</w:t>
            </w:r>
          </w:p>
        </w:tc>
      </w:tr>
      <w:tr w:rsidR="007925F0" w:rsidRPr="004C23F4" w14:paraId="0E4EC80D" w14:textId="77777777" w:rsidTr="00F2492B">
        <w:trPr>
          <w:cantSplit/>
        </w:trPr>
        <w:tc>
          <w:tcPr>
            <w:tcW w:w="3227" w:type="dxa"/>
          </w:tcPr>
          <w:p w14:paraId="78ADF30A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451B9B9" w14:textId="1E67532C" w:rsidR="007925F0" w:rsidRPr="00DD2F9B" w:rsidRDefault="00C67848" w:rsidP="00DD2F9B">
            <w:pPr>
              <w:pStyle w:val="Tablefont"/>
            </w:pPr>
            <w:r w:rsidRPr="00C67848">
              <w:t>—</w:t>
            </w:r>
          </w:p>
        </w:tc>
      </w:tr>
      <w:tr w:rsidR="00AF483F" w:rsidRPr="004C23F4" w14:paraId="1BE483E9" w14:textId="77777777" w:rsidTr="00F2492B">
        <w:trPr>
          <w:cantSplit/>
        </w:trPr>
        <w:tc>
          <w:tcPr>
            <w:tcW w:w="3227" w:type="dxa"/>
          </w:tcPr>
          <w:p w14:paraId="7F5D4607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38547A4C" w14:textId="0DFF540E" w:rsidR="00AF483F" w:rsidRPr="00DD2F9B" w:rsidRDefault="00C67848" w:rsidP="00DD2F9B">
            <w:pPr>
              <w:pStyle w:val="Tablefont"/>
            </w:pPr>
            <w:r>
              <w:t>Skin</w:t>
            </w:r>
          </w:p>
        </w:tc>
      </w:tr>
      <w:tr w:rsidR="00687890" w:rsidRPr="004C23F4" w14:paraId="1596A1A0" w14:textId="77777777" w:rsidTr="00F2492B">
        <w:trPr>
          <w:cantSplit/>
        </w:trPr>
        <w:tc>
          <w:tcPr>
            <w:tcW w:w="3227" w:type="dxa"/>
          </w:tcPr>
          <w:p w14:paraId="28A5545E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69A26201" w14:textId="67096696" w:rsidR="00687890" w:rsidRPr="00DD2F9B" w:rsidRDefault="00C67848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39F5E2B1" w14:textId="77777777" w:rsidTr="00F2492B">
        <w:trPr>
          <w:cantSplit/>
        </w:trPr>
        <w:tc>
          <w:tcPr>
            <w:tcW w:w="3227" w:type="dxa"/>
          </w:tcPr>
          <w:p w14:paraId="4EC321C2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2EF2F6E1" w14:textId="327B9A02" w:rsidR="00E41A26" w:rsidRPr="00DD2F9B" w:rsidRDefault="00C67848" w:rsidP="00DD2F9B">
            <w:pPr>
              <w:pStyle w:val="Tablefont"/>
            </w:pPr>
            <w:r w:rsidRPr="00C67848">
              <w:t>—</w:t>
            </w:r>
          </w:p>
        </w:tc>
      </w:tr>
      <w:tr w:rsidR="002E0D61" w:rsidRPr="004C23F4" w14:paraId="4ADCA69D" w14:textId="77777777" w:rsidTr="00F2492B">
        <w:trPr>
          <w:cantSplit/>
        </w:trPr>
        <w:tc>
          <w:tcPr>
            <w:tcW w:w="3227" w:type="dxa"/>
          </w:tcPr>
          <w:p w14:paraId="290668AF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75EAC6E1" w14:textId="6D364DAF" w:rsidR="002E0D61" w:rsidRPr="00DD2F9B" w:rsidRDefault="00C6784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D729321" w14:textId="77777777" w:rsidTr="00F2492B">
        <w:trPr>
          <w:cantSplit/>
        </w:trPr>
        <w:tc>
          <w:tcPr>
            <w:tcW w:w="3227" w:type="dxa"/>
          </w:tcPr>
          <w:p w14:paraId="0DF0BF10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67DE7D1C" w14:textId="53BA0AAA" w:rsidR="002E0D61" w:rsidRPr="00DD2F9B" w:rsidRDefault="00C6784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822CE2B" w14:textId="77777777" w:rsidTr="00F2492B">
        <w:trPr>
          <w:cantSplit/>
        </w:trPr>
        <w:tc>
          <w:tcPr>
            <w:tcW w:w="3227" w:type="dxa"/>
          </w:tcPr>
          <w:p w14:paraId="0F8351C7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BE4EB47" w14:textId="59A1327E" w:rsidR="002E0D61" w:rsidRPr="00DD2F9B" w:rsidRDefault="00C6784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037A3A1" w14:textId="77777777" w:rsidTr="00F2492B">
        <w:trPr>
          <w:cantSplit/>
        </w:trPr>
        <w:tc>
          <w:tcPr>
            <w:tcW w:w="3227" w:type="dxa"/>
          </w:tcPr>
          <w:p w14:paraId="4A4C3D7C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69DF8D2B" w14:textId="0121B9B0" w:rsidR="002E0D61" w:rsidRPr="00DD2F9B" w:rsidRDefault="00C67848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08035642" w14:textId="77777777" w:rsidTr="00F2492B">
        <w:trPr>
          <w:cantSplit/>
        </w:trPr>
        <w:tc>
          <w:tcPr>
            <w:tcW w:w="3227" w:type="dxa"/>
          </w:tcPr>
          <w:p w14:paraId="318D3EBE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12ACBE0B" w14:textId="09FDA6F7" w:rsidR="00386093" w:rsidRPr="00DD2F9B" w:rsidRDefault="00C67848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7E51806" w14:textId="77777777" w:rsidTr="00F2492B">
        <w:trPr>
          <w:cantSplit/>
        </w:trPr>
        <w:tc>
          <w:tcPr>
            <w:tcW w:w="3227" w:type="dxa"/>
          </w:tcPr>
          <w:p w14:paraId="0310E68A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3A68F754" w14:textId="07C3B32C" w:rsidR="00386093" w:rsidRPr="00DD2F9B" w:rsidRDefault="00C67848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5AD78C19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5C38EC97" w14:textId="77777777" w:rsidR="003F0859" w:rsidRDefault="003F0859" w:rsidP="00474E33">
      <w:pPr>
        <w:pStyle w:val="Heading3"/>
      </w:pPr>
    </w:p>
    <w:p w14:paraId="3F1C9070" w14:textId="77777777" w:rsidR="003F0859" w:rsidRDefault="003F0859" w:rsidP="00474E33">
      <w:pPr>
        <w:pStyle w:val="Heading3"/>
      </w:pPr>
    </w:p>
    <w:p w14:paraId="1A2686D5" w14:textId="0ED93D9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0E29720B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30F547F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3530"/>
        <w:gridCol w:w="1202"/>
        <w:gridCol w:w="1202"/>
        <w:gridCol w:w="3092"/>
      </w:tblGrid>
      <w:tr w:rsidR="00680AFB" w:rsidRPr="00680AFB" w14:paraId="5F444629" w14:textId="77777777" w:rsidTr="00680AFB">
        <w:trPr>
          <w:trHeight w:val="342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bookmarkEnd w:id="4"/>
          <w:p w14:paraId="6E28146B" w14:textId="77777777" w:rsidR="00680AFB" w:rsidRPr="00680AFB" w:rsidRDefault="00680AFB" w:rsidP="00680AF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680A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Adverse effects in human case study: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2A44FC6" w14:textId="77777777" w:rsidR="00680AFB" w:rsidRPr="00680AFB" w:rsidRDefault="00680AFB" w:rsidP="00680A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680A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4951EFE" w14:textId="77777777" w:rsidR="00680AFB" w:rsidRPr="00680AFB" w:rsidRDefault="00680AFB" w:rsidP="00680AFB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680AFB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7D2DBBA" w14:textId="77777777" w:rsidR="00680AFB" w:rsidRPr="00680AFB" w:rsidRDefault="00680AFB" w:rsidP="00680A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680A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80AFB" w:rsidRPr="00680AFB" w14:paraId="19224305" w14:textId="77777777" w:rsidTr="00680AFB">
        <w:trPr>
          <w:trHeight w:val="342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94479B2" w14:textId="77777777" w:rsidR="00680AFB" w:rsidRPr="00680AFB" w:rsidRDefault="00680AFB" w:rsidP="00680AF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680A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Dermal LD</w:t>
            </w:r>
            <w:r w:rsidRPr="00680AFB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bscript"/>
                <w:lang w:eastAsia="en-AU"/>
              </w:rPr>
              <w:t>50</w:t>
            </w:r>
            <w:r w:rsidRPr="00680A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 xml:space="preserve"> ≤1000 mg/kg: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center"/>
            <w:hideMark/>
          </w:tcPr>
          <w:p w14:paraId="32FD8399" w14:textId="77777777" w:rsidR="00680AFB" w:rsidRPr="00680AFB" w:rsidRDefault="00680AFB" w:rsidP="00680A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9C6500"/>
                <w:sz w:val="18"/>
                <w:szCs w:val="18"/>
                <w:lang w:eastAsia="en-AU"/>
              </w:rPr>
            </w:pPr>
            <w:r w:rsidRPr="00680AFB">
              <w:rPr>
                <w:rFonts w:ascii="Segoe UI" w:eastAsia="Times New Roman" w:hAnsi="Segoe UI" w:cs="Segoe UI"/>
                <w:color w:val="9C65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2AE4791" w14:textId="77777777" w:rsidR="00680AFB" w:rsidRPr="00680AFB" w:rsidRDefault="00680AFB" w:rsidP="00680AF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680AFB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3.00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2FC6E5A" w14:textId="77777777" w:rsidR="00680AFB" w:rsidRPr="00680AFB" w:rsidRDefault="00680AFB" w:rsidP="00680A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680A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80AFB" w:rsidRPr="00680AFB" w14:paraId="35B71AAA" w14:textId="77777777" w:rsidTr="00680AFB">
        <w:trPr>
          <w:trHeight w:val="342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271E5DD" w14:textId="77777777" w:rsidR="00680AFB" w:rsidRPr="00680AFB" w:rsidRDefault="00680AFB" w:rsidP="00680AF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680A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lastRenderedPageBreak/>
              <w:t>Dermal repeat-dose NOAEL ≤200 mg/kg: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68C4153" w14:textId="77777777" w:rsidR="00680AFB" w:rsidRPr="00680AFB" w:rsidRDefault="00680AFB" w:rsidP="00680A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680A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DB2F885" w14:textId="77777777" w:rsidR="00680AFB" w:rsidRPr="00680AFB" w:rsidRDefault="00680AFB" w:rsidP="00680AFB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680AFB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5F511C2" w14:textId="77777777" w:rsidR="00680AFB" w:rsidRPr="00680AFB" w:rsidRDefault="00680AFB" w:rsidP="00680A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680A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80AFB" w:rsidRPr="00680AFB" w14:paraId="6BB4954E" w14:textId="77777777" w:rsidTr="00680AFB">
        <w:trPr>
          <w:trHeight w:val="342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C86C7C5" w14:textId="77777777" w:rsidR="00680AFB" w:rsidRPr="00680AFB" w:rsidRDefault="00680AFB" w:rsidP="00680AF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680A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Dermal LD</w:t>
            </w:r>
            <w:r w:rsidRPr="00680AFB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bscript"/>
                <w:lang w:eastAsia="en-AU"/>
              </w:rPr>
              <w:t>50</w:t>
            </w:r>
            <w:r w:rsidRPr="00680A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/Inhalation LD</w:t>
            </w:r>
            <w:r w:rsidRPr="00680AFB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bscript"/>
                <w:lang w:eastAsia="en-AU"/>
              </w:rPr>
              <w:t>50</w:t>
            </w:r>
            <w:r w:rsidRPr="00680A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 xml:space="preserve"> &lt;10: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9AAAC80" w14:textId="77777777" w:rsidR="00680AFB" w:rsidRPr="00680AFB" w:rsidRDefault="00680AFB" w:rsidP="00680A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680A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3A8A5D5" w14:textId="77777777" w:rsidR="00680AFB" w:rsidRPr="00680AFB" w:rsidRDefault="00680AFB" w:rsidP="00680AFB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680AFB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7EEB579" w14:textId="77777777" w:rsidR="00680AFB" w:rsidRPr="00680AFB" w:rsidRDefault="00680AFB" w:rsidP="00680A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680A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80AFB" w:rsidRPr="00680AFB" w14:paraId="65C5225F" w14:textId="77777777" w:rsidTr="00680AFB">
        <w:trPr>
          <w:trHeight w:val="342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9D0D3F1" w14:textId="77777777" w:rsidR="00680AFB" w:rsidRPr="00680AFB" w:rsidRDefault="00680AFB" w:rsidP="00680AF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680AFB">
              <w:rPr>
                <w:rFonts w:ascii="Segoe UI" w:eastAsia="Times New Roman" w:hAnsi="Segoe UI" w:cs="Segoe UI"/>
                <w:i/>
                <w:iCs/>
                <w:color w:val="000000"/>
                <w:sz w:val="18"/>
                <w:szCs w:val="18"/>
                <w:lang w:eastAsia="en-AU"/>
              </w:rPr>
              <w:t>In vivo</w:t>
            </w:r>
            <w:r w:rsidRPr="00680A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 xml:space="preserve"> dermal absorption rate &gt;10%: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B5F68BE" w14:textId="77777777" w:rsidR="00680AFB" w:rsidRPr="00680AFB" w:rsidRDefault="00680AFB" w:rsidP="00680A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680A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642109A" w14:textId="77777777" w:rsidR="00680AFB" w:rsidRPr="00680AFB" w:rsidRDefault="00680AFB" w:rsidP="00680AFB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680AFB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F8393AD" w14:textId="77777777" w:rsidR="00680AFB" w:rsidRPr="00680AFB" w:rsidRDefault="00680AFB" w:rsidP="00680A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680A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80AFB" w:rsidRPr="00680AFB" w14:paraId="6BC30A11" w14:textId="77777777" w:rsidTr="00680AFB">
        <w:trPr>
          <w:trHeight w:val="342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6C47E23" w14:textId="77777777" w:rsidR="00680AFB" w:rsidRPr="00680AFB" w:rsidRDefault="00680AFB" w:rsidP="00680AF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680A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Estimated dermal exposure at WES &gt;10%: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B27E692" w14:textId="77777777" w:rsidR="00680AFB" w:rsidRPr="00680AFB" w:rsidRDefault="00680AFB" w:rsidP="00680A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680A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4C5516B" w14:textId="77777777" w:rsidR="00680AFB" w:rsidRPr="00680AFB" w:rsidRDefault="00680AFB" w:rsidP="00680AFB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680AFB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0D162AB" w14:textId="77777777" w:rsidR="00680AFB" w:rsidRPr="00680AFB" w:rsidRDefault="00680AFB" w:rsidP="00680A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680A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80AFB" w:rsidRPr="00680AFB" w14:paraId="1CB03881" w14:textId="77777777" w:rsidTr="00680AFB">
        <w:trPr>
          <w:trHeight w:val="342"/>
        </w:trPr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466271C" w14:textId="77777777" w:rsidR="00680AFB" w:rsidRPr="00680AFB" w:rsidRDefault="00680AFB" w:rsidP="00680AF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680A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DF73D9B" w14:textId="77777777" w:rsidR="00680AFB" w:rsidRPr="00680AFB" w:rsidRDefault="00680AFB" w:rsidP="00680A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680A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1033462" w14:textId="77777777" w:rsidR="00680AFB" w:rsidRPr="00680AFB" w:rsidRDefault="00680AFB" w:rsidP="00680AF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680AFB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713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2FD5B9C" w14:textId="77777777" w:rsidR="00680AFB" w:rsidRPr="00680AFB" w:rsidRDefault="00680AFB" w:rsidP="00680AF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680AFB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  <w:t>consider assigning a skin notation</w:t>
            </w:r>
          </w:p>
        </w:tc>
      </w:tr>
    </w:tbl>
    <w:p w14:paraId="4CB3FA21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4BA7F687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2F8F9836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2CF0963" w14:textId="6B3994E1" w:rsidR="00EB3D1B" w:rsidRDefault="00C67848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05A9718A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6125665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0755C1A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15B284A" w14:textId="5668766B" w:rsidR="001B79E5" w:rsidRDefault="00C67848" w:rsidP="001B79E5">
                <w:pPr>
                  <w:pStyle w:val="Tablefont"/>
                </w:pPr>
                <w:r w:rsidRPr="00C67848">
                  <w:t>85.15</w:t>
                </w:r>
              </w:p>
            </w:tc>
          </w:sdtContent>
        </w:sdt>
      </w:tr>
      <w:tr w:rsidR="00A31D99" w:rsidRPr="004C23F4" w14:paraId="06AB5D8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2D4E290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6C0493EA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219A68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7302F67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E976C12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66F51D8" w14:textId="77777777" w:rsidTr="00EA6243">
        <w:trPr>
          <w:cantSplit/>
        </w:trPr>
        <w:tc>
          <w:tcPr>
            <w:tcW w:w="4077" w:type="dxa"/>
            <w:vAlign w:val="center"/>
          </w:tcPr>
          <w:p w14:paraId="0D15BD5E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60E8775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8E823E7" w14:textId="77777777" w:rsidTr="00EA6243">
        <w:trPr>
          <w:cantSplit/>
        </w:trPr>
        <w:tc>
          <w:tcPr>
            <w:tcW w:w="4077" w:type="dxa"/>
            <w:vAlign w:val="center"/>
          </w:tcPr>
          <w:p w14:paraId="37A3AA1B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CC19119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1184BD28" w14:textId="77777777" w:rsidTr="00EA6243">
        <w:trPr>
          <w:cantSplit/>
        </w:trPr>
        <w:tc>
          <w:tcPr>
            <w:tcW w:w="4077" w:type="dxa"/>
            <w:vAlign w:val="center"/>
          </w:tcPr>
          <w:p w14:paraId="0CB63B20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606E4CF" w14:textId="77777777" w:rsidR="00E06F40" w:rsidRPr="00A006A0" w:rsidRDefault="00D72527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2C5966D9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26C512C1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7CCB58F6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020D62C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74A3741F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16D3580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5AA62F8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3DAAB3A9" w14:textId="77777777" w:rsidR="00F87D92" w:rsidRDefault="00F87D92" w:rsidP="00815351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4BBD9811" w14:textId="3E0C7913" w:rsidR="00C67848" w:rsidRDefault="00C67848" w:rsidP="00041954">
      <w:pPr>
        <w:keepNext/>
      </w:pPr>
      <w:r>
        <w:t>European Chemicals Agency (ECHA) (2019) Piperidine – REACH assessment.</w:t>
      </w:r>
    </w:p>
    <w:p w14:paraId="70B320C1" w14:textId="65F3A709" w:rsidR="00C67848" w:rsidRDefault="00C67848" w:rsidP="00041954">
      <w:pPr>
        <w:keepNext/>
      </w:pPr>
      <w:r>
        <w:t>National Industrial Chemicals Notification and Assessment Scheme (NICNAS) (</w:t>
      </w:r>
      <w:r w:rsidRPr="00C67848">
        <w:t>2016</w:t>
      </w:r>
      <w:r>
        <w:t xml:space="preserve">) </w:t>
      </w:r>
      <w:r w:rsidRPr="00C67848">
        <w:t>Piperidine</w:t>
      </w:r>
      <w:r>
        <w:t xml:space="preserve">: Human health </w:t>
      </w:r>
      <w:r w:rsidRPr="00C67848">
        <w:t>tier II</w:t>
      </w:r>
      <w:r>
        <w:t xml:space="preserve"> assessment – IMAP report.</w:t>
      </w:r>
    </w:p>
    <w:p w14:paraId="2CDEED9C" w14:textId="218BD607" w:rsidR="00C67848" w:rsidRDefault="00C67848">
      <w:pPr>
        <w:keepNext/>
      </w:pPr>
      <w:r>
        <w:t>Occupational Alliance for Risk Science (OARS)</w:t>
      </w:r>
      <w:r w:rsidR="003F0859">
        <w:t xml:space="preserve"> / </w:t>
      </w:r>
      <w:r w:rsidR="003F0859" w:rsidRPr="005B6D8C">
        <w:t xml:space="preserve">American Industrial Hygiene Association (AIHA) </w:t>
      </w:r>
      <w:r>
        <w:t>(</w:t>
      </w:r>
      <w:r w:rsidRPr="00C67848">
        <w:t>1996</w:t>
      </w:r>
      <w:r>
        <w:t xml:space="preserve">) Workplace environmental exposure level – </w:t>
      </w:r>
      <w:r w:rsidRPr="00C67848">
        <w:t>Piperidine</w:t>
      </w:r>
      <w:r>
        <w:t>.</w:t>
      </w:r>
    </w:p>
    <w:p w14:paraId="2D13AD6A" w14:textId="4A22E42F" w:rsidR="00F05B39" w:rsidRDefault="003F0859" w:rsidP="00041954">
      <w:pPr>
        <w:keepNext/>
      </w:pPr>
      <w:r>
        <w:t>UK Health and Safety Executive (HSE) (2003) Piperidine</w:t>
      </w:r>
      <w:r w:rsidRPr="00262278">
        <w:rPr>
          <w:color w:val="00B050"/>
        </w:rPr>
        <w:t xml:space="preserve"> </w:t>
      </w:r>
      <w:r>
        <w:t>– EH64: Summary criteria for occupational exposure limits.</w:t>
      </w:r>
    </w:p>
    <w:p w14:paraId="089BB238" w14:textId="77777777" w:rsidR="00C67848" w:rsidRPr="00351FE0" w:rsidRDefault="00C67848" w:rsidP="00084859"/>
    <w:sectPr w:rsidR="00C67848" w:rsidRPr="00351FE0" w:rsidSect="00041954">
      <w:headerReference w:type="default" r:id="rId17"/>
      <w:pgSz w:w="11906" w:h="16838"/>
      <w:pgMar w:top="1440" w:right="1440" w:bottom="851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F2C27" w14:textId="77777777" w:rsidR="0015265F" w:rsidRDefault="0015265F" w:rsidP="00F43AD5">
      <w:pPr>
        <w:spacing w:after="0" w:line="240" w:lineRule="auto"/>
      </w:pPr>
      <w:r>
        <w:separator/>
      </w:r>
    </w:p>
  </w:endnote>
  <w:endnote w:type="continuationSeparator" w:id="0">
    <w:p w14:paraId="22633F8A" w14:textId="77777777" w:rsidR="0015265F" w:rsidRDefault="0015265F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EC4AE" w14:textId="77777777" w:rsidR="006D51ED" w:rsidRDefault="006D5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02DF7C6" w14:textId="7BB17B9F" w:rsidR="008A36CF" w:rsidRDefault="00F9209F" w:rsidP="0034744C">
        <w:pPr>
          <w:pStyle w:val="Footer"/>
          <w:rPr>
            <w:sz w:val="18"/>
            <w:szCs w:val="18"/>
          </w:rPr>
        </w:pPr>
        <w:r w:rsidRPr="00F9209F">
          <w:rPr>
            <w:b/>
            <w:sz w:val="18"/>
            <w:szCs w:val="18"/>
          </w:rPr>
          <w:t>Piperidine</w:t>
        </w:r>
        <w:r w:rsidR="008A36CF">
          <w:rPr>
            <w:b/>
            <w:sz w:val="18"/>
            <w:szCs w:val="18"/>
          </w:rPr>
          <w:t xml:space="preserve"> (</w:t>
        </w:r>
        <w:r w:rsidRPr="00F9209F">
          <w:rPr>
            <w:b/>
            <w:sz w:val="18"/>
            <w:szCs w:val="18"/>
          </w:rPr>
          <w:t>110-89-4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</w:t>
        </w:r>
        <w:r w:rsidR="00612462" w:rsidRPr="00F43AD5">
          <w:rPr>
            <w:sz w:val="18"/>
            <w:szCs w:val="18"/>
          </w:rPr>
          <w:t>20</w:t>
        </w:r>
        <w:r w:rsidR="00612462">
          <w:rPr>
            <w:sz w:val="18"/>
            <w:szCs w:val="18"/>
          </w:rPr>
          <w:t>20</w:t>
        </w:r>
      </w:p>
      <w:p w14:paraId="6E873647" w14:textId="79D17E82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525D89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1BD2B" w14:textId="77777777" w:rsidR="006D51ED" w:rsidRDefault="006D5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B6586" w14:textId="77777777" w:rsidR="0015265F" w:rsidRDefault="0015265F" w:rsidP="00F43AD5">
      <w:pPr>
        <w:spacing w:after="0" w:line="240" w:lineRule="auto"/>
      </w:pPr>
      <w:r>
        <w:separator/>
      </w:r>
    </w:p>
  </w:footnote>
  <w:footnote w:type="continuationSeparator" w:id="0">
    <w:p w14:paraId="702D64DE" w14:textId="77777777" w:rsidR="0015265F" w:rsidRDefault="0015265F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C9E49" w14:textId="77777777" w:rsidR="006D51ED" w:rsidRDefault="006D5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0D8A4" w14:textId="4253932D" w:rsidR="008A36CF" w:rsidRPr="00D72527" w:rsidRDefault="00D72527" w:rsidP="00D72527">
    <w:pPr>
      <w:pStyle w:val="Header"/>
      <w:jc w:val="right"/>
    </w:pPr>
    <w:r>
      <w:pict w14:anchorId="5F0B90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10243" type="#_x0000_t136" style="position:absolute;left:0;text-align:left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59A65DB8" wp14:editId="4E007039">
          <wp:extent cx="2943225" cy="590550"/>
          <wp:effectExtent l="0" t="0" r="0" b="0"/>
          <wp:docPr id="2" name="Picture 2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19C5" w14:textId="77777777" w:rsidR="006D51ED" w:rsidRDefault="006D51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EF001" w14:textId="485D2394" w:rsidR="001D4DAD" w:rsidRDefault="00D72527" w:rsidP="001D4DAD">
    <w:pPr>
      <w:pStyle w:val="Header"/>
      <w:jc w:val="right"/>
    </w:pPr>
    <w:r>
      <w:pict w14:anchorId="354382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42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1D4DAD">
      <w:rPr>
        <w:noProof/>
        <w:lang w:eastAsia="en-AU"/>
      </w:rPr>
      <w:drawing>
        <wp:inline distT="0" distB="0" distL="0" distR="0" wp14:anchorId="7A0337C1" wp14:editId="356A4170">
          <wp:extent cx="2943225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3DF7EB" w14:textId="77777777" w:rsidR="008A36CF" w:rsidRDefault="008A36CF" w:rsidP="001D4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5962A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C80F1D"/>
    <w:multiLevelType w:val="hybridMultilevel"/>
    <w:tmpl w:val="E08E6770"/>
    <w:lvl w:ilvl="0" w:tplc="04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5FAA4B65"/>
    <w:multiLevelType w:val="hybridMultilevel"/>
    <w:tmpl w:val="335CBC4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A797CB5"/>
    <w:multiLevelType w:val="hybridMultilevel"/>
    <w:tmpl w:val="198A1F22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2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29B9"/>
    <w:rsid w:val="00013A22"/>
    <w:rsid w:val="00014C3F"/>
    <w:rsid w:val="00017C82"/>
    <w:rsid w:val="00024DAF"/>
    <w:rsid w:val="00032B88"/>
    <w:rsid w:val="00033CA9"/>
    <w:rsid w:val="00041954"/>
    <w:rsid w:val="00046DF5"/>
    <w:rsid w:val="00050851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35684"/>
    <w:rsid w:val="00140E6A"/>
    <w:rsid w:val="00141D76"/>
    <w:rsid w:val="00146545"/>
    <w:rsid w:val="00146B75"/>
    <w:rsid w:val="0015265F"/>
    <w:rsid w:val="0015266D"/>
    <w:rsid w:val="0015288A"/>
    <w:rsid w:val="00160F47"/>
    <w:rsid w:val="0016491B"/>
    <w:rsid w:val="00177CA1"/>
    <w:rsid w:val="00183823"/>
    <w:rsid w:val="00183942"/>
    <w:rsid w:val="0019469F"/>
    <w:rsid w:val="00195DF1"/>
    <w:rsid w:val="001A009E"/>
    <w:rsid w:val="001A1287"/>
    <w:rsid w:val="001A3859"/>
    <w:rsid w:val="001A3C9D"/>
    <w:rsid w:val="001A43F8"/>
    <w:rsid w:val="001B79E5"/>
    <w:rsid w:val="001C26BC"/>
    <w:rsid w:val="001C7360"/>
    <w:rsid w:val="001D4DAD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0867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B5E33"/>
    <w:rsid w:val="002B7F9C"/>
    <w:rsid w:val="002C34F2"/>
    <w:rsid w:val="002C58FF"/>
    <w:rsid w:val="002C7AFE"/>
    <w:rsid w:val="002D05D2"/>
    <w:rsid w:val="002E0D61"/>
    <w:rsid w:val="002E4C7B"/>
    <w:rsid w:val="003061E7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0EB7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3F0859"/>
    <w:rsid w:val="004030BC"/>
    <w:rsid w:val="00403F7D"/>
    <w:rsid w:val="00406785"/>
    <w:rsid w:val="004079B4"/>
    <w:rsid w:val="00411931"/>
    <w:rsid w:val="00417A56"/>
    <w:rsid w:val="00420957"/>
    <w:rsid w:val="00422A10"/>
    <w:rsid w:val="0042376E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64F97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C73BD"/>
    <w:rsid w:val="004D16A3"/>
    <w:rsid w:val="004D4AA1"/>
    <w:rsid w:val="004D6D68"/>
    <w:rsid w:val="004E04B1"/>
    <w:rsid w:val="004E5EDD"/>
    <w:rsid w:val="004F448A"/>
    <w:rsid w:val="004F493D"/>
    <w:rsid w:val="004F65E8"/>
    <w:rsid w:val="0050005E"/>
    <w:rsid w:val="00502B88"/>
    <w:rsid w:val="005142C4"/>
    <w:rsid w:val="0051509C"/>
    <w:rsid w:val="00525D89"/>
    <w:rsid w:val="005272E2"/>
    <w:rsid w:val="00530E73"/>
    <w:rsid w:val="0053108F"/>
    <w:rsid w:val="00532B56"/>
    <w:rsid w:val="00534B10"/>
    <w:rsid w:val="005446A2"/>
    <w:rsid w:val="00544D2F"/>
    <w:rsid w:val="00551BD8"/>
    <w:rsid w:val="00574F3C"/>
    <w:rsid w:val="00581055"/>
    <w:rsid w:val="00591E38"/>
    <w:rsid w:val="005A19C5"/>
    <w:rsid w:val="005A3034"/>
    <w:rsid w:val="005A462D"/>
    <w:rsid w:val="005B253B"/>
    <w:rsid w:val="005B4DFD"/>
    <w:rsid w:val="005B6D8C"/>
    <w:rsid w:val="005B771D"/>
    <w:rsid w:val="005C5D16"/>
    <w:rsid w:val="005D3193"/>
    <w:rsid w:val="005D4A6E"/>
    <w:rsid w:val="005D68CC"/>
    <w:rsid w:val="005E4430"/>
    <w:rsid w:val="005E6979"/>
    <w:rsid w:val="005E75CB"/>
    <w:rsid w:val="005F37A4"/>
    <w:rsid w:val="006013C1"/>
    <w:rsid w:val="0060669E"/>
    <w:rsid w:val="006072C4"/>
    <w:rsid w:val="00610F2E"/>
    <w:rsid w:val="00611399"/>
    <w:rsid w:val="00612462"/>
    <w:rsid w:val="00624C4E"/>
    <w:rsid w:val="00625200"/>
    <w:rsid w:val="0062687A"/>
    <w:rsid w:val="006363A8"/>
    <w:rsid w:val="00636DB7"/>
    <w:rsid w:val="00650905"/>
    <w:rsid w:val="006532ED"/>
    <w:rsid w:val="006549F2"/>
    <w:rsid w:val="00654DCB"/>
    <w:rsid w:val="006567B7"/>
    <w:rsid w:val="00657BFB"/>
    <w:rsid w:val="0066333C"/>
    <w:rsid w:val="006639B4"/>
    <w:rsid w:val="006650FE"/>
    <w:rsid w:val="0067305D"/>
    <w:rsid w:val="00677D9B"/>
    <w:rsid w:val="00680AFB"/>
    <w:rsid w:val="006867F3"/>
    <w:rsid w:val="00687890"/>
    <w:rsid w:val="006901A2"/>
    <w:rsid w:val="00690368"/>
    <w:rsid w:val="0069079C"/>
    <w:rsid w:val="00690B53"/>
    <w:rsid w:val="00695B72"/>
    <w:rsid w:val="00697201"/>
    <w:rsid w:val="006B160A"/>
    <w:rsid w:val="006B4E6C"/>
    <w:rsid w:val="006B50B6"/>
    <w:rsid w:val="006D51ED"/>
    <w:rsid w:val="006D79EA"/>
    <w:rsid w:val="006E5D05"/>
    <w:rsid w:val="006F780B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4616A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44D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15351"/>
    <w:rsid w:val="00826E8A"/>
    <w:rsid w:val="00826F21"/>
    <w:rsid w:val="00834CC8"/>
    <w:rsid w:val="00835E00"/>
    <w:rsid w:val="00836914"/>
    <w:rsid w:val="00837113"/>
    <w:rsid w:val="008414E4"/>
    <w:rsid w:val="00843E21"/>
    <w:rsid w:val="0084508E"/>
    <w:rsid w:val="00857A8A"/>
    <w:rsid w:val="008623D7"/>
    <w:rsid w:val="008630EE"/>
    <w:rsid w:val="00864D13"/>
    <w:rsid w:val="00870696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01E6D"/>
    <w:rsid w:val="009118A6"/>
    <w:rsid w:val="00916909"/>
    <w:rsid w:val="00916EC0"/>
    <w:rsid w:val="00920467"/>
    <w:rsid w:val="00921DE7"/>
    <w:rsid w:val="0093041A"/>
    <w:rsid w:val="00930459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107E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383C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6534"/>
    <w:rsid w:val="00A53681"/>
    <w:rsid w:val="00A633D4"/>
    <w:rsid w:val="00A6461A"/>
    <w:rsid w:val="00A73138"/>
    <w:rsid w:val="00A76726"/>
    <w:rsid w:val="00A84504"/>
    <w:rsid w:val="00A8672F"/>
    <w:rsid w:val="00A93057"/>
    <w:rsid w:val="00A968B0"/>
    <w:rsid w:val="00AA4048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035D1"/>
    <w:rsid w:val="00B1422A"/>
    <w:rsid w:val="00B15D6A"/>
    <w:rsid w:val="00B1765C"/>
    <w:rsid w:val="00B213C4"/>
    <w:rsid w:val="00B327DA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16AF9"/>
    <w:rsid w:val="00C3091E"/>
    <w:rsid w:val="00C40FF1"/>
    <w:rsid w:val="00C419E2"/>
    <w:rsid w:val="00C5020E"/>
    <w:rsid w:val="00C57452"/>
    <w:rsid w:val="00C61EDF"/>
    <w:rsid w:val="00C6239D"/>
    <w:rsid w:val="00C6594B"/>
    <w:rsid w:val="00C67848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C7458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0F8"/>
    <w:rsid w:val="00D516CD"/>
    <w:rsid w:val="00D668E6"/>
    <w:rsid w:val="00D70670"/>
    <w:rsid w:val="00D72527"/>
    <w:rsid w:val="00D74D80"/>
    <w:rsid w:val="00D76624"/>
    <w:rsid w:val="00D87570"/>
    <w:rsid w:val="00D91CB9"/>
    <w:rsid w:val="00D97989"/>
    <w:rsid w:val="00D97D8D"/>
    <w:rsid w:val="00DA352E"/>
    <w:rsid w:val="00DB53FA"/>
    <w:rsid w:val="00DC7694"/>
    <w:rsid w:val="00DD1BF6"/>
    <w:rsid w:val="00DD2F9B"/>
    <w:rsid w:val="00DE2513"/>
    <w:rsid w:val="00DE26E8"/>
    <w:rsid w:val="00DE78F6"/>
    <w:rsid w:val="00DF20F3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3F68"/>
    <w:rsid w:val="00EF7F78"/>
    <w:rsid w:val="00F01B08"/>
    <w:rsid w:val="00F01C4D"/>
    <w:rsid w:val="00F0459C"/>
    <w:rsid w:val="00F053FA"/>
    <w:rsid w:val="00F05B39"/>
    <w:rsid w:val="00F10C97"/>
    <w:rsid w:val="00F11432"/>
    <w:rsid w:val="00F11C71"/>
    <w:rsid w:val="00F16019"/>
    <w:rsid w:val="00F20E68"/>
    <w:rsid w:val="00F22093"/>
    <w:rsid w:val="00F236DF"/>
    <w:rsid w:val="00F2492B"/>
    <w:rsid w:val="00F43AD5"/>
    <w:rsid w:val="00F4402E"/>
    <w:rsid w:val="00F56DD0"/>
    <w:rsid w:val="00F6491C"/>
    <w:rsid w:val="00F67BBB"/>
    <w:rsid w:val="00F87D92"/>
    <w:rsid w:val="00F90AA7"/>
    <w:rsid w:val="00F9209F"/>
    <w:rsid w:val="00F92498"/>
    <w:rsid w:val="00F9496B"/>
    <w:rsid w:val="00F970C9"/>
    <w:rsid w:val="00FA06A8"/>
    <w:rsid w:val="00FA3DF5"/>
    <w:rsid w:val="00FA741F"/>
    <w:rsid w:val="00FB4E07"/>
    <w:rsid w:val="00FB6C70"/>
    <w:rsid w:val="00FB755A"/>
    <w:rsid w:val="00FC60A2"/>
    <w:rsid w:val="00FD1871"/>
    <w:rsid w:val="00FD2AE8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135684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7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F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F9C"/>
    <w:rPr>
      <w:szCs w:val="20"/>
    </w:rPr>
  </w:style>
  <w:style w:type="paragraph" w:styleId="Revision">
    <w:name w:val="Revision"/>
    <w:hidden/>
    <w:uiPriority w:val="99"/>
    <w:semiHidden/>
    <w:rsid w:val="00F05B39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E33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B080072D824A4F62A285DECFD5F8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8FD27-2793-4C89-B736-36CA69A4C474}"/>
      </w:docPartPr>
      <w:docPartBody>
        <w:p w:rsidR="0071148A" w:rsidRDefault="000C425B" w:rsidP="000C425B">
          <w:pPr>
            <w:pStyle w:val="B080072D824A4F62A285DECFD5F8847D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0C425B"/>
    <w:rsid w:val="0015248A"/>
    <w:rsid w:val="00245AF2"/>
    <w:rsid w:val="0071148A"/>
    <w:rsid w:val="00883366"/>
    <w:rsid w:val="00C62EDA"/>
    <w:rsid w:val="00CC4236"/>
    <w:rsid w:val="00D21A9F"/>
    <w:rsid w:val="00E9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EDA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8D840AB1F72E442592548C1D5FA2DEA1">
    <w:name w:val="8D840AB1F72E442592548C1D5FA2DEA1"/>
    <w:rsid w:val="00CC4236"/>
  </w:style>
  <w:style w:type="paragraph" w:customStyle="1" w:styleId="EF148C9295D64CC8817B5D17DE9FBB6A">
    <w:name w:val="EF148C9295D64CC8817B5D17DE9FBB6A"/>
    <w:rsid w:val="00CC4236"/>
  </w:style>
  <w:style w:type="paragraph" w:customStyle="1" w:styleId="0DF382872A4E4BCDB1F4C9DF2D5C4B78">
    <w:name w:val="0DF382872A4E4BCDB1F4C9DF2D5C4B78"/>
    <w:rsid w:val="00CC4236"/>
  </w:style>
  <w:style w:type="paragraph" w:customStyle="1" w:styleId="E4E07F62A686477995B6D6D84DBF69A8">
    <w:name w:val="E4E07F62A686477995B6D6D84DBF69A8"/>
    <w:rsid w:val="00CC4236"/>
  </w:style>
  <w:style w:type="paragraph" w:customStyle="1" w:styleId="2F138D95ECE042B9B38EC847479792F8">
    <w:name w:val="2F138D95ECE042B9B38EC847479792F8"/>
    <w:rsid w:val="00CC4236"/>
  </w:style>
  <w:style w:type="paragraph" w:customStyle="1" w:styleId="3B5EA4FB312A48659347D2283DD1435E">
    <w:name w:val="3B5EA4FB312A48659347D2283DD1435E"/>
    <w:rsid w:val="00CC4236"/>
  </w:style>
  <w:style w:type="paragraph" w:customStyle="1" w:styleId="294BE19A702F482A8522884D4CD5D38C">
    <w:name w:val="294BE19A702F482A8522884D4CD5D38C"/>
    <w:rsid w:val="00CC4236"/>
  </w:style>
  <w:style w:type="paragraph" w:customStyle="1" w:styleId="B080072D824A4F62A285DECFD5F8847D">
    <w:name w:val="B080072D824A4F62A285DECFD5F8847D"/>
    <w:rsid w:val="000C425B"/>
  </w:style>
  <w:style w:type="paragraph" w:customStyle="1" w:styleId="3E7B5BDA2FEB4AFCB73B2100346DA2A7">
    <w:name w:val="3E7B5BDA2FEB4AFCB73B2100346DA2A7"/>
    <w:rsid w:val="00E939D5"/>
  </w:style>
  <w:style w:type="paragraph" w:customStyle="1" w:styleId="5E6E2487B4A948B9910780DFAABC0BCA">
    <w:name w:val="5E6E2487B4A948B9910780DFAABC0BCA"/>
    <w:rsid w:val="00E939D5"/>
  </w:style>
  <w:style w:type="paragraph" w:customStyle="1" w:styleId="8FB0343744FA4874AD29160CF02AE559">
    <w:name w:val="8FB0343744FA4874AD29160CF02AE559"/>
    <w:rsid w:val="0015248A"/>
  </w:style>
  <w:style w:type="paragraph" w:customStyle="1" w:styleId="71940CD151154DF8804CE33C28737A79">
    <w:name w:val="71940CD151154DF8804CE33C28737A79"/>
    <w:rsid w:val="00C62E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BC3B8-5D1F-42C0-BDB7-9B6537C3A622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bf54d604-3e62-4e70-ba33-9e9084b96a6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36AAFAB-1BD0-4E7E-AF51-5C222C3F4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28A354-D44F-4BC4-B991-985A4E4ED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96941C-97E6-4C3A-860D-FE2CA192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2020-02-13T06:02:00Z</dcterms:created>
  <dcterms:modified xsi:type="dcterms:W3CDTF">2020-07-21T00:41:00Z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