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2CECDCD" w14:textId="40609491" w:rsidR="00BD499F" w:rsidRPr="004C23F4" w:rsidRDefault="00EC1B9A" w:rsidP="00EC1B9A">
          <w:pPr>
            <w:pStyle w:val="Heading1"/>
            <w:jc w:val="center"/>
            <w:rPr>
              <w:rFonts w:ascii="Arial" w:hAnsi="Arial" w:cs="Arial"/>
            </w:rPr>
          </w:pPr>
          <w:r w:rsidRPr="00EC1B9A">
            <w:rPr>
              <w:rFonts w:ascii="Arial" w:hAnsi="Arial" w:cs="Arial"/>
            </w:rPr>
            <w:t>Platinum, metal</w:t>
          </w:r>
          <w:r w:rsidR="00D514C4">
            <w:rPr>
              <w:rFonts w:ascii="Arial" w:hAnsi="Arial" w:cs="Arial"/>
            </w:rPr>
            <w:t xml:space="preserve"> and </w:t>
          </w:r>
          <w:r w:rsidR="00F63333">
            <w:rPr>
              <w:rFonts w:ascii="Arial" w:hAnsi="Arial" w:cs="Arial"/>
            </w:rPr>
            <w:t>s</w:t>
          </w:r>
          <w:r w:rsidR="00D514C4">
            <w:rPr>
              <w:rFonts w:ascii="Arial" w:hAnsi="Arial" w:cs="Arial"/>
            </w:rPr>
            <w:t xml:space="preserve">oluble </w:t>
          </w:r>
          <w:r w:rsidR="00F63333">
            <w:rPr>
              <w:rFonts w:ascii="Arial" w:hAnsi="Arial" w:cs="Arial"/>
            </w:rPr>
            <w:t>s</w:t>
          </w:r>
          <w:r w:rsidR="00D514C4">
            <w:rPr>
              <w:rFonts w:ascii="Arial" w:hAnsi="Arial" w:cs="Arial"/>
            </w:rPr>
            <w:t>alts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4"/>
        <w:gridCol w:w="5032"/>
      </w:tblGrid>
      <w:tr w:rsidR="00F43AD5" w:rsidRPr="004C23F4" w14:paraId="1F6CDBDD" w14:textId="77777777" w:rsidTr="00B76A41">
        <w:trPr>
          <w:cantSplit/>
          <w:tblHeader/>
        </w:trPr>
        <w:tc>
          <w:tcPr>
            <w:tcW w:w="4077" w:type="dxa"/>
          </w:tcPr>
          <w:p w14:paraId="42B9F1D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27F79B4" w14:textId="285D706E" w:rsidR="00F43AD5" w:rsidRPr="00717D45" w:rsidRDefault="00A43655" w:rsidP="00B76A41">
            <w:pPr>
              <w:pStyle w:val="Tablefont"/>
            </w:pPr>
            <w:r w:rsidRPr="00A43655">
              <w:t>7440-06-4</w:t>
            </w:r>
          </w:p>
        </w:tc>
      </w:tr>
      <w:tr w:rsidR="00F43AD5" w:rsidRPr="004C23F4" w14:paraId="0ABCBBC6" w14:textId="77777777" w:rsidTr="00B76A41">
        <w:trPr>
          <w:cantSplit/>
        </w:trPr>
        <w:tc>
          <w:tcPr>
            <w:tcW w:w="4077" w:type="dxa"/>
          </w:tcPr>
          <w:p w14:paraId="2E3B6F4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929916C" w14:textId="46B2A37B" w:rsidR="00F43AD5" w:rsidRPr="00717D45" w:rsidRDefault="00A43655" w:rsidP="00B76A41">
            <w:pPr>
              <w:pStyle w:val="Tablefont"/>
            </w:pPr>
            <w:r w:rsidRPr="00A43655">
              <w:t>—</w:t>
            </w:r>
          </w:p>
        </w:tc>
      </w:tr>
      <w:tr w:rsidR="00F43AD5" w:rsidRPr="004C23F4" w14:paraId="6A6C7161" w14:textId="77777777" w:rsidTr="00B76A41">
        <w:trPr>
          <w:cantSplit/>
        </w:trPr>
        <w:tc>
          <w:tcPr>
            <w:tcW w:w="4077" w:type="dxa"/>
          </w:tcPr>
          <w:p w14:paraId="057C3EC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A7FF87C" w14:textId="245F436C" w:rsidR="00F43AD5" w:rsidRPr="00717D45" w:rsidRDefault="00A43655" w:rsidP="00B76A41">
            <w:pPr>
              <w:pStyle w:val="Tablefont"/>
            </w:pPr>
            <w:r>
              <w:t>Pt</w:t>
            </w:r>
          </w:p>
        </w:tc>
      </w:tr>
      <w:tr w:rsidR="00F43AD5" w:rsidRPr="004C23F4" w14:paraId="52384BD7" w14:textId="77777777" w:rsidTr="00B76A41">
        <w:trPr>
          <w:cantSplit/>
        </w:trPr>
        <w:tc>
          <w:tcPr>
            <w:tcW w:w="4077" w:type="dxa"/>
          </w:tcPr>
          <w:p w14:paraId="5D46894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60C557B" w14:textId="222DC041" w:rsidR="00F43AD5" w:rsidRPr="00B40C60" w:rsidRDefault="00A43655" w:rsidP="00B76A41">
            <w:pPr>
              <w:pStyle w:val="Tablerowheading"/>
              <w:rPr>
                <w:b w:val="0"/>
              </w:rPr>
            </w:pPr>
            <w:r w:rsidRPr="00A43655">
              <w:t>—</w:t>
            </w:r>
          </w:p>
        </w:tc>
      </w:tr>
    </w:tbl>
    <w:p w14:paraId="54C25032" w14:textId="2525DE8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14FDD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1"/>
        <w:gridCol w:w="5025"/>
      </w:tblGrid>
      <w:tr w:rsidR="002C7AFE" w:rsidRPr="004C23F4" w14:paraId="3BB0BE4D" w14:textId="77777777" w:rsidTr="00E71A3C">
        <w:trPr>
          <w:cantSplit/>
          <w:tblHeader/>
        </w:trPr>
        <w:tc>
          <w:tcPr>
            <w:tcW w:w="4001" w:type="dxa"/>
            <w:vAlign w:val="center"/>
          </w:tcPr>
          <w:p w14:paraId="3D8B66E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5" w:type="dxa"/>
          </w:tcPr>
          <w:p w14:paraId="601E6855" w14:textId="77777777" w:rsidR="008C3AB0" w:rsidRDefault="00E71A3C" w:rsidP="00017C82">
            <w:pPr>
              <w:pStyle w:val="Tablefont"/>
              <w:rPr>
                <w:rFonts w:cs="Arial"/>
                <w:b/>
              </w:rPr>
            </w:pPr>
            <w:r w:rsidRPr="00E71A3C">
              <w:rPr>
                <w:rFonts w:cs="Arial"/>
                <w:b/>
              </w:rPr>
              <w:t>1.0 mg/m</w:t>
            </w:r>
            <w:r w:rsidRPr="00E71A3C">
              <w:rPr>
                <w:rFonts w:cs="Arial"/>
                <w:b/>
                <w:vertAlign w:val="superscript"/>
              </w:rPr>
              <w:t>3</w:t>
            </w:r>
            <w:r w:rsidRPr="00E71A3C">
              <w:rPr>
                <w:rFonts w:cs="Arial"/>
                <w:b/>
              </w:rPr>
              <w:t xml:space="preserve"> (Platinum, metal); </w:t>
            </w:r>
          </w:p>
          <w:p w14:paraId="27F6A1FA" w14:textId="7F9A5E3E" w:rsidR="002C7AFE" w:rsidRPr="00E71A3C" w:rsidRDefault="00E71A3C" w:rsidP="00017C82">
            <w:pPr>
              <w:pStyle w:val="Tablefont"/>
              <w:rPr>
                <w:b/>
              </w:rPr>
            </w:pPr>
            <w:r w:rsidRPr="00E71A3C">
              <w:rPr>
                <w:rFonts w:cs="Arial"/>
                <w:b/>
              </w:rPr>
              <w:t>0.002 mg/m</w:t>
            </w:r>
            <w:r w:rsidRPr="00E71A3C">
              <w:rPr>
                <w:rFonts w:cs="Arial"/>
                <w:b/>
                <w:vertAlign w:val="superscript"/>
              </w:rPr>
              <w:t xml:space="preserve">3 </w:t>
            </w:r>
            <w:r w:rsidRPr="00E71A3C">
              <w:rPr>
                <w:rFonts w:cs="Arial"/>
                <w:b/>
              </w:rPr>
              <w:t>(Platinum soluble salts as Pt)</w:t>
            </w:r>
          </w:p>
        </w:tc>
      </w:tr>
      <w:tr w:rsidR="00E71A3C" w:rsidRPr="004C23F4" w14:paraId="6B7C0E55" w14:textId="77777777" w:rsidTr="00E71A3C">
        <w:trPr>
          <w:cantSplit/>
        </w:trPr>
        <w:tc>
          <w:tcPr>
            <w:tcW w:w="4001" w:type="dxa"/>
            <w:vAlign w:val="center"/>
          </w:tcPr>
          <w:p w14:paraId="06815895" w14:textId="77777777" w:rsidR="00E71A3C" w:rsidRPr="002C58FF" w:rsidRDefault="00E71A3C" w:rsidP="00E71A3C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5" w:type="dxa"/>
          </w:tcPr>
          <w:p w14:paraId="2B2FFFFB" w14:textId="63FDF892" w:rsidR="00E71A3C" w:rsidRPr="00E71A3C" w:rsidRDefault="00E71A3C" w:rsidP="00E71A3C">
            <w:pPr>
              <w:pStyle w:val="Tablefont"/>
              <w:rPr>
                <w:b/>
              </w:rPr>
            </w:pPr>
            <w:r w:rsidRPr="00E71A3C">
              <w:rPr>
                <w:b/>
              </w:rPr>
              <w:t>—</w:t>
            </w:r>
          </w:p>
        </w:tc>
      </w:tr>
      <w:tr w:rsidR="00E71A3C" w:rsidRPr="004C23F4" w14:paraId="1C654DD4" w14:textId="77777777" w:rsidTr="00E71A3C">
        <w:trPr>
          <w:cantSplit/>
        </w:trPr>
        <w:tc>
          <w:tcPr>
            <w:tcW w:w="4001" w:type="dxa"/>
            <w:vAlign w:val="center"/>
          </w:tcPr>
          <w:p w14:paraId="113EBE08" w14:textId="77777777" w:rsidR="00E71A3C" w:rsidRPr="002C58FF" w:rsidRDefault="00E71A3C" w:rsidP="00E71A3C">
            <w:pPr>
              <w:pStyle w:val="Tablerowright"/>
            </w:pPr>
            <w:r>
              <w:t>Peak limitation:</w:t>
            </w:r>
          </w:p>
        </w:tc>
        <w:tc>
          <w:tcPr>
            <w:tcW w:w="5025" w:type="dxa"/>
          </w:tcPr>
          <w:p w14:paraId="2F0CE2CB" w14:textId="2135D940" w:rsidR="00E71A3C" w:rsidRPr="00E71A3C" w:rsidRDefault="00E71A3C" w:rsidP="00E71A3C">
            <w:pPr>
              <w:pStyle w:val="Tablefont"/>
              <w:rPr>
                <w:b/>
              </w:rPr>
            </w:pPr>
            <w:r w:rsidRPr="00E71A3C">
              <w:rPr>
                <w:b/>
              </w:rPr>
              <w:t>—</w:t>
            </w:r>
          </w:p>
        </w:tc>
      </w:tr>
      <w:tr w:rsidR="00E71A3C" w:rsidRPr="004C23F4" w14:paraId="59D10979" w14:textId="77777777" w:rsidTr="00E71A3C">
        <w:trPr>
          <w:cantSplit/>
        </w:trPr>
        <w:tc>
          <w:tcPr>
            <w:tcW w:w="4001" w:type="dxa"/>
          </w:tcPr>
          <w:p w14:paraId="75678DD0" w14:textId="77777777" w:rsidR="00E71A3C" w:rsidRPr="002C58FF" w:rsidRDefault="00E71A3C" w:rsidP="00E71A3C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25" w:type="dxa"/>
          </w:tcPr>
          <w:p w14:paraId="20B84F90" w14:textId="29DC286B" w:rsidR="00E71A3C" w:rsidRPr="00E71A3C" w:rsidRDefault="00E71A3C" w:rsidP="00E71A3C">
            <w:pPr>
              <w:pStyle w:val="Tablefont"/>
              <w:rPr>
                <w:b/>
              </w:rPr>
            </w:pPr>
            <w:r w:rsidRPr="00E71A3C">
              <w:rPr>
                <w:b/>
              </w:rPr>
              <w:t>—</w:t>
            </w:r>
          </w:p>
        </w:tc>
      </w:tr>
      <w:tr w:rsidR="002C7AFE" w:rsidRPr="004C23F4" w14:paraId="0E1B594B" w14:textId="77777777" w:rsidTr="00E71A3C">
        <w:trPr>
          <w:cantSplit/>
        </w:trPr>
        <w:tc>
          <w:tcPr>
            <w:tcW w:w="4001" w:type="dxa"/>
            <w:vAlign w:val="center"/>
          </w:tcPr>
          <w:p w14:paraId="43654FB5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5" w:type="dxa"/>
          </w:tcPr>
          <w:p w14:paraId="20AFAA0C" w14:textId="612353E6" w:rsidR="002C7AFE" w:rsidRPr="00E71A3C" w:rsidRDefault="00A43655" w:rsidP="00017C82">
            <w:pPr>
              <w:pStyle w:val="Tablefont"/>
              <w:rPr>
                <w:b/>
              </w:rPr>
            </w:pPr>
            <w:r w:rsidRPr="00E71A3C">
              <w:rPr>
                <w:b/>
              </w:rPr>
              <w:t>—</w:t>
            </w:r>
          </w:p>
        </w:tc>
      </w:tr>
      <w:tr w:rsidR="00F63333" w:rsidRPr="004C23F4" w14:paraId="3BD4C43F" w14:textId="77777777" w:rsidTr="00030E11">
        <w:trPr>
          <w:cantSplit/>
        </w:trPr>
        <w:tc>
          <w:tcPr>
            <w:tcW w:w="9026" w:type="dxa"/>
            <w:gridSpan w:val="2"/>
            <w:vAlign w:val="center"/>
          </w:tcPr>
          <w:p w14:paraId="2997B3AD" w14:textId="57903D0E" w:rsidR="00F63333" w:rsidRPr="00EB3D1B" w:rsidRDefault="00F63333" w:rsidP="00017C8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0B6A464DBE6C430B8D4A04B99F58109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A9184E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C797AE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B6CDDD7" w14:textId="4A0EB030" w:rsidR="006639B4" w:rsidRDefault="00E71A3C" w:rsidP="000C139A">
      <w:r>
        <w:rPr>
          <w:rFonts w:cs="Arial"/>
        </w:rPr>
        <w:t>A TWA</w:t>
      </w:r>
      <w:r w:rsidRPr="00E71A3C">
        <w:rPr>
          <w:rFonts w:cs="Arial"/>
        </w:rPr>
        <w:t xml:space="preserve"> of 1.0 mg/m</w:t>
      </w:r>
      <w:r w:rsidRPr="00E71A3C">
        <w:rPr>
          <w:rFonts w:cs="Arial"/>
          <w:vertAlign w:val="superscript"/>
        </w:rPr>
        <w:t>3</w:t>
      </w:r>
      <w:r w:rsidRPr="00E71A3C">
        <w:rPr>
          <w:rFonts w:cs="Arial"/>
        </w:rPr>
        <w:t xml:space="preserve"> (</w:t>
      </w:r>
      <w:r w:rsidR="00A9184E">
        <w:rPr>
          <w:rFonts w:cs="Arial"/>
        </w:rPr>
        <w:t>p</w:t>
      </w:r>
      <w:r w:rsidRPr="00E71A3C">
        <w:rPr>
          <w:rFonts w:cs="Arial"/>
        </w:rPr>
        <w:t>latinum, metal) and 0.002 mg/m</w:t>
      </w:r>
      <w:r w:rsidRPr="00E71A3C">
        <w:rPr>
          <w:rFonts w:cs="Arial"/>
          <w:vertAlign w:val="superscript"/>
        </w:rPr>
        <w:t xml:space="preserve">3 </w:t>
      </w:r>
      <w:r w:rsidRPr="00E71A3C">
        <w:rPr>
          <w:rFonts w:cs="Arial"/>
        </w:rPr>
        <w:t>(</w:t>
      </w:r>
      <w:r w:rsidR="00A9184E">
        <w:rPr>
          <w:rFonts w:cs="Arial"/>
        </w:rPr>
        <w:t>p</w:t>
      </w:r>
      <w:r w:rsidRPr="00E71A3C">
        <w:rPr>
          <w:rFonts w:cs="Arial"/>
        </w:rPr>
        <w:t xml:space="preserve">latinum soluble salts as Pt) are recommended to </w:t>
      </w:r>
      <w:r>
        <w:rPr>
          <w:rFonts w:cs="Arial"/>
        </w:rPr>
        <w:t xml:space="preserve">protect for respiratory irritation, </w:t>
      </w:r>
      <w:r>
        <w:t>respiratory sensitisation and asthma in exposed workers.</w:t>
      </w:r>
    </w:p>
    <w:p w14:paraId="6A874690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8F1BEF6" w14:textId="4CA2B768" w:rsidR="000E7DA6" w:rsidRDefault="008E0E62" w:rsidP="006639B4">
      <w:r>
        <w:t xml:space="preserve">Platinum </w:t>
      </w:r>
      <w:r w:rsidR="006C707C">
        <w:t>is</w:t>
      </w:r>
      <w:r>
        <w:t xml:space="preserve"> used in the laboratory, in the electronics industry, in the glass industry, in jewellery, for dental and medical uses, and as a catalyst. </w:t>
      </w:r>
    </w:p>
    <w:p w14:paraId="62AAEAC3" w14:textId="5E3E2E14" w:rsidR="006639B4" w:rsidRDefault="008E0E62" w:rsidP="006639B4">
      <w:r>
        <w:t xml:space="preserve">Critical effects </w:t>
      </w:r>
      <w:r w:rsidR="002810F4">
        <w:t xml:space="preserve">of </w:t>
      </w:r>
      <w:r>
        <w:t>exposure are respiratory irritation and respiratory sensitisation</w:t>
      </w:r>
      <w:r w:rsidR="008072CC">
        <w:t>,</w:t>
      </w:r>
      <w:r>
        <w:t xml:space="preserve"> and asthma </w:t>
      </w:r>
      <w:r w:rsidR="008072CC">
        <w:t xml:space="preserve">on exposure </w:t>
      </w:r>
      <w:r>
        <w:t>to soluble salts.</w:t>
      </w:r>
    </w:p>
    <w:p w14:paraId="5AC50028" w14:textId="557D648C" w:rsidR="008E0E62" w:rsidRDefault="008E0E62" w:rsidP="006639B4">
      <w:r>
        <w:t xml:space="preserve">Limited data are available in humans and animals. Rhinorrhoea in 52 of 91 exposed workers </w:t>
      </w:r>
      <w:r w:rsidR="00F974F5">
        <w:t>i</w:t>
      </w:r>
      <w:r>
        <w:t xml:space="preserve">s reported in a study of four platinum refineries. </w:t>
      </w:r>
      <w:r w:rsidR="008072CC">
        <w:t>P</w:t>
      </w:r>
      <w:r>
        <w:t xml:space="preserve">latinum levels </w:t>
      </w:r>
      <w:r w:rsidR="008072CC">
        <w:t xml:space="preserve">ranged </w:t>
      </w:r>
      <w:r>
        <w:t>from 900</w:t>
      </w:r>
      <w:r w:rsidR="00F63333">
        <w:t> </w:t>
      </w:r>
      <w:r>
        <w:t>mg/m</w:t>
      </w:r>
      <w:r w:rsidRPr="00F975F3">
        <w:rPr>
          <w:vertAlign w:val="superscript"/>
        </w:rPr>
        <w:t>3</w:t>
      </w:r>
      <w:r>
        <w:t xml:space="preserve"> to 1,700 g/m</w:t>
      </w:r>
      <w:r>
        <w:rPr>
          <w:vertAlign w:val="superscript"/>
        </w:rPr>
        <w:t>3</w:t>
      </w:r>
      <w:r>
        <w:t xml:space="preserve">. Platinum salts are recognised as the etiologic agents in certain asthmatic attacks and evidence of irritation and bronchial asthma are reported in workers (ACGIH, 2018). </w:t>
      </w:r>
      <w:r w:rsidR="008072CC">
        <w:t xml:space="preserve">No </w:t>
      </w:r>
      <w:r w:rsidR="008072CC" w:rsidRPr="008E0E62">
        <w:t>toxicity</w:t>
      </w:r>
      <w:r w:rsidR="008072CC">
        <w:t xml:space="preserve"> and no allergic reactions reported in workers</w:t>
      </w:r>
      <w:r w:rsidR="008072CC" w:rsidRPr="008E0E62">
        <w:t xml:space="preserve"> expos</w:t>
      </w:r>
      <w:r w:rsidR="008072CC">
        <w:t>ed</w:t>
      </w:r>
      <w:r w:rsidR="008072CC" w:rsidRPr="008E0E62">
        <w:t xml:space="preserve"> </w:t>
      </w:r>
      <w:r w:rsidR="008072CC">
        <w:t>to</w:t>
      </w:r>
      <w:r w:rsidR="008072CC" w:rsidRPr="008E0E62">
        <w:t xml:space="preserve"> </w:t>
      </w:r>
      <w:r w:rsidR="00D07103">
        <w:t>soluble salt</w:t>
      </w:r>
      <w:r w:rsidR="00D07103" w:rsidRPr="008E0E62">
        <w:t xml:space="preserve"> </w:t>
      </w:r>
      <w:proofErr w:type="spellStart"/>
      <w:r w:rsidR="00D07103" w:rsidRPr="008E0E62">
        <w:t>tetraammineplatinum</w:t>
      </w:r>
      <w:proofErr w:type="spellEnd"/>
      <w:r w:rsidR="00D07103" w:rsidRPr="008E0E62">
        <w:t xml:space="preserve"> dichloride </w:t>
      </w:r>
      <w:r w:rsidR="000F4330">
        <w:t xml:space="preserve">below </w:t>
      </w:r>
      <w:r w:rsidR="008072CC" w:rsidRPr="008E0E62">
        <w:t>0.5 µg/m</w:t>
      </w:r>
      <w:r w:rsidR="008072CC" w:rsidRPr="008E0E62">
        <w:rPr>
          <w:vertAlign w:val="superscript"/>
        </w:rPr>
        <w:t>3</w:t>
      </w:r>
      <w:r w:rsidR="00D11DF1">
        <w:t xml:space="preserve">, </w:t>
      </w:r>
      <w:r w:rsidR="008072CC">
        <w:t>but occasionally higher than 2 or 10 µg/m</w:t>
      </w:r>
      <w:r w:rsidR="008072CC" w:rsidRPr="00825617">
        <w:rPr>
          <w:vertAlign w:val="superscript"/>
        </w:rPr>
        <w:t>3</w:t>
      </w:r>
      <w:r w:rsidR="00D07103">
        <w:t xml:space="preserve"> </w:t>
      </w:r>
      <w:r>
        <w:t>(SCOEL, 2011; HCOTN, 2008).</w:t>
      </w:r>
    </w:p>
    <w:p w14:paraId="78EB48E5" w14:textId="493FB790" w:rsidR="008E0E62" w:rsidRPr="008E0E62" w:rsidRDefault="008E0E62" w:rsidP="006639B4">
      <w:pPr>
        <w:rPr>
          <w:rFonts w:cs="Arial"/>
        </w:rPr>
      </w:pPr>
      <w:r>
        <w:t xml:space="preserve">Given the limited data, </w:t>
      </w:r>
      <w:r w:rsidR="00DF3D9B">
        <w:t xml:space="preserve">the </w:t>
      </w:r>
      <w:r w:rsidR="00D11DF1">
        <w:t xml:space="preserve">SWA </w:t>
      </w:r>
      <w:r>
        <w:t>TWA of 1.0 mg/m</w:t>
      </w:r>
      <w:r>
        <w:rPr>
          <w:vertAlign w:val="superscript"/>
        </w:rPr>
        <w:t>3</w:t>
      </w:r>
      <w:r>
        <w:t xml:space="preserve"> </w:t>
      </w:r>
      <w:r w:rsidR="00365914">
        <w:t>(</w:t>
      </w:r>
      <w:r w:rsidR="00FE3904">
        <w:t>p</w:t>
      </w:r>
      <w:r>
        <w:t>latinum, metal) and</w:t>
      </w:r>
      <w:r w:rsidR="00365914">
        <w:t xml:space="preserve"> a TWA of </w:t>
      </w:r>
      <w:r>
        <w:t>0.002 mg/m</w:t>
      </w:r>
      <w:r>
        <w:rPr>
          <w:vertAlign w:val="superscript"/>
        </w:rPr>
        <w:t>3</w:t>
      </w:r>
      <w:r>
        <w:t xml:space="preserve"> (</w:t>
      </w:r>
      <w:r w:rsidR="00FE3904">
        <w:t>p</w:t>
      </w:r>
      <w:r>
        <w:t xml:space="preserve">latinum soluble salts as Pt) </w:t>
      </w:r>
      <w:r w:rsidR="00DF3D9B">
        <w:t>by ACGIH and the HCO</w:t>
      </w:r>
      <w:r w:rsidR="000F4330">
        <w:t>T</w:t>
      </w:r>
      <w:r w:rsidR="00DF3D9B">
        <w:t xml:space="preserve">N </w:t>
      </w:r>
      <w:r>
        <w:t>are recommended to be retained</w:t>
      </w:r>
      <w:r w:rsidR="00E71A3C">
        <w:t>.</w:t>
      </w:r>
      <w:r w:rsidR="00362253">
        <w:t xml:space="preserve"> The</w:t>
      </w:r>
      <w:r w:rsidR="00DF3D9B">
        <w:t xml:space="preserve"> potential for the identified critical effects </w:t>
      </w:r>
      <w:r w:rsidR="00D11DF1">
        <w:t>is</w:t>
      </w:r>
      <w:r w:rsidR="00DF3D9B">
        <w:t xml:space="preserve"> reduced at these concentrations</w:t>
      </w:r>
      <w:r w:rsidR="00362253">
        <w:t xml:space="preserve"> </w:t>
      </w:r>
      <w:r w:rsidR="00D11DF1">
        <w:t>(</w:t>
      </w:r>
      <w:r w:rsidR="00362253">
        <w:t>ACGIH</w:t>
      </w:r>
      <w:r w:rsidR="00D11DF1">
        <w:t xml:space="preserve">, </w:t>
      </w:r>
      <w:r w:rsidR="00362253">
        <w:t>2018).</w:t>
      </w:r>
      <w:r w:rsidR="00D11DF1">
        <w:t xml:space="preserve"> </w:t>
      </w:r>
      <w:r w:rsidR="00E71A3C" w:rsidRPr="00E71A3C">
        <w:t xml:space="preserve"> </w:t>
      </w:r>
    </w:p>
    <w:p w14:paraId="51FD1C9F" w14:textId="77777777" w:rsidR="004529F0" w:rsidRPr="004C23F4" w:rsidRDefault="004529F0" w:rsidP="00D11DF1">
      <w:pPr>
        <w:pStyle w:val="Heading2"/>
        <w:pageBreakBefore/>
      </w:pPr>
      <w:r>
        <w:lastRenderedPageBreak/>
        <w:t>Recommendation for notations</w:t>
      </w:r>
    </w:p>
    <w:p w14:paraId="6840F3AB" w14:textId="55E4A88A" w:rsidR="00A43655" w:rsidRPr="00E71A3C" w:rsidRDefault="00A43655" w:rsidP="00A43655">
      <w:pPr>
        <w:rPr>
          <w:rFonts w:cs="Arial"/>
        </w:rPr>
      </w:pPr>
      <w:r w:rsidRPr="00E71A3C">
        <w:rPr>
          <w:rFonts w:cs="Arial"/>
        </w:rPr>
        <w:t>Not classified as a carcinogen according to the Globally Harmonized System of Classification and Labelling o</w:t>
      </w:r>
      <w:r w:rsidR="00F63333">
        <w:rPr>
          <w:rFonts w:cs="Arial"/>
        </w:rPr>
        <w:t>f</w:t>
      </w:r>
      <w:r w:rsidRPr="00E71A3C">
        <w:rPr>
          <w:rFonts w:cs="Arial"/>
        </w:rPr>
        <w:t xml:space="preserve"> Chemicals (GHS). </w:t>
      </w:r>
    </w:p>
    <w:p w14:paraId="1ED0DB0A" w14:textId="402291FF" w:rsidR="00A43655" w:rsidRPr="00E71A3C" w:rsidRDefault="00A43655" w:rsidP="00A43655">
      <w:pPr>
        <w:rPr>
          <w:rFonts w:cs="Arial"/>
        </w:rPr>
      </w:pPr>
      <w:r w:rsidRPr="00E71A3C">
        <w:rPr>
          <w:rFonts w:cs="Arial"/>
        </w:rPr>
        <w:t xml:space="preserve">Not classified as a skin </w:t>
      </w:r>
      <w:r w:rsidR="00F63333" w:rsidRPr="00E71A3C">
        <w:rPr>
          <w:rFonts w:cs="Arial"/>
        </w:rPr>
        <w:t xml:space="preserve">sensitiser </w:t>
      </w:r>
      <w:r w:rsidRPr="00E71A3C">
        <w:rPr>
          <w:rFonts w:cs="Arial"/>
        </w:rPr>
        <w:t>or respiratory sensitiser according to the GHS.</w:t>
      </w:r>
      <w:r w:rsidR="00E71A3C">
        <w:rPr>
          <w:rFonts w:cs="Arial"/>
        </w:rPr>
        <w:t xml:space="preserve"> A review of the sensitisation classification is recommended based on evidence of respiratory sensitisation </w:t>
      </w:r>
      <w:r w:rsidR="00F63333">
        <w:rPr>
          <w:rFonts w:cs="Arial"/>
        </w:rPr>
        <w:t xml:space="preserve">in </w:t>
      </w:r>
      <w:r w:rsidR="00E71A3C">
        <w:rPr>
          <w:rFonts w:cs="Arial"/>
        </w:rPr>
        <w:t>workers.</w:t>
      </w:r>
    </w:p>
    <w:p w14:paraId="4D6FC208" w14:textId="202E63A4" w:rsidR="00A43655" w:rsidRPr="004C23F4" w:rsidRDefault="00FE3904" w:rsidP="00A43655">
      <w:pPr>
        <w:rPr>
          <w:rFonts w:cs="Arial"/>
        </w:rPr>
      </w:pPr>
      <w:r>
        <w:rPr>
          <w:rFonts w:cs="Arial"/>
        </w:rPr>
        <w:t>There are i</w:t>
      </w:r>
      <w:r w:rsidR="00A43655" w:rsidRPr="00E71A3C">
        <w:rPr>
          <w:rFonts w:cs="Arial"/>
        </w:rPr>
        <w:t xml:space="preserve">nsufficient </w:t>
      </w:r>
      <w:r>
        <w:rPr>
          <w:rFonts w:cs="Arial"/>
        </w:rPr>
        <w:t>data</w:t>
      </w:r>
      <w:r w:rsidRPr="00E71A3C">
        <w:rPr>
          <w:rFonts w:cs="Arial"/>
        </w:rPr>
        <w:t xml:space="preserve"> </w:t>
      </w:r>
      <w:r w:rsidR="00A43655" w:rsidRPr="00E71A3C">
        <w:rPr>
          <w:rFonts w:cs="Arial"/>
        </w:rPr>
        <w:t>to recommend a skin notation.</w:t>
      </w:r>
    </w:p>
    <w:p w14:paraId="0AC817E8" w14:textId="77777777" w:rsidR="0025734A" w:rsidRPr="004C23F4" w:rsidRDefault="0025734A">
      <w:pPr>
        <w:rPr>
          <w:rFonts w:cs="Arial"/>
        </w:rPr>
      </w:pPr>
    </w:p>
    <w:p w14:paraId="2902FF5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30A285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7BA378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31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20"/>
        <w:gridCol w:w="42"/>
      </w:tblGrid>
      <w:tr w:rsidR="00C978F0" w:rsidRPr="00DA352E" w14:paraId="47FD2CE5" w14:textId="77777777" w:rsidTr="00627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DF0BFDB" w14:textId="77777777" w:rsidR="00C978F0" w:rsidRPr="00DA352E" w:rsidRDefault="00C978F0" w:rsidP="006C707C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D384234" w14:textId="77777777" w:rsidTr="00627CB1">
        <w:trPr>
          <w:gridAfter w:val="1"/>
          <w:wAfter w:w="23" w:type="pct"/>
        </w:trPr>
        <w:tc>
          <w:tcPr>
            <w:tcW w:w="4977" w:type="pct"/>
            <w:shd w:val="clear" w:color="auto" w:fill="F2F2F2" w:themeFill="background1" w:themeFillShade="F2"/>
          </w:tcPr>
          <w:p w14:paraId="56B01C3D" w14:textId="359E22EF" w:rsidR="00DE26E8" w:rsidRPr="003365A5" w:rsidRDefault="00DE26E8" w:rsidP="00D77CB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2" w:right="-147" w:hanging="2852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3394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33948">
                  <w:t>TWA: 1.0 mg/m</w:t>
                </w:r>
                <w:r w:rsidR="00F33948" w:rsidRPr="00A43655">
                  <w:rPr>
                    <w:vertAlign w:val="superscript"/>
                  </w:rPr>
                  <w:t>3</w:t>
                </w:r>
                <w:r w:rsidR="00F356C0">
                  <w:rPr>
                    <w:vertAlign w:val="superscript"/>
                  </w:rPr>
                  <w:t xml:space="preserve"> </w:t>
                </w:r>
                <w:r w:rsidR="008E0E62">
                  <w:t>(Platinum, metal)</w:t>
                </w:r>
                <w:r w:rsidR="001334A0">
                  <w:t xml:space="preserve">; </w:t>
                </w:r>
                <w:r w:rsidR="008E0E62">
                  <w:t>TWA: 0.002 mg/m</w:t>
                </w:r>
                <w:r w:rsidR="008E0E62">
                  <w:rPr>
                    <w:vertAlign w:val="superscript"/>
                  </w:rPr>
                  <w:t>3</w:t>
                </w:r>
                <w:r w:rsidR="008E0E62">
                  <w:t xml:space="preserve"> (Platinum soluble salts as Pt)</w:t>
                </w:r>
              </w:sdtContent>
            </w:sdt>
          </w:p>
        </w:tc>
      </w:tr>
      <w:tr w:rsidR="00C978F0" w:rsidRPr="00DA352E" w14:paraId="56C7218F" w14:textId="77777777" w:rsidTr="00627CB1">
        <w:tc>
          <w:tcPr>
            <w:tcW w:w="5000" w:type="pct"/>
            <w:gridSpan w:val="2"/>
          </w:tcPr>
          <w:p w14:paraId="325089E7" w14:textId="1F3AF48B" w:rsidR="00C978F0" w:rsidRPr="00DA352E" w:rsidRDefault="00A43655" w:rsidP="006C707C">
            <w:pPr>
              <w:pStyle w:val="Tabletextprimarysource"/>
            </w:pPr>
            <w:r>
              <w:t>No report</w:t>
            </w:r>
            <w:r w:rsidR="00F63333">
              <w:t>.</w:t>
            </w:r>
          </w:p>
        </w:tc>
      </w:tr>
      <w:tr w:rsidR="00C978F0" w:rsidRPr="00DA352E" w14:paraId="510454E2" w14:textId="77777777" w:rsidTr="00627CB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05F3F18" w14:textId="0EAEE8CB" w:rsidR="00C978F0" w:rsidRPr="00DA352E" w:rsidRDefault="00DA352E" w:rsidP="00D77CB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2" w:hanging="2852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4365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43655">
                  <w:t>TLV-TWA: 1.0 mg/m</w:t>
                </w:r>
                <w:r w:rsidR="00A43655" w:rsidRPr="00A43655">
                  <w:rPr>
                    <w:vertAlign w:val="superscript"/>
                  </w:rPr>
                  <w:t>3</w:t>
                </w:r>
                <w:r w:rsidR="00F356C0">
                  <w:rPr>
                    <w:vertAlign w:val="superscript"/>
                  </w:rPr>
                  <w:t xml:space="preserve"> </w:t>
                </w:r>
                <w:r w:rsidR="00D514C4">
                  <w:t>(Platinum, metal); TLV-TWA: 0.002 mg/m</w:t>
                </w:r>
                <w:r w:rsidR="00D514C4">
                  <w:rPr>
                    <w:vertAlign w:val="superscript"/>
                  </w:rPr>
                  <w:t>3</w:t>
                </w:r>
                <w:r w:rsidR="00D514C4">
                  <w:t xml:space="preserve"> (Platinum</w:t>
                </w:r>
                <w:r w:rsidR="00D52462">
                  <w:t xml:space="preserve"> soluble salts as Pt)</w:t>
                </w:r>
                <w:r w:rsidR="00D514C4">
                  <w:t xml:space="preserve"> </w:t>
                </w:r>
              </w:sdtContent>
            </w:sdt>
          </w:p>
        </w:tc>
      </w:tr>
      <w:tr w:rsidR="00C978F0" w:rsidRPr="00DA352E" w14:paraId="659D9422" w14:textId="77777777" w:rsidTr="00627CB1">
        <w:tc>
          <w:tcPr>
            <w:tcW w:w="5000" w:type="pct"/>
            <w:gridSpan w:val="2"/>
          </w:tcPr>
          <w:p w14:paraId="18D8BE28" w14:textId="3FBCAA66" w:rsidR="00C978F0" w:rsidRDefault="00315B69" w:rsidP="006C707C">
            <w:pPr>
              <w:pStyle w:val="Tabletextprimarysource"/>
            </w:pPr>
            <w:r>
              <w:t>TLV-TWA</w:t>
            </w:r>
            <w:r w:rsidR="00D52462">
              <w:t xml:space="preserve"> </w:t>
            </w:r>
            <w:r w:rsidR="00F974F5">
              <w:t>(</w:t>
            </w:r>
            <w:r w:rsidR="008E0E62">
              <w:t>metal</w:t>
            </w:r>
            <w:r w:rsidR="00F974F5">
              <w:t>)</w:t>
            </w:r>
            <w:r w:rsidR="008E0E62">
              <w:t xml:space="preserve"> </w:t>
            </w:r>
            <w:r>
              <w:t>recommended to minimise the potential for respiratory tract irritation, dermatitis and irritation.</w:t>
            </w:r>
          </w:p>
          <w:p w14:paraId="02068B74" w14:textId="243B8D8D" w:rsidR="008E0E62" w:rsidRDefault="008E0E62" w:rsidP="006C707C">
            <w:pPr>
              <w:pStyle w:val="Tabletextprimarysource"/>
            </w:pPr>
            <w:r>
              <w:t xml:space="preserve">TLV-TWA </w:t>
            </w:r>
            <w:r w:rsidR="00F974F5">
              <w:t>(</w:t>
            </w:r>
            <w:r>
              <w:t>soluble salts</w:t>
            </w:r>
            <w:r w:rsidR="00F974F5">
              <w:t>)</w:t>
            </w:r>
            <w:r>
              <w:t xml:space="preserve"> recommended to minimise the potential for </w:t>
            </w:r>
            <w:r w:rsidR="00F974F5">
              <w:t xml:space="preserve">Pt </w:t>
            </w:r>
            <w:r>
              <w:t>salt-induced asthma and sensitisation</w:t>
            </w:r>
            <w:r w:rsidR="00F974F5">
              <w:t>,</w:t>
            </w:r>
            <w:r>
              <w:t xml:space="preserve"> respiratory irritation and dermatitis</w:t>
            </w:r>
            <w:r w:rsidR="00FE3904">
              <w:t>.</w:t>
            </w:r>
          </w:p>
          <w:p w14:paraId="0E91A3B2" w14:textId="01DC9FE9" w:rsidR="00315B69" w:rsidRDefault="00315B69" w:rsidP="006C707C">
            <w:pPr>
              <w:pStyle w:val="Tabletextprimarysource"/>
            </w:pPr>
            <w:r>
              <w:t>Summary of data:</w:t>
            </w:r>
          </w:p>
          <w:p w14:paraId="07EF5BF4" w14:textId="33C445D3" w:rsidR="00D514C4" w:rsidRDefault="00D514C4" w:rsidP="00F974F5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>
              <w:t>Review for both soluble salts and metal dust combined</w:t>
            </w:r>
            <w:r w:rsidR="00F63333">
              <w:t>.</w:t>
            </w:r>
          </w:p>
          <w:p w14:paraId="0C46E084" w14:textId="138FF105" w:rsidR="00D514C4" w:rsidRDefault="00D514C4" w:rsidP="006C707C">
            <w:pPr>
              <w:pStyle w:val="Tabletextprimarysource"/>
            </w:pPr>
            <w:r>
              <w:t>Human data:</w:t>
            </w:r>
          </w:p>
          <w:p w14:paraId="141E06E4" w14:textId="58F64A2D" w:rsidR="00D514C4" w:rsidRDefault="00D52462" w:rsidP="00F974F5">
            <w:pPr>
              <w:pStyle w:val="ListBullet"/>
              <w:numPr>
                <w:ilvl w:val="0"/>
                <w:numId w:val="11"/>
              </w:numPr>
              <w:spacing w:before="60" w:after="60"/>
              <w:contextualSpacing w:val="0"/>
            </w:pPr>
            <w:r>
              <w:t xml:space="preserve">Exposure to </w:t>
            </w:r>
            <w:r w:rsidR="00F974F5">
              <w:t xml:space="preserve">Pt </w:t>
            </w:r>
            <w:r>
              <w:t xml:space="preserve">salts </w:t>
            </w:r>
            <w:r w:rsidR="00DF3D9B">
              <w:t xml:space="preserve">is </w:t>
            </w:r>
            <w:r>
              <w:t>know</w:t>
            </w:r>
            <w:r w:rsidR="00DF3D9B">
              <w:t>n</w:t>
            </w:r>
            <w:r>
              <w:t xml:space="preserve"> to result in complaints of respiratory distress in workers</w:t>
            </w:r>
          </w:p>
          <w:p w14:paraId="061D6C31" w14:textId="18BBBE17" w:rsidR="00D52462" w:rsidRDefault="00F974F5" w:rsidP="00F974F5">
            <w:pPr>
              <w:pStyle w:val="ListBullet"/>
              <w:numPr>
                <w:ilvl w:val="0"/>
                <w:numId w:val="11"/>
              </w:numPr>
              <w:spacing w:before="60" w:after="60"/>
              <w:contextualSpacing w:val="0"/>
            </w:pPr>
            <w:r>
              <w:t xml:space="preserve">Pt </w:t>
            </w:r>
            <w:r w:rsidR="00D52462">
              <w:t>salts well recognised as the etiologic agents in certain asthmatic attacks</w:t>
            </w:r>
          </w:p>
          <w:p w14:paraId="1A5333D1" w14:textId="5C5F57E3" w:rsidR="00F974F5" w:rsidRDefault="00321235" w:rsidP="00F974F5">
            <w:pPr>
              <w:pStyle w:val="ListBullet"/>
              <w:numPr>
                <w:ilvl w:val="0"/>
                <w:numId w:val="11"/>
              </w:numPr>
              <w:spacing w:before="60" w:after="60"/>
              <w:contextualSpacing w:val="0"/>
            </w:pPr>
            <w:r>
              <w:t xml:space="preserve">16 female workers handling </w:t>
            </w:r>
            <w:r w:rsidR="00F974F5">
              <w:t xml:space="preserve">Pt </w:t>
            </w:r>
            <w:r>
              <w:t>salts experienced coughing and nose and throat irritation</w:t>
            </w:r>
            <w:r w:rsidR="00DF3D9B">
              <w:t>:</w:t>
            </w:r>
            <w:r>
              <w:t xml:space="preserve"> </w:t>
            </w:r>
          </w:p>
          <w:p w14:paraId="3E894E39" w14:textId="50BB7CAD" w:rsidR="00F974F5" w:rsidRDefault="00321235" w:rsidP="00F974F5">
            <w:pPr>
              <w:pStyle w:val="ListBullet"/>
              <w:numPr>
                <w:ilvl w:val="0"/>
                <w:numId w:val="14"/>
              </w:numPr>
              <w:spacing w:before="60" w:after="60"/>
              <w:ind w:left="1156"/>
              <w:contextualSpacing w:val="0"/>
            </w:pPr>
            <w:r>
              <w:t xml:space="preserve">8 had nasal ulceration and 1 had bronchial asthma </w:t>
            </w:r>
          </w:p>
          <w:p w14:paraId="58F552F3" w14:textId="43AAD130" w:rsidR="00321235" w:rsidRDefault="00321235" w:rsidP="00F974F5">
            <w:pPr>
              <w:pStyle w:val="ListBullet"/>
              <w:numPr>
                <w:ilvl w:val="0"/>
                <w:numId w:val="14"/>
              </w:numPr>
              <w:spacing w:before="60" w:after="60"/>
              <w:ind w:left="1156"/>
              <w:contextualSpacing w:val="0"/>
            </w:pPr>
            <w:r>
              <w:t>time employed range from 2</w:t>
            </w:r>
            <w:r w:rsidR="00F63333">
              <w:t>–</w:t>
            </w:r>
            <w:r>
              <w:t xml:space="preserve">10 </w:t>
            </w:r>
            <w:proofErr w:type="spellStart"/>
            <w:r>
              <w:t>mo</w:t>
            </w:r>
            <w:proofErr w:type="spellEnd"/>
            <w:r w:rsidR="00DF3D9B">
              <w:t xml:space="preserve">, </w:t>
            </w:r>
            <w:r w:rsidR="00F975F3">
              <w:t>no further details</w:t>
            </w:r>
          </w:p>
          <w:p w14:paraId="193ACA52" w14:textId="5C0D7884" w:rsidR="00F974F5" w:rsidRDefault="00F975F3" w:rsidP="00F974F5">
            <w:pPr>
              <w:pStyle w:val="ListBullet"/>
              <w:numPr>
                <w:ilvl w:val="0"/>
                <w:numId w:val="11"/>
              </w:numPr>
              <w:spacing w:before="60" w:after="60"/>
              <w:contextualSpacing w:val="0"/>
            </w:pPr>
            <w:r>
              <w:t>Rhinorrhoea in 52</w:t>
            </w:r>
            <w:r w:rsidR="00FE3904">
              <w:t>/</w:t>
            </w:r>
            <w:r>
              <w:t xml:space="preserve">91 exposed workers employed in four </w:t>
            </w:r>
            <w:r w:rsidR="00F974F5">
              <w:t xml:space="preserve">Pt </w:t>
            </w:r>
            <w:r>
              <w:t>refineries</w:t>
            </w:r>
            <w:r w:rsidR="00D77CB4">
              <w:t>:</w:t>
            </w:r>
          </w:p>
          <w:p w14:paraId="575DB576" w14:textId="423694FC" w:rsidR="00321235" w:rsidRDefault="00F974F5" w:rsidP="00F974F5">
            <w:pPr>
              <w:pStyle w:val="ListBullet"/>
              <w:numPr>
                <w:ilvl w:val="0"/>
                <w:numId w:val="14"/>
              </w:numPr>
              <w:spacing w:before="60" w:after="60"/>
              <w:ind w:left="1156"/>
              <w:contextualSpacing w:val="0"/>
            </w:pPr>
            <w:r>
              <w:t>a</w:t>
            </w:r>
            <w:r w:rsidR="00F975F3">
              <w:t xml:space="preserve">ir </w:t>
            </w:r>
            <w:r w:rsidR="00DF3D9B">
              <w:t xml:space="preserve">monitoring of </w:t>
            </w:r>
            <w:r>
              <w:t xml:space="preserve">Pt </w:t>
            </w:r>
            <w:r w:rsidR="00F975F3">
              <w:t xml:space="preserve">levels </w:t>
            </w:r>
            <w:r w:rsidR="00DF3D9B">
              <w:t xml:space="preserve">ranged </w:t>
            </w:r>
            <w:r w:rsidR="00F975F3">
              <w:t>from 900 mg/m</w:t>
            </w:r>
            <w:r w:rsidR="00F975F3" w:rsidRPr="00F975F3">
              <w:rPr>
                <w:vertAlign w:val="superscript"/>
              </w:rPr>
              <w:t>3</w:t>
            </w:r>
            <w:r w:rsidR="00F975F3">
              <w:t xml:space="preserve"> to 1,700 g/m</w:t>
            </w:r>
            <w:r w:rsidR="00F975F3">
              <w:rPr>
                <w:vertAlign w:val="superscript"/>
              </w:rPr>
              <w:t>3</w:t>
            </w:r>
          </w:p>
          <w:p w14:paraId="2CB8D3BD" w14:textId="0E89ED40" w:rsidR="00F974F5" w:rsidRDefault="00F975F3" w:rsidP="00F974F5">
            <w:pPr>
              <w:pStyle w:val="ListBullet"/>
              <w:numPr>
                <w:ilvl w:val="0"/>
                <w:numId w:val="11"/>
              </w:numPr>
              <w:spacing w:before="60" w:after="60"/>
              <w:contextualSpacing w:val="0"/>
            </w:pPr>
            <w:r>
              <w:t xml:space="preserve">Report of </w:t>
            </w:r>
            <w:proofErr w:type="spellStart"/>
            <w:r>
              <w:t>platinosis</w:t>
            </w:r>
            <w:proofErr w:type="spellEnd"/>
            <w:r>
              <w:t xml:space="preserve"> in laboratory workers using and refining </w:t>
            </w:r>
            <w:r w:rsidR="00F974F5">
              <w:t>Pt</w:t>
            </w:r>
            <w:r w:rsidR="00D77CB4">
              <w:t>:</w:t>
            </w:r>
            <w:r>
              <w:t xml:space="preserve"> </w:t>
            </w:r>
          </w:p>
          <w:p w14:paraId="30283A1D" w14:textId="70DB6B85" w:rsidR="00F975F3" w:rsidRDefault="00F975F3" w:rsidP="00F974F5">
            <w:pPr>
              <w:pStyle w:val="ListBullet"/>
              <w:numPr>
                <w:ilvl w:val="0"/>
                <w:numId w:val="14"/>
              </w:numPr>
              <w:spacing w:before="60" w:after="60"/>
              <w:ind w:left="1156"/>
              <w:contextualSpacing w:val="0"/>
            </w:pPr>
            <w:r>
              <w:t>progressive, allergic reaction leading to pronounced asthmatic symptoms</w:t>
            </w:r>
          </w:p>
          <w:p w14:paraId="3EEDF5B3" w14:textId="586E8764" w:rsidR="00315B69" w:rsidRDefault="00F975F3" w:rsidP="00F974F5">
            <w:pPr>
              <w:pStyle w:val="ListBullet"/>
              <w:numPr>
                <w:ilvl w:val="0"/>
                <w:numId w:val="11"/>
              </w:numPr>
              <w:spacing w:before="60" w:after="60"/>
              <w:contextualSpacing w:val="0"/>
            </w:pPr>
            <w:r>
              <w:t xml:space="preserve">Published reports of allergic skin disease in workers exposed to soluble </w:t>
            </w:r>
            <w:r w:rsidR="00F974F5">
              <w:t xml:space="preserve">Pt </w:t>
            </w:r>
            <w:r>
              <w:t>salts</w:t>
            </w:r>
            <w:r w:rsidR="000F278B">
              <w:t xml:space="preserve">; once allergy to the soluble </w:t>
            </w:r>
            <w:r w:rsidR="00F974F5">
              <w:t xml:space="preserve">Pt </w:t>
            </w:r>
            <w:r w:rsidR="000F278B">
              <w:t>salts has developed, it generally precluded continued occupational exposure</w:t>
            </w:r>
            <w:r w:rsidR="00F63333">
              <w:t>.</w:t>
            </w:r>
          </w:p>
          <w:p w14:paraId="2E3941C9" w14:textId="41E66643" w:rsidR="001334A0" w:rsidRPr="00DA352E" w:rsidRDefault="001334A0" w:rsidP="006C707C">
            <w:pPr>
              <w:pStyle w:val="ListBullet"/>
              <w:numPr>
                <w:ilvl w:val="0"/>
                <w:numId w:val="0"/>
              </w:numPr>
              <w:spacing w:before="60" w:after="60"/>
            </w:pPr>
          </w:p>
        </w:tc>
      </w:tr>
      <w:tr w:rsidR="00C978F0" w:rsidRPr="00DA352E" w14:paraId="29031F20" w14:textId="77777777" w:rsidTr="00627CB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948CD91" w14:textId="70FADB84" w:rsidR="00C978F0" w:rsidRPr="00DA352E" w:rsidRDefault="00DA352E" w:rsidP="006C707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4365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A43655">
                  <w:t>NA</w:t>
                </w:r>
                <w:proofErr w:type="spellEnd"/>
              </w:sdtContent>
            </w:sdt>
          </w:p>
        </w:tc>
      </w:tr>
      <w:tr w:rsidR="00C978F0" w:rsidRPr="00DA352E" w14:paraId="2E53D1D2" w14:textId="77777777" w:rsidTr="00627CB1">
        <w:tc>
          <w:tcPr>
            <w:tcW w:w="5000" w:type="pct"/>
            <w:gridSpan w:val="2"/>
          </w:tcPr>
          <w:p w14:paraId="77CDD43B" w14:textId="7642D5A0" w:rsidR="00C978F0" w:rsidRPr="00DA352E" w:rsidRDefault="00A43655" w:rsidP="006C707C">
            <w:pPr>
              <w:pStyle w:val="Tabletextprimarysource"/>
            </w:pPr>
            <w:r>
              <w:t>No report</w:t>
            </w:r>
            <w:r w:rsidR="00F63333">
              <w:t>.</w:t>
            </w:r>
          </w:p>
        </w:tc>
      </w:tr>
      <w:tr w:rsidR="00C978F0" w:rsidRPr="00DA352E" w14:paraId="3E68272E" w14:textId="77777777" w:rsidTr="00627CB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0A53ED4" w14:textId="327F33C8" w:rsidR="00C978F0" w:rsidRPr="00DA352E" w:rsidRDefault="00DA352E" w:rsidP="006C707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43655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A43655">
                  <w:t>Not assigned</w:t>
                </w:r>
              </w:sdtContent>
            </w:sdt>
          </w:p>
        </w:tc>
      </w:tr>
      <w:tr w:rsidR="00C978F0" w:rsidRPr="00DA352E" w14:paraId="59BAFE6F" w14:textId="77777777" w:rsidTr="00627CB1">
        <w:tc>
          <w:tcPr>
            <w:tcW w:w="5000" w:type="pct"/>
            <w:gridSpan w:val="2"/>
          </w:tcPr>
          <w:p w14:paraId="5AFB79E9" w14:textId="56A1A30A" w:rsidR="00C978F0" w:rsidRDefault="00DF3D9B" w:rsidP="006C707C">
            <w:pPr>
              <w:pStyle w:val="Tabletextprimarysource"/>
            </w:pPr>
            <w:r>
              <w:t>D</w:t>
            </w:r>
            <w:r w:rsidR="000F278B">
              <w:t xml:space="preserve">ata on the toxicity of </w:t>
            </w:r>
            <w:r w:rsidR="00F974F5">
              <w:t xml:space="preserve">Pt </w:t>
            </w:r>
            <w:r w:rsidR="000F278B">
              <w:t xml:space="preserve">metal, insoluble </w:t>
            </w:r>
            <w:r w:rsidR="00F974F5">
              <w:t xml:space="preserve">Pt </w:t>
            </w:r>
            <w:r w:rsidR="000F278B">
              <w:t xml:space="preserve">compounds and soluble </w:t>
            </w:r>
            <w:r w:rsidR="00F974F5">
              <w:t xml:space="preserve">Pt </w:t>
            </w:r>
            <w:r w:rsidR="000F278B">
              <w:t>compounds are insufficient to allow recommendation of a health-based OEL.</w:t>
            </w:r>
          </w:p>
          <w:p w14:paraId="66694D22" w14:textId="77777777" w:rsidR="000F278B" w:rsidRDefault="00825617" w:rsidP="006C707C">
            <w:pPr>
              <w:pStyle w:val="Tabletextprimarysource"/>
            </w:pPr>
            <w:r>
              <w:t>Summary of additional data:</w:t>
            </w:r>
          </w:p>
          <w:p w14:paraId="12C36543" w14:textId="3B73FD23" w:rsidR="00825617" w:rsidRDefault="00DF3D9B" w:rsidP="00F974F5">
            <w:pPr>
              <w:pStyle w:val="ListBullet"/>
              <w:numPr>
                <w:ilvl w:val="0"/>
                <w:numId w:val="12"/>
              </w:numPr>
              <w:spacing w:before="60" w:after="60"/>
              <w:contextualSpacing w:val="0"/>
            </w:pPr>
            <w:r>
              <w:t xml:space="preserve">No data in humans reported about </w:t>
            </w:r>
            <w:r w:rsidR="00F974F5">
              <w:t xml:space="preserve">Pt </w:t>
            </w:r>
            <w:r w:rsidR="00825617">
              <w:t xml:space="preserve">metal and insoluble </w:t>
            </w:r>
            <w:r w:rsidR="00F974F5">
              <w:t xml:space="preserve">Pt </w:t>
            </w:r>
            <w:r w:rsidR="00825617">
              <w:t>compounds</w:t>
            </w:r>
            <w:r>
              <w:t xml:space="preserve">, </w:t>
            </w:r>
            <w:r w:rsidR="00825617">
              <w:t xml:space="preserve">other than one case of dermatitis due to a </w:t>
            </w:r>
            <w:r w:rsidR="00F974F5">
              <w:t xml:space="preserve">Pt </w:t>
            </w:r>
            <w:r w:rsidR="00825617">
              <w:t xml:space="preserve">ring and one case of contact stomatitis due to </w:t>
            </w:r>
            <w:r w:rsidR="00F974F5">
              <w:t xml:space="preserve">Pt </w:t>
            </w:r>
            <w:r w:rsidR="00825617">
              <w:t>in a dental alloy</w:t>
            </w:r>
          </w:p>
          <w:p w14:paraId="2041DAB8" w14:textId="228DD68C" w:rsidR="00825617" w:rsidRDefault="00DF3D9B" w:rsidP="00F974F5">
            <w:pPr>
              <w:pStyle w:val="ListBullet"/>
              <w:numPr>
                <w:ilvl w:val="0"/>
                <w:numId w:val="12"/>
              </w:numPr>
              <w:spacing w:before="60" w:after="60"/>
              <w:contextualSpacing w:val="0"/>
            </w:pPr>
            <w:r>
              <w:t>M</w:t>
            </w:r>
            <w:r w:rsidR="00825617" w:rsidRPr="00825617">
              <w:t>ost significant risks from occupational exposure to water</w:t>
            </w:r>
            <w:r w:rsidR="00825617">
              <w:t>-</w:t>
            </w:r>
            <w:r w:rsidR="00825617" w:rsidRPr="00825617">
              <w:t xml:space="preserve">soluble </w:t>
            </w:r>
            <w:r w:rsidR="00F974F5">
              <w:t>Pt</w:t>
            </w:r>
            <w:r w:rsidR="00F974F5" w:rsidRPr="00825617">
              <w:t xml:space="preserve"> </w:t>
            </w:r>
            <w:r w:rsidR="00825617" w:rsidRPr="00825617">
              <w:t>salts are respiratory sensitisation and skin effects</w:t>
            </w:r>
          </w:p>
          <w:p w14:paraId="71F22C46" w14:textId="0EC6DF3C" w:rsidR="00825617" w:rsidRDefault="00DF3D9B" w:rsidP="00F974F5">
            <w:pPr>
              <w:pStyle w:val="ListBullet"/>
              <w:numPr>
                <w:ilvl w:val="0"/>
                <w:numId w:val="12"/>
              </w:numPr>
              <w:spacing w:before="60" w:after="60"/>
              <w:contextualSpacing w:val="0"/>
            </w:pPr>
            <w:r>
              <w:t>E</w:t>
            </w:r>
            <w:r w:rsidR="00825617">
              <w:t>xposure to chloroplatinates at levels below 10 ng/m</w:t>
            </w:r>
            <w:r w:rsidR="00825617" w:rsidRPr="00825617">
              <w:rPr>
                <w:vertAlign w:val="superscript"/>
              </w:rPr>
              <w:t>3</w:t>
            </w:r>
            <w:r w:rsidR="00825617">
              <w:t xml:space="preserve"> is not expected to cause sensitisation</w:t>
            </w:r>
            <w:r w:rsidR="00D07103">
              <w:t>; n</w:t>
            </w:r>
            <w:r w:rsidR="00825617">
              <w:t>o further information</w:t>
            </w:r>
          </w:p>
          <w:p w14:paraId="774376B5" w14:textId="7E6EB9E4" w:rsidR="00825617" w:rsidRDefault="00B1185B" w:rsidP="00F974F5">
            <w:pPr>
              <w:pStyle w:val="ListBullet"/>
              <w:numPr>
                <w:ilvl w:val="0"/>
                <w:numId w:val="12"/>
              </w:numPr>
              <w:spacing w:before="60" w:after="60"/>
              <w:contextualSpacing w:val="0"/>
            </w:pPr>
            <w:r>
              <w:lastRenderedPageBreak/>
              <w:t>E</w:t>
            </w:r>
            <w:r w:rsidR="00825617">
              <w:t xml:space="preserve">xposure to levels of </w:t>
            </w:r>
            <w:proofErr w:type="spellStart"/>
            <w:r w:rsidR="00825617">
              <w:t>tetraammineplatinum</w:t>
            </w:r>
            <w:proofErr w:type="spellEnd"/>
            <w:r w:rsidR="00825617">
              <w:t xml:space="preserve"> dichloride mostly below 0.5 µg/m</w:t>
            </w:r>
            <w:r w:rsidR="00825617" w:rsidRPr="00825617">
              <w:rPr>
                <w:vertAlign w:val="superscript"/>
              </w:rPr>
              <w:t>3</w:t>
            </w:r>
            <w:r w:rsidR="00825617">
              <w:t xml:space="preserve"> but occasionally higher than 2 or 10 µg/m</w:t>
            </w:r>
            <w:r w:rsidR="00825617" w:rsidRPr="00825617">
              <w:rPr>
                <w:vertAlign w:val="superscript"/>
              </w:rPr>
              <w:t>3</w:t>
            </w:r>
            <w:r w:rsidR="00825617">
              <w:t xml:space="preserve"> did not result in allergic reactions in workers</w:t>
            </w:r>
            <w:r w:rsidR="00077320">
              <w:t>; no further information</w:t>
            </w:r>
          </w:p>
          <w:p w14:paraId="14ECC018" w14:textId="77777777" w:rsidR="00077320" w:rsidRDefault="00077320" w:rsidP="00F974F5">
            <w:pPr>
              <w:pStyle w:val="ListBullet"/>
              <w:numPr>
                <w:ilvl w:val="0"/>
                <w:numId w:val="12"/>
              </w:numPr>
              <w:spacing w:before="60" w:after="60"/>
              <w:contextualSpacing w:val="0"/>
            </w:pPr>
            <w:r>
              <w:t>Data in animals indicate</w:t>
            </w:r>
            <w:r w:rsidR="00C6741B">
              <w:t>s</w:t>
            </w:r>
            <w:r>
              <w:t xml:space="preserve"> soluble chloroplatinates are sensitising agents.</w:t>
            </w:r>
          </w:p>
          <w:p w14:paraId="3CB3D339" w14:textId="543F2149" w:rsidR="001334A0" w:rsidRPr="00DA352E" w:rsidRDefault="001334A0" w:rsidP="006C707C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  <w:tr w:rsidR="00DA352E" w:rsidRPr="00DA352E" w14:paraId="588896EE" w14:textId="77777777" w:rsidTr="00627CB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5BFC229" w14:textId="5CE41722" w:rsidR="00DA352E" w:rsidRPr="00DA352E" w:rsidRDefault="00DA352E" w:rsidP="006C707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4365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43655">
                  <w:t>NA</w:t>
                </w:r>
                <w:proofErr w:type="spellEnd"/>
              </w:sdtContent>
            </w:sdt>
          </w:p>
        </w:tc>
      </w:tr>
      <w:tr w:rsidR="00DA352E" w:rsidRPr="00DA352E" w14:paraId="73409629" w14:textId="77777777" w:rsidTr="00627CB1">
        <w:tc>
          <w:tcPr>
            <w:tcW w:w="5000" w:type="pct"/>
            <w:gridSpan w:val="2"/>
          </w:tcPr>
          <w:p w14:paraId="0B130201" w14:textId="7D0A4B37" w:rsidR="00DA352E" w:rsidRPr="00DA352E" w:rsidRDefault="00A43655" w:rsidP="006C707C">
            <w:pPr>
              <w:pStyle w:val="Tabletextprimarysource"/>
            </w:pPr>
            <w:r>
              <w:t>No report</w:t>
            </w:r>
            <w:r w:rsidR="00F63333">
              <w:t>.</w:t>
            </w:r>
          </w:p>
        </w:tc>
      </w:tr>
      <w:tr w:rsidR="00DA352E" w:rsidRPr="00DA352E" w14:paraId="5B9E2E5E" w14:textId="77777777" w:rsidTr="00627CB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FCD8CC5" w14:textId="1E1CDD7B" w:rsidR="00DA352E" w:rsidRPr="00DA352E" w:rsidRDefault="00DA352E" w:rsidP="006C707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43655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43655" w:rsidRPr="00A43655">
                  <w:t>TWA</w:t>
                </w:r>
                <w:r w:rsidR="00A43655">
                  <w:t>: 1.0 mg/m</w:t>
                </w:r>
                <w:r w:rsidR="009F2DE4">
                  <w:rPr>
                    <w:vertAlign w:val="superscript"/>
                  </w:rPr>
                  <w:t xml:space="preserve">3 </w:t>
                </w:r>
                <w:r w:rsidR="009F2DE4">
                  <w:t>(metallic platinum)</w:t>
                </w:r>
              </w:sdtContent>
            </w:sdt>
          </w:p>
        </w:tc>
      </w:tr>
      <w:tr w:rsidR="00DA352E" w:rsidRPr="00DA352E" w14:paraId="7DA9008D" w14:textId="77777777" w:rsidTr="00627CB1">
        <w:tc>
          <w:tcPr>
            <w:tcW w:w="5000" w:type="pct"/>
            <w:gridSpan w:val="2"/>
          </w:tcPr>
          <w:p w14:paraId="6286843E" w14:textId="16CBDDC7" w:rsidR="00DA352E" w:rsidRDefault="009F2DE4" w:rsidP="006C707C">
            <w:pPr>
              <w:pStyle w:val="Tabletextprimarysource"/>
            </w:pPr>
            <w:r>
              <w:t xml:space="preserve">A legally binding limit for metallic </w:t>
            </w:r>
            <w:r w:rsidR="00F974F5">
              <w:t xml:space="preserve">Pt </w:t>
            </w:r>
            <w:r>
              <w:t>in line with European Commission directives.</w:t>
            </w:r>
          </w:p>
          <w:p w14:paraId="4E09E578" w14:textId="2607CA20" w:rsidR="009F2DE4" w:rsidRDefault="009F2DE4" w:rsidP="006C707C">
            <w:pPr>
              <w:pStyle w:val="Tabletextprimarysource"/>
            </w:pPr>
            <w:r>
              <w:t xml:space="preserve">No limit values for </w:t>
            </w:r>
            <w:r w:rsidR="00F974F5">
              <w:t xml:space="preserve">Pt </w:t>
            </w:r>
            <w:r>
              <w:t>compounds</w:t>
            </w:r>
            <w:r w:rsidR="004F21C7">
              <w:t>.</w:t>
            </w:r>
          </w:p>
          <w:p w14:paraId="45A30F75" w14:textId="77777777" w:rsidR="009F2DE4" w:rsidRDefault="009F2DE4" w:rsidP="006C707C">
            <w:pPr>
              <w:pStyle w:val="Tabletextprimarysource"/>
            </w:pPr>
            <w:r>
              <w:t>Summary of additional data:</w:t>
            </w:r>
          </w:p>
          <w:p w14:paraId="4D221827" w14:textId="78DE4966" w:rsidR="009F2DE4" w:rsidRDefault="00B1185B" w:rsidP="00F974F5">
            <w:pPr>
              <w:pStyle w:val="ListBullet"/>
              <w:numPr>
                <w:ilvl w:val="0"/>
                <w:numId w:val="13"/>
              </w:numPr>
              <w:spacing w:before="60" w:after="60"/>
              <w:contextualSpacing w:val="0"/>
            </w:pPr>
            <w:r>
              <w:t>T</w:t>
            </w:r>
            <w:r w:rsidR="009F2DE4">
              <w:t>he toxicological database does not allow the recommendation of a health-based OEL for soluble platinum compound</w:t>
            </w:r>
          </w:p>
          <w:p w14:paraId="338904B3" w14:textId="77777777" w:rsidR="009F2DE4" w:rsidRDefault="009F2DE4" w:rsidP="00F974F5">
            <w:pPr>
              <w:pStyle w:val="ListBullet"/>
              <w:numPr>
                <w:ilvl w:val="0"/>
                <w:numId w:val="13"/>
              </w:numPr>
              <w:spacing w:before="60" w:after="60"/>
              <w:contextualSpacing w:val="0"/>
            </w:pPr>
            <w:r>
              <w:t xml:space="preserve">Study in workers indicate that an </w:t>
            </w:r>
            <w:r w:rsidR="004F21C7">
              <w:t>OEL</w:t>
            </w:r>
            <w:r>
              <w:t xml:space="preserve"> of 0.5 </w:t>
            </w:r>
            <w:r>
              <w:rPr>
                <w:rFonts w:cs="Arial"/>
              </w:rPr>
              <w:t>µ</w:t>
            </w:r>
            <w:r>
              <w:t>g/m</w:t>
            </w:r>
            <w:r w:rsidRPr="009F2DE4">
              <w:rPr>
                <w:vertAlign w:val="superscript"/>
              </w:rPr>
              <w:t>3</w:t>
            </w:r>
            <w:r>
              <w:t xml:space="preserve"> for </w:t>
            </w:r>
            <w:proofErr w:type="spellStart"/>
            <w:r>
              <w:t>tetraammineplatinum</w:t>
            </w:r>
            <w:proofErr w:type="spellEnd"/>
            <w:r>
              <w:t xml:space="preserve"> dichloride is </w:t>
            </w:r>
            <w:bookmarkStart w:id="0" w:name="_GoBack"/>
            <w:r>
              <w:t xml:space="preserve">not associated with toxicity; could </w:t>
            </w:r>
            <w:r w:rsidR="00F63333">
              <w:t xml:space="preserve">be </w:t>
            </w:r>
            <w:r>
              <w:t>used as an upper limit for workers (</w:t>
            </w:r>
            <w:r w:rsidR="004F21C7">
              <w:t>c</w:t>
            </w:r>
            <w:r>
              <w:t xml:space="preserve">ited by SCOEL, </w:t>
            </w:r>
            <w:bookmarkEnd w:id="0"/>
            <w:r>
              <w:t>2011)</w:t>
            </w:r>
            <w:r w:rsidR="00F63333">
              <w:t>.</w:t>
            </w:r>
          </w:p>
          <w:p w14:paraId="5E65ACF4" w14:textId="08DD7974" w:rsidR="001334A0" w:rsidRPr="00DA352E" w:rsidRDefault="001334A0" w:rsidP="006C707C">
            <w:pPr>
              <w:pStyle w:val="ListBullet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57872159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0C0224BB" w14:textId="47B2E02C" w:rsidR="007E2A4B" w:rsidRDefault="00F63333">
      <w:r>
        <w:t>NIL</w:t>
      </w:r>
      <w:r w:rsidR="004F21C7">
        <w:t>.</w:t>
      </w:r>
    </w:p>
    <w:bookmarkEnd w:id="1"/>
    <w:p w14:paraId="4947D5D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9A3F566" w14:textId="77777777" w:rsidTr="008E0E62">
        <w:trPr>
          <w:trHeight w:val="454"/>
          <w:tblHeader/>
        </w:trPr>
        <w:tc>
          <w:tcPr>
            <w:tcW w:w="6603" w:type="dxa"/>
            <w:vAlign w:val="center"/>
          </w:tcPr>
          <w:p w14:paraId="63E3684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623E20E" w14:textId="52B35AE9" w:rsidR="002E0D61" w:rsidRDefault="008E0E6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3062AE4" w14:textId="77777777" w:rsidTr="008E0E6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B4E0D52" w14:textId="38AD853C" w:rsidR="008A36CF" w:rsidRPr="006901A2" w:rsidRDefault="008E0E6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C61E7C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2A1D2DE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631BC4B" w14:textId="77777777" w:rsidTr="00627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C7676EB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7BCEF3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79253C9" w14:textId="77777777" w:rsidTr="00627CB1">
        <w:trPr>
          <w:cantSplit/>
        </w:trPr>
        <w:tc>
          <w:tcPr>
            <w:tcW w:w="3227" w:type="dxa"/>
          </w:tcPr>
          <w:p w14:paraId="0D113C47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94217A7" w14:textId="1932F844" w:rsidR="00687890" w:rsidRPr="00DD2F9B" w:rsidRDefault="00A43655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B4176D6" w14:textId="77777777" w:rsidTr="00627CB1">
        <w:trPr>
          <w:cantSplit/>
        </w:trPr>
        <w:tc>
          <w:tcPr>
            <w:tcW w:w="3227" w:type="dxa"/>
          </w:tcPr>
          <w:p w14:paraId="33A511F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EB04484" w14:textId="6C7D4831" w:rsidR="007925F0" w:rsidRPr="00DD2F9B" w:rsidRDefault="00A43655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241A9FD" w14:textId="77777777" w:rsidTr="00627CB1">
        <w:trPr>
          <w:cantSplit/>
        </w:trPr>
        <w:tc>
          <w:tcPr>
            <w:tcW w:w="3227" w:type="dxa"/>
          </w:tcPr>
          <w:p w14:paraId="0978C56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939320A" w14:textId="184A68C5" w:rsidR="00AF483F" w:rsidRPr="00DD2F9B" w:rsidRDefault="00A4365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665C713" w14:textId="77777777" w:rsidTr="00627CB1">
        <w:trPr>
          <w:cantSplit/>
        </w:trPr>
        <w:tc>
          <w:tcPr>
            <w:tcW w:w="3227" w:type="dxa"/>
          </w:tcPr>
          <w:p w14:paraId="4C23083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6FF978C" w14:textId="6967CCB1" w:rsidR="00687890" w:rsidRPr="00DD2F9B" w:rsidRDefault="00A4365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F3EAB40" w14:textId="77777777" w:rsidTr="00627CB1">
        <w:trPr>
          <w:cantSplit/>
        </w:trPr>
        <w:tc>
          <w:tcPr>
            <w:tcW w:w="3227" w:type="dxa"/>
          </w:tcPr>
          <w:p w14:paraId="49930F6D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9C3952D" w14:textId="5466BD3B" w:rsidR="00E41A26" w:rsidRPr="00DD2F9B" w:rsidRDefault="00A4365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03213D2" w14:textId="77777777" w:rsidTr="00627CB1">
        <w:trPr>
          <w:cantSplit/>
        </w:trPr>
        <w:tc>
          <w:tcPr>
            <w:tcW w:w="3227" w:type="dxa"/>
          </w:tcPr>
          <w:p w14:paraId="323C902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87373E6" w14:textId="0CAF3B73" w:rsidR="002E0D61" w:rsidRPr="00DD2F9B" w:rsidRDefault="00A4365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68468134" w14:textId="77777777" w:rsidTr="00627CB1">
        <w:trPr>
          <w:cantSplit/>
        </w:trPr>
        <w:tc>
          <w:tcPr>
            <w:tcW w:w="3227" w:type="dxa"/>
          </w:tcPr>
          <w:p w14:paraId="7C2F544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EC009D8" w14:textId="737F291E" w:rsidR="002E0D61" w:rsidRPr="00DD2F9B" w:rsidRDefault="00E0463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910B0C4" w14:textId="77777777" w:rsidTr="00627CB1">
        <w:trPr>
          <w:cantSplit/>
        </w:trPr>
        <w:tc>
          <w:tcPr>
            <w:tcW w:w="3227" w:type="dxa"/>
          </w:tcPr>
          <w:p w14:paraId="73D78AA5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EEEC538" w14:textId="6D25475C" w:rsidR="002E0D61" w:rsidRPr="00DD2F9B" w:rsidRDefault="00E04637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3213CD32" w14:textId="77777777" w:rsidTr="00627CB1">
        <w:trPr>
          <w:cantSplit/>
        </w:trPr>
        <w:tc>
          <w:tcPr>
            <w:tcW w:w="3227" w:type="dxa"/>
          </w:tcPr>
          <w:p w14:paraId="305A0441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861FC2C" w14:textId="07D1E3CD" w:rsidR="002E0D61" w:rsidRPr="00DD2F9B" w:rsidRDefault="00E04637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2B4FB521" w14:textId="77777777" w:rsidTr="00627CB1">
        <w:trPr>
          <w:cantSplit/>
        </w:trPr>
        <w:tc>
          <w:tcPr>
            <w:tcW w:w="3227" w:type="dxa"/>
          </w:tcPr>
          <w:p w14:paraId="3CB3CD4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8D62B80" w14:textId="6E2097DB" w:rsidR="00386093" w:rsidRPr="00DD2F9B" w:rsidRDefault="00E0463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9061D9C" w14:textId="77777777" w:rsidTr="00627CB1">
        <w:trPr>
          <w:cantSplit/>
        </w:trPr>
        <w:tc>
          <w:tcPr>
            <w:tcW w:w="3227" w:type="dxa"/>
          </w:tcPr>
          <w:p w14:paraId="2BE46E7C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756F4710" w14:textId="6CE87EFA" w:rsidR="00386093" w:rsidRPr="00DD2F9B" w:rsidRDefault="00E0463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AAAB9A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29FDB5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9E10A66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AE2C2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656A9A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195894F1" w14:textId="5F9F7949" w:rsidR="00932DCE" w:rsidRPr="004C23F4" w:rsidRDefault="008E0E62" w:rsidP="00F9496B">
            <w:pPr>
              <w:pStyle w:val="Tablefont"/>
            </w:pPr>
            <w:r>
              <w:t xml:space="preserve">Insufficient data to </w:t>
            </w:r>
            <w:r w:rsidR="00F63333">
              <w:t xml:space="preserve">assign </w:t>
            </w:r>
            <w:r>
              <w:t>a skin notation</w:t>
            </w:r>
            <w:r w:rsidR="00F974F5">
              <w:t>.</w:t>
            </w:r>
          </w:p>
        </w:tc>
      </w:tr>
    </w:tbl>
    <w:bookmarkEnd w:id="4"/>
    <w:p w14:paraId="75B67BA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6C6A6EB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4B27A6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E0DA471" w14:textId="183C0094" w:rsidR="00EB3D1B" w:rsidRDefault="00E04637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4A2689CC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824D4C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38121D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FB0613" w14:textId="0F502645" w:rsidR="001B79E5" w:rsidRDefault="00E04637" w:rsidP="001B79E5">
                <w:pPr>
                  <w:pStyle w:val="Tablefont"/>
                </w:pPr>
                <w:r w:rsidRPr="00E04637">
                  <w:t>195.08</w:t>
                </w:r>
                <w:r>
                  <w:t xml:space="preserve"> </w:t>
                </w:r>
              </w:p>
            </w:tc>
          </w:sdtContent>
        </w:sdt>
      </w:tr>
      <w:tr w:rsidR="00A31D99" w:rsidRPr="004C23F4" w14:paraId="1367AE9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802BF6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C7519B2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906F0D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BA2748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25E5C4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D40D91E" w14:textId="77777777" w:rsidTr="00EA6243">
        <w:trPr>
          <w:cantSplit/>
        </w:trPr>
        <w:tc>
          <w:tcPr>
            <w:tcW w:w="4077" w:type="dxa"/>
            <w:vAlign w:val="center"/>
          </w:tcPr>
          <w:p w14:paraId="0A51B13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B072C7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2F234B1" w14:textId="77777777" w:rsidTr="00EA6243">
        <w:trPr>
          <w:cantSplit/>
        </w:trPr>
        <w:tc>
          <w:tcPr>
            <w:tcW w:w="4077" w:type="dxa"/>
            <w:vAlign w:val="center"/>
          </w:tcPr>
          <w:p w14:paraId="1BD64DA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76E063E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9DC6F1E" w14:textId="77777777" w:rsidTr="00EA6243">
        <w:trPr>
          <w:cantSplit/>
        </w:trPr>
        <w:tc>
          <w:tcPr>
            <w:tcW w:w="4077" w:type="dxa"/>
            <w:vAlign w:val="center"/>
          </w:tcPr>
          <w:p w14:paraId="40DC3EA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C5D1430" w14:textId="77777777" w:rsidR="00E06F40" w:rsidRPr="00A006A0" w:rsidRDefault="00627CB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89FD181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4C28E6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635023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AA3460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BAC5859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6DCE14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2BA2F1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DC6188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3A72CB0" w14:textId="08BE07E6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D41BA99" w14:textId="067A57D4" w:rsidR="00E04637" w:rsidRDefault="00E04637" w:rsidP="00E04637">
      <w:r>
        <w:t>EU Scientific Committee on Occupational Exposure Limits (SCOEL) (</w:t>
      </w:r>
      <w:r w:rsidRPr="00E04637">
        <w:t>2011</w:t>
      </w:r>
      <w:r>
        <w:t>) Recommendation from the Scientific Committee on Occupational Exposure Limits for Platinum and Platinum compounds. SCOEL/</w:t>
      </w:r>
      <w:r w:rsidRPr="00E04637">
        <w:t>SUM/150</w:t>
      </w:r>
      <w:r>
        <w:t>.</w:t>
      </w:r>
    </w:p>
    <w:p w14:paraId="2AF8192F" w14:textId="51CCCA84" w:rsidR="00E04637" w:rsidRPr="00351FE0" w:rsidRDefault="00E04637" w:rsidP="00084859">
      <w:r>
        <w:t>Health Council of the Netherlands (HCOTN) (</w:t>
      </w:r>
      <w:r w:rsidRPr="00E04637">
        <w:t>2008</w:t>
      </w:r>
      <w:r>
        <w:t xml:space="preserve">) </w:t>
      </w:r>
      <w:r w:rsidR="004F21C7" w:rsidRPr="00E04637">
        <w:t>Platinum</w:t>
      </w:r>
      <w:r w:rsidRPr="00E04637">
        <w:t xml:space="preserve"> and platinum compounds</w:t>
      </w:r>
      <w:r>
        <w:t xml:space="preserve">. Health-based calculated occupational cancer risk values. The Hague: Health Council of the Netherlands; publication no. </w:t>
      </w:r>
      <w:r w:rsidRPr="00E04637">
        <w:t>2008/12OSH</w:t>
      </w:r>
      <w:r>
        <w:t>.</w:t>
      </w:r>
    </w:p>
    <w:sectPr w:rsidR="00E0463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5734" w14:textId="77777777" w:rsidR="00152FC3" w:rsidRDefault="00152FC3" w:rsidP="00F43AD5">
      <w:pPr>
        <w:spacing w:after="0" w:line="240" w:lineRule="auto"/>
      </w:pPr>
      <w:r>
        <w:separator/>
      </w:r>
    </w:p>
  </w:endnote>
  <w:endnote w:type="continuationSeparator" w:id="0">
    <w:p w14:paraId="3CB848B0" w14:textId="77777777" w:rsidR="00152FC3" w:rsidRDefault="00152FC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0C1C" w14:textId="77777777" w:rsidR="00076579" w:rsidRDefault="00076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EA14DD0" w14:textId="2029A867" w:rsidR="008A36CF" w:rsidRDefault="00A43655" w:rsidP="0034744C">
        <w:pPr>
          <w:pStyle w:val="Footer"/>
          <w:rPr>
            <w:sz w:val="18"/>
            <w:szCs w:val="18"/>
          </w:rPr>
        </w:pPr>
        <w:r w:rsidRPr="00A43655">
          <w:rPr>
            <w:b/>
            <w:sz w:val="18"/>
            <w:szCs w:val="18"/>
          </w:rPr>
          <w:t>Platinum, metal</w:t>
        </w:r>
        <w:r w:rsidR="008A36CF">
          <w:rPr>
            <w:b/>
            <w:sz w:val="18"/>
            <w:szCs w:val="18"/>
          </w:rPr>
          <w:t xml:space="preserve"> (</w:t>
        </w:r>
        <w:r w:rsidRPr="00A43655">
          <w:rPr>
            <w:b/>
            <w:sz w:val="18"/>
            <w:szCs w:val="18"/>
          </w:rPr>
          <w:t>7440-06-4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FE3904" w:rsidRPr="00F43AD5">
          <w:rPr>
            <w:sz w:val="18"/>
            <w:szCs w:val="18"/>
          </w:rPr>
          <w:t>20</w:t>
        </w:r>
        <w:r w:rsidR="00FE3904">
          <w:rPr>
            <w:sz w:val="18"/>
            <w:szCs w:val="18"/>
          </w:rPr>
          <w:t>20</w:t>
        </w:r>
      </w:p>
      <w:p w14:paraId="7D3302E5" w14:textId="062C84B3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974F5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C68C" w14:textId="77777777" w:rsidR="00076579" w:rsidRDefault="00076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944D" w14:textId="77777777" w:rsidR="00152FC3" w:rsidRDefault="00152FC3" w:rsidP="00F43AD5">
      <w:pPr>
        <w:spacing w:after="0" w:line="240" w:lineRule="auto"/>
      </w:pPr>
      <w:r>
        <w:separator/>
      </w:r>
    </w:p>
  </w:footnote>
  <w:footnote w:type="continuationSeparator" w:id="0">
    <w:p w14:paraId="69000C1A" w14:textId="77777777" w:rsidR="00152FC3" w:rsidRDefault="00152FC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FBE2" w14:textId="77777777" w:rsidR="00076579" w:rsidRDefault="00076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3FBC" w14:textId="1659E0E4" w:rsidR="008A36CF" w:rsidRPr="00627CB1" w:rsidRDefault="00627CB1" w:rsidP="00627CB1">
    <w:pPr>
      <w:pStyle w:val="Header"/>
      <w:jc w:val="right"/>
    </w:pPr>
    <w:r>
      <w:pict w14:anchorId="2875F4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021705E" wp14:editId="067CF3CE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EAB2" w14:textId="77777777" w:rsidR="00076579" w:rsidRDefault="000765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C433" w14:textId="45C64426" w:rsidR="00627CB1" w:rsidRDefault="00627CB1" w:rsidP="00627CB1">
    <w:pPr>
      <w:pStyle w:val="Header"/>
      <w:jc w:val="right"/>
    </w:pPr>
    <w:r>
      <w:pict w14:anchorId="2B4684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B641D6D" wp14:editId="645C58C4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4EA14" w14:textId="77777777" w:rsidR="008A36CF" w:rsidRDefault="008A36CF" w:rsidP="00627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29C3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5A48"/>
    <w:multiLevelType w:val="hybridMultilevel"/>
    <w:tmpl w:val="9B768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7CE7"/>
    <w:multiLevelType w:val="hybridMultilevel"/>
    <w:tmpl w:val="FD648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1600"/>
    <w:multiLevelType w:val="hybridMultilevel"/>
    <w:tmpl w:val="866EB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0D24"/>
    <w:multiLevelType w:val="hybridMultilevel"/>
    <w:tmpl w:val="AF562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86DDA"/>
    <w:multiLevelType w:val="hybridMultilevel"/>
    <w:tmpl w:val="170440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5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6579"/>
    <w:rsid w:val="00077320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E7DA6"/>
    <w:rsid w:val="000F278B"/>
    <w:rsid w:val="000F4330"/>
    <w:rsid w:val="0010461E"/>
    <w:rsid w:val="00106FAA"/>
    <w:rsid w:val="00113443"/>
    <w:rsid w:val="001269A7"/>
    <w:rsid w:val="00131092"/>
    <w:rsid w:val="001334A0"/>
    <w:rsid w:val="00140E6A"/>
    <w:rsid w:val="00146545"/>
    <w:rsid w:val="00146B75"/>
    <w:rsid w:val="0015266D"/>
    <w:rsid w:val="0015288A"/>
    <w:rsid w:val="00152FC3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810F4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15B69"/>
    <w:rsid w:val="00321235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253"/>
    <w:rsid w:val="00362895"/>
    <w:rsid w:val="00365914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6CD5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534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21C7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27CB1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707C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72CC"/>
    <w:rsid w:val="00810C6D"/>
    <w:rsid w:val="00812887"/>
    <w:rsid w:val="00825617"/>
    <w:rsid w:val="00826F21"/>
    <w:rsid w:val="00834CC8"/>
    <w:rsid w:val="00835E00"/>
    <w:rsid w:val="00837113"/>
    <w:rsid w:val="008414E4"/>
    <w:rsid w:val="00843E21"/>
    <w:rsid w:val="0084508E"/>
    <w:rsid w:val="008559A7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3AB0"/>
    <w:rsid w:val="008D026D"/>
    <w:rsid w:val="008D23AB"/>
    <w:rsid w:val="008D4B8B"/>
    <w:rsid w:val="008D5A78"/>
    <w:rsid w:val="008E0E62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196D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225"/>
    <w:rsid w:val="009B2FF2"/>
    <w:rsid w:val="009B380C"/>
    <w:rsid w:val="009B4843"/>
    <w:rsid w:val="009B5300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2DE4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3655"/>
    <w:rsid w:val="00A53681"/>
    <w:rsid w:val="00A633D4"/>
    <w:rsid w:val="00A6461A"/>
    <w:rsid w:val="00A84504"/>
    <w:rsid w:val="00A8672F"/>
    <w:rsid w:val="00A9184E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185B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4FDD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41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2757"/>
    <w:rsid w:val="00D048F7"/>
    <w:rsid w:val="00D0517E"/>
    <w:rsid w:val="00D07103"/>
    <w:rsid w:val="00D11DF1"/>
    <w:rsid w:val="00D140FC"/>
    <w:rsid w:val="00D21D8C"/>
    <w:rsid w:val="00D31357"/>
    <w:rsid w:val="00D33220"/>
    <w:rsid w:val="00D334D1"/>
    <w:rsid w:val="00D44C89"/>
    <w:rsid w:val="00D514C4"/>
    <w:rsid w:val="00D516CD"/>
    <w:rsid w:val="00D52462"/>
    <w:rsid w:val="00D668E6"/>
    <w:rsid w:val="00D70670"/>
    <w:rsid w:val="00D74D80"/>
    <w:rsid w:val="00D76624"/>
    <w:rsid w:val="00D77CB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3D9B"/>
    <w:rsid w:val="00DF6F36"/>
    <w:rsid w:val="00E0084C"/>
    <w:rsid w:val="00E025AB"/>
    <w:rsid w:val="00E02B23"/>
    <w:rsid w:val="00E04637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1A3C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1B9A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3948"/>
    <w:rsid w:val="00F356C0"/>
    <w:rsid w:val="00F43AD5"/>
    <w:rsid w:val="00F4402E"/>
    <w:rsid w:val="00F56DD0"/>
    <w:rsid w:val="00F63333"/>
    <w:rsid w:val="00F6491C"/>
    <w:rsid w:val="00F67BBB"/>
    <w:rsid w:val="00F87D92"/>
    <w:rsid w:val="00F90AA7"/>
    <w:rsid w:val="00F92498"/>
    <w:rsid w:val="00F9496B"/>
    <w:rsid w:val="00F970C9"/>
    <w:rsid w:val="00F974F5"/>
    <w:rsid w:val="00F975F3"/>
    <w:rsid w:val="00FA06A8"/>
    <w:rsid w:val="00FA3DF5"/>
    <w:rsid w:val="00FA741F"/>
    <w:rsid w:val="00FB4E07"/>
    <w:rsid w:val="00FB755A"/>
    <w:rsid w:val="00FC60A2"/>
    <w:rsid w:val="00FD1871"/>
    <w:rsid w:val="00FD3110"/>
    <w:rsid w:val="00FE3904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D514C4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4F21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3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4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4A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4A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0B6A464DBE6C430B8D4A04B99F58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35BE-5DB9-4298-BE29-E90E31B6EF10}"/>
      </w:docPartPr>
      <w:docPartBody>
        <w:p w:rsidR="00D76368" w:rsidRDefault="009C7DB7" w:rsidP="009C7DB7">
          <w:pPr>
            <w:pStyle w:val="0B6A464DBE6C430B8D4A04B99F58109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293DF3"/>
    <w:rsid w:val="009C7DB7"/>
    <w:rsid w:val="00C939FB"/>
    <w:rsid w:val="00D21A9F"/>
    <w:rsid w:val="00D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DB7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254A0CC11DFC419C8D6FE04A194F6BD9">
    <w:name w:val="254A0CC11DFC419C8D6FE04A194F6BD9"/>
    <w:rsid w:val="00293DF3"/>
  </w:style>
  <w:style w:type="paragraph" w:customStyle="1" w:styleId="BB5A859A28CB4334A5B853197D2595BB">
    <w:name w:val="BB5A859A28CB4334A5B853197D2595BB"/>
    <w:rsid w:val="00293DF3"/>
  </w:style>
  <w:style w:type="paragraph" w:customStyle="1" w:styleId="E13C58C7B92347AB86257B1FCA00281D">
    <w:name w:val="E13C58C7B92347AB86257B1FCA00281D"/>
    <w:rsid w:val="00293DF3"/>
  </w:style>
  <w:style w:type="paragraph" w:customStyle="1" w:styleId="6FC327F7CBD54F91BF1C86BC230F7FF5">
    <w:name w:val="6FC327F7CBD54F91BF1C86BC230F7FF5"/>
    <w:rsid w:val="00293DF3"/>
  </w:style>
  <w:style w:type="paragraph" w:customStyle="1" w:styleId="34D0FA97A32D4984997B06D362ACF2F3">
    <w:name w:val="34D0FA97A32D4984997B06D362ACF2F3"/>
    <w:rsid w:val="00293DF3"/>
  </w:style>
  <w:style w:type="paragraph" w:customStyle="1" w:styleId="5A77C1869BCC431BB79ED9309AF2322E">
    <w:name w:val="5A77C1869BCC431BB79ED9309AF2322E"/>
    <w:rsid w:val="00293DF3"/>
  </w:style>
  <w:style w:type="paragraph" w:customStyle="1" w:styleId="0B6A464DBE6C430B8D4A04B99F581090">
    <w:name w:val="0B6A464DBE6C430B8D4A04B99F581090"/>
    <w:rsid w:val="009C7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F6C3-EB38-4F33-BFA6-8DCE0BBC434B}">
  <ds:schemaRefs>
    <ds:schemaRef ds:uri="http://purl.org/dc/dcmitype/"/>
    <ds:schemaRef ds:uri="http://purl.org/dc/elements/1.1/"/>
    <ds:schemaRef ds:uri="bf54d604-3e62-4e70-ba33-9e9084b96a66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1549DA-A1DD-44DB-8D1A-631CB00FC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B00CF-916C-47B9-82EC-7A2DFD880B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E9D85-68A3-42F4-B737-3E760537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2020-02-11T23:25:00Z</dcterms:created>
  <dcterms:modified xsi:type="dcterms:W3CDTF">2020-06-19T00:47:00Z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