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9BADD4B" w14:textId="00724034" w:rsidR="00BD499F" w:rsidRPr="004C23F4" w:rsidRDefault="00BB41A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val="en-US"/>
            </w:rPr>
            <w:t>Propionic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10CEA736" w14:textId="77777777" w:rsidTr="000F21B5">
        <w:trPr>
          <w:cantSplit/>
          <w:tblHeader/>
        </w:trPr>
        <w:tc>
          <w:tcPr>
            <w:tcW w:w="3986" w:type="dxa"/>
          </w:tcPr>
          <w:p w14:paraId="20C85DF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0" w:type="dxa"/>
          </w:tcPr>
          <w:p w14:paraId="41CA8149" w14:textId="62B616D9" w:rsidR="00F43AD5" w:rsidRPr="00717D45" w:rsidRDefault="00B37AAA" w:rsidP="00B76A41">
            <w:pPr>
              <w:pStyle w:val="Tablefont"/>
            </w:pPr>
            <w:r w:rsidRPr="00B37AAA">
              <w:t>79-09-4</w:t>
            </w:r>
          </w:p>
        </w:tc>
      </w:tr>
      <w:tr w:rsidR="00F43AD5" w:rsidRPr="004C23F4" w14:paraId="5731BFFE" w14:textId="77777777" w:rsidTr="000F21B5">
        <w:trPr>
          <w:cantSplit/>
        </w:trPr>
        <w:tc>
          <w:tcPr>
            <w:tcW w:w="3986" w:type="dxa"/>
          </w:tcPr>
          <w:p w14:paraId="62F1865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0" w:type="dxa"/>
          </w:tcPr>
          <w:p w14:paraId="66BC0C53" w14:textId="74465327" w:rsidR="00F43AD5" w:rsidRPr="00717D45" w:rsidRDefault="00B37AAA" w:rsidP="00B76A41">
            <w:pPr>
              <w:pStyle w:val="Tablefont"/>
            </w:pPr>
            <w:proofErr w:type="spellStart"/>
            <w:r>
              <w:t>Ethylformic</w:t>
            </w:r>
            <w:proofErr w:type="spellEnd"/>
            <w:r>
              <w:t xml:space="preserve"> acid, </w:t>
            </w:r>
            <w:proofErr w:type="spellStart"/>
            <w:r>
              <w:t>methylacetic</w:t>
            </w:r>
            <w:proofErr w:type="spellEnd"/>
            <w:r>
              <w:t xml:space="preserve"> acid</w:t>
            </w:r>
          </w:p>
        </w:tc>
      </w:tr>
      <w:tr w:rsidR="00F43AD5" w:rsidRPr="004C23F4" w14:paraId="049E9FED" w14:textId="77777777" w:rsidTr="000F21B5">
        <w:trPr>
          <w:cantSplit/>
        </w:trPr>
        <w:tc>
          <w:tcPr>
            <w:tcW w:w="3986" w:type="dxa"/>
          </w:tcPr>
          <w:p w14:paraId="2A9F461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0" w:type="dxa"/>
          </w:tcPr>
          <w:p w14:paraId="3B4FEF5D" w14:textId="657DA46B" w:rsidR="00F43AD5" w:rsidRPr="00717D45" w:rsidRDefault="00B37AAA" w:rsidP="00B76A41">
            <w:pPr>
              <w:pStyle w:val="Tablefont"/>
            </w:pPr>
            <w:r>
              <w:t>C</w:t>
            </w:r>
            <w:r w:rsidRPr="00B37AAA">
              <w:rPr>
                <w:vertAlign w:val="subscript"/>
              </w:rPr>
              <w:t>3</w:t>
            </w:r>
            <w:r>
              <w:t>H</w:t>
            </w:r>
            <w:r w:rsidRPr="00B37AAA">
              <w:rPr>
                <w:vertAlign w:val="subscript"/>
              </w:rPr>
              <w:t>6</w:t>
            </w:r>
            <w:r>
              <w:t>O</w:t>
            </w:r>
            <w:r w:rsidRPr="00B37AAA">
              <w:rPr>
                <w:vertAlign w:val="subscript"/>
              </w:rPr>
              <w:t>2</w:t>
            </w:r>
          </w:p>
        </w:tc>
      </w:tr>
    </w:tbl>
    <w:p w14:paraId="3E7B918F" w14:textId="61D650F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A685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5B1EB5D" w14:textId="77777777" w:rsidTr="00BC261B">
        <w:trPr>
          <w:cantSplit/>
          <w:tblHeader/>
        </w:trPr>
        <w:tc>
          <w:tcPr>
            <w:tcW w:w="4005" w:type="dxa"/>
            <w:vAlign w:val="center"/>
          </w:tcPr>
          <w:p w14:paraId="258BF50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5436622" w14:textId="0E2E9F0B" w:rsidR="002C7AFE" w:rsidRPr="00BC261B" w:rsidRDefault="00BC261B" w:rsidP="00017C82">
            <w:pPr>
              <w:pStyle w:val="Tablefont"/>
              <w:rPr>
                <w:b/>
              </w:rPr>
            </w:pPr>
            <w:r w:rsidRPr="00BC261B">
              <w:rPr>
                <w:b/>
              </w:rPr>
              <w:t>10 ppm (30 mg/m</w:t>
            </w:r>
            <w:r w:rsidRPr="00BC261B">
              <w:rPr>
                <w:b/>
                <w:vertAlign w:val="superscript"/>
              </w:rPr>
              <w:t>3</w:t>
            </w:r>
            <w:r w:rsidRPr="00BC261B">
              <w:rPr>
                <w:b/>
              </w:rPr>
              <w:t>)</w:t>
            </w:r>
          </w:p>
        </w:tc>
      </w:tr>
      <w:tr w:rsidR="002C7AFE" w:rsidRPr="004C23F4" w14:paraId="62516C30" w14:textId="77777777" w:rsidTr="00BC261B">
        <w:trPr>
          <w:cantSplit/>
        </w:trPr>
        <w:tc>
          <w:tcPr>
            <w:tcW w:w="4005" w:type="dxa"/>
            <w:vAlign w:val="center"/>
          </w:tcPr>
          <w:p w14:paraId="159F0D6E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1D2E2BF" w14:textId="2BDA58A3" w:rsidR="002C7AFE" w:rsidRPr="00BC261B" w:rsidRDefault="00BC261B" w:rsidP="00017C82">
            <w:pPr>
              <w:pStyle w:val="Tablefont"/>
              <w:rPr>
                <w:b/>
              </w:rPr>
            </w:pPr>
            <w:r w:rsidRPr="00BC261B">
              <w:rPr>
                <w:b/>
              </w:rPr>
              <w:t>—</w:t>
            </w:r>
          </w:p>
        </w:tc>
      </w:tr>
      <w:tr w:rsidR="002C7AFE" w:rsidRPr="004C23F4" w14:paraId="57493217" w14:textId="77777777" w:rsidTr="00BC261B">
        <w:trPr>
          <w:cantSplit/>
        </w:trPr>
        <w:tc>
          <w:tcPr>
            <w:tcW w:w="4005" w:type="dxa"/>
            <w:vAlign w:val="center"/>
          </w:tcPr>
          <w:p w14:paraId="68B04D1E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E8B7660" w14:textId="4D9092AD" w:rsidR="002C7AFE" w:rsidRPr="00BC261B" w:rsidRDefault="00BC261B" w:rsidP="00017C82">
            <w:pPr>
              <w:pStyle w:val="Tablefont"/>
              <w:rPr>
                <w:b/>
              </w:rPr>
            </w:pPr>
            <w:r w:rsidRPr="00BC261B">
              <w:rPr>
                <w:b/>
              </w:rPr>
              <w:t>—</w:t>
            </w:r>
          </w:p>
        </w:tc>
      </w:tr>
      <w:tr w:rsidR="002C7AFE" w:rsidRPr="004C23F4" w14:paraId="45507870" w14:textId="77777777" w:rsidTr="00BC261B">
        <w:trPr>
          <w:cantSplit/>
        </w:trPr>
        <w:tc>
          <w:tcPr>
            <w:tcW w:w="4005" w:type="dxa"/>
          </w:tcPr>
          <w:p w14:paraId="2E1387C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3E4DAF72" w14:textId="5F7EC06D" w:rsidR="002C7AFE" w:rsidRPr="00BC261B" w:rsidRDefault="00BC261B" w:rsidP="008A36CF">
            <w:pPr>
              <w:pStyle w:val="Tablefont"/>
              <w:rPr>
                <w:b/>
              </w:rPr>
            </w:pPr>
            <w:r w:rsidRPr="00BC261B">
              <w:rPr>
                <w:b/>
              </w:rPr>
              <w:t>—</w:t>
            </w:r>
          </w:p>
        </w:tc>
      </w:tr>
      <w:tr w:rsidR="002C7AFE" w:rsidRPr="004C23F4" w14:paraId="4E08844F" w14:textId="77777777" w:rsidTr="00BC261B">
        <w:trPr>
          <w:cantSplit/>
        </w:trPr>
        <w:tc>
          <w:tcPr>
            <w:tcW w:w="4005" w:type="dxa"/>
            <w:vAlign w:val="center"/>
          </w:tcPr>
          <w:p w14:paraId="3B293A3A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37AB9F3C" w14:textId="4C6C131C" w:rsidR="002C7AFE" w:rsidRPr="00BC261B" w:rsidRDefault="001E6C90" w:rsidP="00017C82">
            <w:pPr>
              <w:pStyle w:val="Tablefont"/>
              <w:rPr>
                <w:b/>
              </w:rPr>
            </w:pPr>
            <w:r w:rsidRPr="00BC261B">
              <w:rPr>
                <w:b/>
              </w:rPr>
              <w:t>—</w:t>
            </w:r>
          </w:p>
        </w:tc>
      </w:tr>
      <w:tr w:rsidR="00BC261B" w14:paraId="343AD078" w14:textId="77777777" w:rsidTr="00BC261B">
        <w:trPr>
          <w:cantSplit/>
        </w:trPr>
        <w:tc>
          <w:tcPr>
            <w:tcW w:w="9026" w:type="dxa"/>
            <w:gridSpan w:val="2"/>
            <w:vAlign w:val="center"/>
          </w:tcPr>
          <w:p w14:paraId="56B68C8D" w14:textId="001FC74E" w:rsidR="00BC261B" w:rsidRDefault="00BC261B" w:rsidP="00A9017A">
            <w:pPr>
              <w:pStyle w:val="Tablefont"/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CE262FAC273547B29241DF256CECA03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2376ED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3A2EFCA" w14:textId="327E896E" w:rsidR="006639B4" w:rsidRDefault="006B6FB8" w:rsidP="000C139A">
      <w:pPr>
        <w:rPr>
          <w:rFonts w:cs="Arial"/>
        </w:rPr>
      </w:pPr>
      <w:r w:rsidRPr="00D078DB">
        <w:rPr>
          <w:rFonts w:cs="Arial"/>
        </w:rPr>
        <w:t xml:space="preserve">A TWA of </w:t>
      </w:r>
      <w:r>
        <w:t>10 ppm (30 mg/m</w:t>
      </w:r>
      <w:r w:rsidRPr="0096661A">
        <w:rPr>
          <w:vertAlign w:val="superscript"/>
        </w:rPr>
        <w:t>3</w:t>
      </w:r>
      <w:r>
        <w:t>)</w:t>
      </w:r>
      <w:r w:rsidRPr="00D078DB">
        <w:rPr>
          <w:rFonts w:cs="Arial"/>
        </w:rPr>
        <w:t xml:space="preserve"> is </w:t>
      </w:r>
      <w:r>
        <w:rPr>
          <w:rFonts w:cs="Arial"/>
        </w:rPr>
        <w:t>recommended</w:t>
      </w:r>
      <w:r w:rsidRPr="00D078DB">
        <w:rPr>
          <w:rFonts w:cs="Arial"/>
        </w:rPr>
        <w:t xml:space="preserve"> to protect for </w:t>
      </w:r>
      <w:r w:rsidRPr="006B6FB8">
        <w:rPr>
          <w:rFonts w:cs="Arial"/>
        </w:rPr>
        <w:t xml:space="preserve">skin, eye, mucous membrane and upper respiratory tract </w:t>
      </w:r>
      <w:r>
        <w:rPr>
          <w:rFonts w:cs="Arial"/>
        </w:rPr>
        <w:t>irritation</w:t>
      </w:r>
      <w:r w:rsidRPr="00D078DB">
        <w:rPr>
          <w:rFonts w:cs="Arial"/>
        </w:rPr>
        <w:t xml:space="preserve"> in exposed workers</w:t>
      </w:r>
      <w:r>
        <w:rPr>
          <w:rFonts w:cs="Arial"/>
        </w:rPr>
        <w:t>.</w:t>
      </w:r>
    </w:p>
    <w:p w14:paraId="3CD5E42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A43A972" w14:textId="3327CF15" w:rsidR="00A46AA0" w:rsidRDefault="00BC261B" w:rsidP="00BC261B">
      <w:pPr>
        <w:rPr>
          <w:rFonts w:cs="Arial"/>
        </w:rPr>
      </w:pPr>
      <w:r w:rsidRPr="00BC261B">
        <w:rPr>
          <w:rFonts w:cs="Arial"/>
        </w:rPr>
        <w:t xml:space="preserve">Propionic acid </w:t>
      </w:r>
      <w:r>
        <w:rPr>
          <w:rFonts w:cs="Arial"/>
        </w:rPr>
        <w:t xml:space="preserve">is used as a </w:t>
      </w:r>
      <w:r w:rsidR="006B6FB8">
        <w:rPr>
          <w:rFonts w:cs="Arial"/>
        </w:rPr>
        <w:t xml:space="preserve">mould inhibitor, fungicide, herbicide, preservative </w:t>
      </w:r>
      <w:r w:rsidR="008215C5">
        <w:rPr>
          <w:rFonts w:cs="Arial"/>
        </w:rPr>
        <w:t xml:space="preserve">and </w:t>
      </w:r>
      <w:r w:rsidR="006B6FB8">
        <w:rPr>
          <w:rFonts w:cs="Arial"/>
        </w:rPr>
        <w:t>emulsifier</w:t>
      </w:r>
      <w:r w:rsidR="008215C5">
        <w:rPr>
          <w:rFonts w:cs="Arial"/>
        </w:rPr>
        <w:t xml:space="preserve">. It is also used in </w:t>
      </w:r>
      <w:r w:rsidR="006B6FB8">
        <w:rPr>
          <w:rFonts w:cs="Arial"/>
        </w:rPr>
        <w:t xml:space="preserve">perfumes, drugs, plastics </w:t>
      </w:r>
      <w:r w:rsidR="008215C5">
        <w:rPr>
          <w:rFonts w:cs="Arial"/>
        </w:rPr>
        <w:t>and</w:t>
      </w:r>
      <w:r w:rsidR="006B6FB8">
        <w:rPr>
          <w:rFonts w:cs="Arial"/>
        </w:rPr>
        <w:t xml:space="preserve"> occurs naturally in cheese</w:t>
      </w:r>
      <w:r>
        <w:rPr>
          <w:rFonts w:cs="Arial"/>
        </w:rPr>
        <w:t xml:space="preserve">. </w:t>
      </w:r>
    </w:p>
    <w:p w14:paraId="36B6D3FF" w14:textId="77777777" w:rsidR="00AB1702" w:rsidRDefault="00BC261B" w:rsidP="006B6FB8">
      <w:pPr>
        <w:rPr>
          <w:rFonts w:cs="Arial"/>
        </w:rPr>
      </w:pPr>
      <w:r>
        <w:rPr>
          <w:rFonts w:cs="Arial"/>
        </w:rPr>
        <w:t>C</w:t>
      </w:r>
      <w:r w:rsidRPr="00612AF7">
        <w:rPr>
          <w:rFonts w:cs="Arial"/>
        </w:rPr>
        <w:t xml:space="preserve">ritical effects </w:t>
      </w:r>
      <w:r w:rsidR="00A46AA0">
        <w:rPr>
          <w:rFonts w:cs="Arial"/>
        </w:rPr>
        <w:t xml:space="preserve">of exposure </w:t>
      </w:r>
      <w:r w:rsidRPr="00612AF7">
        <w:rPr>
          <w:rFonts w:cs="Arial"/>
        </w:rPr>
        <w:t xml:space="preserve">are </w:t>
      </w:r>
      <w:r w:rsidR="006B6FB8" w:rsidRPr="006B6FB8">
        <w:rPr>
          <w:rFonts w:cs="Arial"/>
        </w:rPr>
        <w:t>skin, eye, mucous membrane and upper respiratory tract irritation.</w:t>
      </w:r>
      <w:r w:rsidR="00967761">
        <w:rPr>
          <w:rFonts w:cs="Arial"/>
        </w:rPr>
        <w:t xml:space="preserve"> </w:t>
      </w:r>
      <w:r w:rsidR="00967761">
        <w:t>It also causes severe burns on contact with skin.</w:t>
      </w:r>
      <w:r w:rsidR="00A46AA0">
        <w:rPr>
          <w:rFonts w:cs="Arial"/>
        </w:rPr>
        <w:t xml:space="preserve"> </w:t>
      </w:r>
    </w:p>
    <w:p w14:paraId="0C0CBF93" w14:textId="42BA65CD" w:rsidR="006B6FB8" w:rsidRDefault="00BC261B" w:rsidP="006B6FB8">
      <w:r>
        <w:rPr>
          <w:rFonts w:cs="Arial"/>
        </w:rPr>
        <w:t>Due to the limited data fr</w:t>
      </w:r>
      <w:r w:rsidR="000F21B5">
        <w:rPr>
          <w:rFonts w:cs="Arial"/>
        </w:rPr>
        <w:t>om</w:t>
      </w:r>
      <w:r>
        <w:rPr>
          <w:rFonts w:cs="Arial"/>
        </w:rPr>
        <w:t xml:space="preserve"> human and animal studies</w:t>
      </w:r>
      <w:r w:rsidR="0018335E">
        <w:rPr>
          <w:rFonts w:cs="Arial"/>
        </w:rPr>
        <w:t>,</w:t>
      </w:r>
      <w:r>
        <w:rPr>
          <w:rFonts w:cs="Arial"/>
        </w:rPr>
        <w:t xml:space="preserve"> ACGIH (2018)</w:t>
      </w:r>
      <w:r w:rsidR="006B6FB8">
        <w:rPr>
          <w:rFonts w:cs="Arial"/>
        </w:rPr>
        <w:t xml:space="preserve">, </w:t>
      </w:r>
      <w:r>
        <w:rPr>
          <w:rFonts w:cs="Arial"/>
        </w:rPr>
        <w:t>DFG (20</w:t>
      </w:r>
      <w:r w:rsidR="006B6FB8">
        <w:rPr>
          <w:rFonts w:cs="Arial"/>
        </w:rPr>
        <w:t>10</w:t>
      </w:r>
      <w:r>
        <w:rPr>
          <w:rFonts w:cs="Arial"/>
        </w:rPr>
        <w:t>)</w:t>
      </w:r>
      <w:r w:rsidR="006B6FB8">
        <w:rPr>
          <w:rFonts w:cs="Arial"/>
        </w:rPr>
        <w:t xml:space="preserve"> and SCOEL</w:t>
      </w:r>
      <w:r w:rsidR="0018335E">
        <w:rPr>
          <w:rFonts w:cs="Arial"/>
        </w:rPr>
        <w:t> </w:t>
      </w:r>
      <w:r w:rsidR="006B6FB8">
        <w:rPr>
          <w:rFonts w:cs="Arial"/>
        </w:rPr>
        <w:t>(1993)</w:t>
      </w:r>
      <w:r>
        <w:rPr>
          <w:rFonts w:cs="Arial"/>
        </w:rPr>
        <w:t xml:space="preserve"> assign </w:t>
      </w:r>
      <w:r w:rsidR="005C7D16">
        <w:rPr>
          <w:rFonts w:cs="Arial"/>
        </w:rPr>
        <w:t>TLV-TWA</w:t>
      </w:r>
      <w:r>
        <w:rPr>
          <w:rFonts w:cs="Arial"/>
        </w:rPr>
        <w:t xml:space="preserve"> </w:t>
      </w:r>
      <w:r w:rsidR="006B6FB8">
        <w:rPr>
          <w:rFonts w:cs="Arial"/>
        </w:rPr>
        <w:t xml:space="preserve">partially </w:t>
      </w:r>
      <w:r>
        <w:rPr>
          <w:rFonts w:cs="Arial"/>
        </w:rPr>
        <w:t xml:space="preserve">by analogy to </w:t>
      </w:r>
      <w:r w:rsidR="006B6FB8">
        <w:rPr>
          <w:rFonts w:cs="Arial"/>
        </w:rPr>
        <w:t>acetic acid (TLV-TWA 10 ppm)</w:t>
      </w:r>
      <w:r>
        <w:rPr>
          <w:rFonts w:cs="Arial"/>
        </w:rPr>
        <w:t xml:space="preserve">. </w:t>
      </w:r>
      <w:r w:rsidR="00AB1702">
        <w:t xml:space="preserve">No </w:t>
      </w:r>
      <w:r w:rsidR="006B6FB8" w:rsidRPr="00C27725">
        <w:t>significant changes</w:t>
      </w:r>
      <w:r w:rsidR="006B6FB8">
        <w:t xml:space="preserve"> in </w:t>
      </w:r>
      <w:r w:rsidR="006B6FB8" w:rsidRPr="00C27725">
        <w:t>physiological indicators of trigeminally-mediated irritation</w:t>
      </w:r>
      <w:r w:rsidR="00650B61">
        <w:t xml:space="preserve"> identified</w:t>
      </w:r>
      <w:r w:rsidR="00AB1702" w:rsidRPr="00AB1702">
        <w:t xml:space="preserve"> </w:t>
      </w:r>
      <w:r w:rsidR="00AB1702">
        <w:t xml:space="preserve">in </w:t>
      </w:r>
      <w:r w:rsidR="00E00FD8">
        <w:t>human</w:t>
      </w:r>
      <w:r w:rsidR="00A51047">
        <w:t>s</w:t>
      </w:r>
      <w:r w:rsidR="00E00FD8">
        <w:t xml:space="preserve"> </w:t>
      </w:r>
      <w:r w:rsidR="00AB1702">
        <w:t>exposed up to 10 ppm for four</w:t>
      </w:r>
      <w:r w:rsidR="005C7D16">
        <w:t xml:space="preserve"> hours</w:t>
      </w:r>
      <w:r w:rsidR="006B6FB8">
        <w:t xml:space="preserve"> (DFG 2010). </w:t>
      </w:r>
      <w:r w:rsidR="006B6FB8" w:rsidRPr="008D5CAB">
        <w:t xml:space="preserve">Slight irritation of the skin and mucous membranes </w:t>
      </w:r>
      <w:r w:rsidR="00A46AA0">
        <w:t>is</w:t>
      </w:r>
      <w:r w:rsidR="006B6FB8" w:rsidRPr="008D5CAB">
        <w:t xml:space="preserve"> reported in workers exposed for </w:t>
      </w:r>
      <w:r w:rsidR="00B937D2">
        <w:t>seven</w:t>
      </w:r>
      <w:r w:rsidR="006B6FB8">
        <w:t xml:space="preserve"> to </w:t>
      </w:r>
      <w:r w:rsidR="00924AA9">
        <w:t>twelve</w:t>
      </w:r>
      <w:r w:rsidR="00924AA9" w:rsidRPr="008D5CAB">
        <w:t xml:space="preserve"> </w:t>
      </w:r>
      <w:r w:rsidR="006B6FB8" w:rsidRPr="008D5CAB">
        <w:t>y</w:t>
      </w:r>
      <w:r w:rsidR="006B6FB8">
        <w:t>ears</w:t>
      </w:r>
      <w:r w:rsidR="006B6FB8" w:rsidRPr="008D5CAB">
        <w:t xml:space="preserve"> </w:t>
      </w:r>
      <w:r w:rsidR="006B6FB8">
        <w:t>at</w:t>
      </w:r>
      <w:r w:rsidR="006B6FB8" w:rsidRPr="008D5CAB">
        <w:t xml:space="preserve"> average concentrations of 60 ppm</w:t>
      </w:r>
      <w:r w:rsidR="006B6FB8">
        <w:t>,</w:t>
      </w:r>
      <w:r w:rsidR="006B6FB8" w:rsidRPr="008D5CAB">
        <w:t xml:space="preserve"> plus </w:t>
      </w:r>
      <w:proofErr w:type="gramStart"/>
      <w:r w:rsidR="006B6FB8" w:rsidRPr="008D5CAB">
        <w:t>one hour</w:t>
      </w:r>
      <w:proofErr w:type="gramEnd"/>
      <w:r w:rsidR="006B6FB8" w:rsidRPr="008D5CAB">
        <w:t xml:space="preserve"> daily </w:t>
      </w:r>
      <w:r w:rsidR="009D78C0">
        <w:t>exposure at</w:t>
      </w:r>
      <w:r w:rsidR="006B6FB8" w:rsidRPr="008D5CAB">
        <w:t xml:space="preserve"> 10</w:t>
      </w:r>
      <w:r w:rsidR="006B6FB8">
        <w:t>0 to 260 ppm (SCOEL 1993)</w:t>
      </w:r>
      <w:r w:rsidR="00924AA9">
        <w:t>.</w:t>
      </w:r>
    </w:p>
    <w:p w14:paraId="1252C89F" w14:textId="2D010EA7" w:rsidR="008215C5" w:rsidRDefault="00DC189C" w:rsidP="008215C5">
      <w:pPr>
        <w:rPr>
          <w:rFonts w:cs="Arial"/>
        </w:rPr>
      </w:pPr>
      <w:r>
        <w:rPr>
          <w:rFonts w:cs="Arial"/>
        </w:rPr>
        <w:t>The recommended</w:t>
      </w:r>
      <w:r w:rsidR="00BC261B" w:rsidRPr="00D261A4">
        <w:rPr>
          <w:rFonts w:cs="Arial"/>
        </w:rPr>
        <w:t xml:space="preserve"> TWA of </w:t>
      </w:r>
      <w:r w:rsidR="006B6FB8">
        <w:rPr>
          <w:rFonts w:cs="Arial"/>
        </w:rPr>
        <w:t>10</w:t>
      </w:r>
      <w:r w:rsidR="00BC261B" w:rsidRPr="00D261A4">
        <w:rPr>
          <w:rFonts w:cs="Arial"/>
        </w:rPr>
        <w:t xml:space="preserve"> ppm is</w:t>
      </w:r>
      <w:r w:rsidR="009A6859">
        <w:rPr>
          <w:rFonts w:cs="Arial"/>
        </w:rPr>
        <w:t xml:space="preserve"> consistent across the primary sources and based on the weight of evidence</w:t>
      </w:r>
      <w:r w:rsidR="00BC261B" w:rsidRPr="00D261A4">
        <w:rPr>
          <w:rFonts w:cs="Arial"/>
        </w:rPr>
        <w:t xml:space="preserve"> </w:t>
      </w:r>
      <w:r w:rsidR="009A6859">
        <w:rPr>
          <w:rFonts w:cs="Arial"/>
        </w:rPr>
        <w:t>is expected</w:t>
      </w:r>
      <w:r w:rsidR="009A6859" w:rsidRPr="00D261A4">
        <w:rPr>
          <w:rFonts w:cs="Arial"/>
        </w:rPr>
        <w:t xml:space="preserve"> to</w:t>
      </w:r>
      <w:r w:rsidR="00BC261B" w:rsidRPr="00D261A4">
        <w:rPr>
          <w:rFonts w:cs="Arial"/>
        </w:rPr>
        <w:t xml:space="preserve"> limit irritant effects</w:t>
      </w:r>
      <w:r w:rsidR="009A6859">
        <w:rPr>
          <w:rFonts w:cs="Arial"/>
        </w:rPr>
        <w:t>.</w:t>
      </w:r>
    </w:p>
    <w:p w14:paraId="752953B9" w14:textId="0DC1E56C" w:rsidR="00BC261B" w:rsidRPr="004C23F4" w:rsidRDefault="008215C5" w:rsidP="00BC261B">
      <w:pPr>
        <w:rPr>
          <w:rFonts w:cs="Arial"/>
        </w:rPr>
      </w:pPr>
      <w:r>
        <w:rPr>
          <w:rFonts w:cs="Arial"/>
        </w:rPr>
        <w:t>A STEL is not recommended due to the lack of acute adverse effects evident within 10 times the TWA concentration.</w:t>
      </w:r>
    </w:p>
    <w:p w14:paraId="6AE7857A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8C0B8A4" w14:textId="76D932F5" w:rsidR="001E6C90" w:rsidRPr="00BC261B" w:rsidRDefault="001E6C90" w:rsidP="001E6C90">
      <w:pPr>
        <w:rPr>
          <w:rFonts w:cs="Arial"/>
        </w:rPr>
      </w:pPr>
      <w:r w:rsidRPr="00BC261B">
        <w:rPr>
          <w:rFonts w:cs="Arial"/>
        </w:rPr>
        <w:t>Not classified as a carcinogen according to the Globally Harmonized System of Classification and Labelling o</w:t>
      </w:r>
      <w:r w:rsidR="00B937D2">
        <w:rPr>
          <w:rFonts w:cs="Arial"/>
        </w:rPr>
        <w:t>f</w:t>
      </w:r>
      <w:r w:rsidRPr="00BC261B">
        <w:rPr>
          <w:rFonts w:cs="Arial"/>
        </w:rPr>
        <w:t xml:space="preserve"> Chemicals (GHS). </w:t>
      </w:r>
    </w:p>
    <w:p w14:paraId="7478456A" w14:textId="19D15943" w:rsidR="001E6C90" w:rsidRPr="00BC261B" w:rsidRDefault="001E6C90" w:rsidP="001E6C90">
      <w:pPr>
        <w:rPr>
          <w:rFonts w:cs="Arial"/>
        </w:rPr>
      </w:pPr>
      <w:r w:rsidRPr="00BC261B">
        <w:rPr>
          <w:rFonts w:cs="Arial"/>
        </w:rPr>
        <w:t xml:space="preserve">Not classified as a skin </w:t>
      </w:r>
      <w:r w:rsidR="00B937D2" w:rsidRPr="00BC261B">
        <w:rPr>
          <w:rFonts w:cs="Arial"/>
        </w:rPr>
        <w:t xml:space="preserve">sensitiser </w:t>
      </w:r>
      <w:r w:rsidRPr="00BC261B">
        <w:rPr>
          <w:rFonts w:cs="Arial"/>
        </w:rPr>
        <w:t>or respiratory sensitiser according to the GHS.</w:t>
      </w:r>
    </w:p>
    <w:p w14:paraId="317A0330" w14:textId="628B1369" w:rsidR="0025734A" w:rsidRPr="004C23F4" w:rsidRDefault="00924AA9">
      <w:pPr>
        <w:rPr>
          <w:rFonts w:cs="Arial"/>
        </w:rPr>
      </w:pPr>
      <w:r>
        <w:rPr>
          <w:rFonts w:cs="Arial"/>
        </w:rPr>
        <w:t>There are i</w:t>
      </w:r>
      <w:r w:rsidR="001E6C90" w:rsidRPr="00BC261B">
        <w:rPr>
          <w:rFonts w:cs="Arial"/>
        </w:rPr>
        <w:t xml:space="preserve">nsufficient </w:t>
      </w:r>
      <w:r>
        <w:rPr>
          <w:rFonts w:cs="Arial"/>
        </w:rPr>
        <w:t>data</w:t>
      </w:r>
      <w:r w:rsidRPr="00BC261B">
        <w:rPr>
          <w:rFonts w:cs="Arial"/>
        </w:rPr>
        <w:t xml:space="preserve"> </w:t>
      </w:r>
      <w:r w:rsidR="001E6C90" w:rsidRPr="00BC261B">
        <w:rPr>
          <w:rFonts w:cs="Arial"/>
        </w:rPr>
        <w:t>to recommend a skin notation.</w:t>
      </w:r>
    </w:p>
    <w:p w14:paraId="281D585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8D1F27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950A82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6E88E6D" w14:textId="77777777" w:rsidTr="00046B7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650055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94A496C" w14:textId="77777777" w:rsidTr="00046B7D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2ACC691" w14:textId="7C235C8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B41AD">
                  <w:rPr>
                    <w:lang w:val="en-US"/>
                  </w:rPr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6661A">
                  <w:t>TWA: 10 ppm (30 mg/m</w:t>
                </w:r>
                <w:r w:rsidR="0096661A" w:rsidRPr="0096661A">
                  <w:rPr>
                    <w:vertAlign w:val="superscript"/>
                  </w:rPr>
                  <w:t>3</w:t>
                </w:r>
                <w:r w:rsidR="0096661A">
                  <w:t>)</w:t>
                </w:r>
              </w:sdtContent>
            </w:sdt>
          </w:p>
        </w:tc>
      </w:tr>
      <w:tr w:rsidR="00C978F0" w:rsidRPr="00DA352E" w14:paraId="0A9560D6" w14:textId="77777777" w:rsidTr="00046B7D">
        <w:trPr>
          <w:gridAfter w:val="1"/>
          <w:wAfter w:w="8" w:type="pct"/>
          <w:cantSplit/>
        </w:trPr>
        <w:tc>
          <w:tcPr>
            <w:tcW w:w="4992" w:type="pct"/>
          </w:tcPr>
          <w:p w14:paraId="71EF762C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6E1A576" w14:textId="77777777" w:rsidTr="00046B7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B0A61F" w14:textId="34F898E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B41AD">
                  <w:rPr>
                    <w:lang w:val="en-US"/>
                  </w:rPr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6661A">
                  <w:t>TLV-TWA: 10 ppm (30 mg/m</w:t>
                </w:r>
                <w:r w:rsidR="0096661A" w:rsidRPr="0096661A">
                  <w:rPr>
                    <w:vertAlign w:val="superscript"/>
                  </w:rPr>
                  <w:t>3</w:t>
                </w:r>
                <w:r w:rsidR="0096661A">
                  <w:t xml:space="preserve">) </w:t>
                </w:r>
              </w:sdtContent>
            </w:sdt>
          </w:p>
        </w:tc>
      </w:tr>
      <w:tr w:rsidR="00C978F0" w:rsidRPr="00DA352E" w14:paraId="6A6FF820" w14:textId="77777777" w:rsidTr="00046B7D">
        <w:trPr>
          <w:gridAfter w:val="1"/>
          <w:wAfter w:w="8" w:type="pct"/>
          <w:cantSplit/>
        </w:trPr>
        <w:tc>
          <w:tcPr>
            <w:tcW w:w="4992" w:type="pct"/>
          </w:tcPr>
          <w:p w14:paraId="65BD8379" w14:textId="50ABEB03" w:rsidR="00ED35E1" w:rsidRDefault="00ED35E1" w:rsidP="00B937D2">
            <w:pPr>
              <w:pStyle w:val="Tabletextprimarysource"/>
            </w:pPr>
            <w:r>
              <w:t>TLV-TWA recommended to minimise the risk of skin, eye, mucous membrane and upper respiratory tract irritation in exposed workers.</w:t>
            </w:r>
          </w:p>
          <w:p w14:paraId="3269ABF9" w14:textId="37F68974" w:rsidR="00ED35E1" w:rsidRDefault="00ED35E1" w:rsidP="00B937D2">
            <w:pPr>
              <w:pStyle w:val="Tabletextprimarysource"/>
            </w:pPr>
            <w:r>
              <w:t>Summary of data:</w:t>
            </w:r>
          </w:p>
          <w:p w14:paraId="4B9E516B" w14:textId="15F63B28" w:rsidR="00ED35E1" w:rsidRDefault="00ED35E1">
            <w:pPr>
              <w:pStyle w:val="Tabletextprimarysource"/>
            </w:pPr>
            <w:r>
              <w:rPr>
                <w:rFonts w:cs="Arial"/>
              </w:rPr>
              <w:t>TLV-TWA recommended by analogy to acetic acid (TLV-TWA 10 ppm)</w:t>
            </w:r>
            <w:r w:rsidR="007B6C73">
              <w:rPr>
                <w:rFonts w:cs="Arial"/>
              </w:rPr>
              <w:t>.</w:t>
            </w:r>
          </w:p>
          <w:p w14:paraId="1AB86650" w14:textId="36479F56" w:rsidR="00ED35E1" w:rsidRDefault="00ED35E1" w:rsidP="00924AA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6BE4906A" w14:textId="57590317" w:rsidR="00ED35E1" w:rsidRDefault="006C7CCE" w:rsidP="00924AA9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Acute worker exposure symptoms include skin burns, red eyes and in </w:t>
            </w:r>
            <w:r w:rsidR="00B937D2">
              <w:t>1</w:t>
            </w:r>
            <w:r>
              <w:t xml:space="preserve"> case coughing and asthma response</w:t>
            </w:r>
          </w:p>
          <w:p w14:paraId="2A478E89" w14:textId="0889A97C" w:rsidR="00ED35E1" w:rsidRDefault="00A46AA0" w:rsidP="00924AA9">
            <w:pPr>
              <w:pStyle w:val="ListBullet"/>
              <w:spacing w:before="60" w:after="60"/>
              <w:ind w:left="720"/>
              <w:contextualSpacing w:val="0"/>
            </w:pPr>
            <w:r>
              <w:t>N</w:t>
            </w:r>
            <w:r w:rsidR="00A64E62">
              <w:t>o irritation observed</w:t>
            </w:r>
            <w:r>
              <w:t xml:space="preserve"> at 0.25 ppm </w:t>
            </w:r>
            <w:r w:rsidR="00A028B1">
              <w:t xml:space="preserve">TWA </w:t>
            </w:r>
            <w:r>
              <w:t>with excursions at 2.1 ppm through the workday</w:t>
            </w:r>
            <w:r w:rsidR="00B937D2">
              <w:t>.</w:t>
            </w:r>
          </w:p>
          <w:p w14:paraId="29C67C6E" w14:textId="74B875BD" w:rsidR="00ED35E1" w:rsidRDefault="00ED35E1" w:rsidP="00924AA9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4C6D099F" w14:textId="77777777" w:rsidR="006C7CCE" w:rsidRDefault="006C7CCE" w:rsidP="00924AA9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7A1D09">
              <w:rPr>
                <w:vertAlign w:val="subscript"/>
              </w:rPr>
              <w:t>50</w:t>
            </w:r>
            <w:r>
              <w:t>: 4,300 mg/kg (rats, oral)</w:t>
            </w:r>
          </w:p>
          <w:p w14:paraId="0E16FDFE" w14:textId="77777777" w:rsidR="006C7CCE" w:rsidRDefault="006C7CCE" w:rsidP="00924AA9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7A1D09">
              <w:rPr>
                <w:vertAlign w:val="subscript"/>
              </w:rPr>
              <w:t>50</w:t>
            </w:r>
            <w:r>
              <w:t>: 500 mg/kg (rabbits, dermal)</w:t>
            </w:r>
          </w:p>
          <w:p w14:paraId="231ABBF6" w14:textId="0CBF60DA" w:rsidR="006C7CCE" w:rsidRDefault="006C7CCE" w:rsidP="00924AA9">
            <w:pPr>
              <w:pStyle w:val="ListBullet"/>
              <w:spacing w:before="60" w:after="60"/>
              <w:ind w:left="720"/>
              <w:contextualSpacing w:val="0"/>
            </w:pPr>
            <w:r>
              <w:t>Rats exposed for 8 h to a saturated environment caused no deaths (concentration not noted)</w:t>
            </w:r>
          </w:p>
          <w:p w14:paraId="59478FB7" w14:textId="24F3486A" w:rsidR="00ED35E1" w:rsidRDefault="006C7CCE" w:rsidP="00924AA9">
            <w:pPr>
              <w:pStyle w:val="ListBullet"/>
              <w:spacing w:before="60" w:after="60"/>
              <w:ind w:left="720"/>
              <w:contextualSpacing w:val="0"/>
            </w:pPr>
            <w:r>
              <w:t>Dermal exposure to 10</w:t>
            </w:r>
            <w:r w:rsidR="00B937D2">
              <w:t xml:space="preserve"> </w:t>
            </w:r>
            <w:r>
              <w:t>mg of undiluted solution (rabbits, 24 h) resulted in tissue necrosis</w:t>
            </w:r>
          </w:p>
          <w:p w14:paraId="5A8D4A8E" w14:textId="5C74B69B" w:rsidR="006C7CCE" w:rsidRDefault="006C7CCE" w:rsidP="00924AA9">
            <w:pPr>
              <w:pStyle w:val="ListBullet"/>
              <w:spacing w:before="60" w:after="60"/>
              <w:ind w:left="720"/>
              <w:contextualSpacing w:val="0"/>
            </w:pPr>
            <w:r>
              <w:t>Negative results in genotoxicity assay</w:t>
            </w:r>
            <w:r w:rsidR="00B937D2">
              <w:t>.</w:t>
            </w:r>
          </w:p>
          <w:p w14:paraId="6DEE5C7F" w14:textId="77777777" w:rsidR="007B6C73" w:rsidRDefault="007B6C73" w:rsidP="00924AA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308C2567" w14:textId="77777777" w:rsidR="007A1D09" w:rsidRDefault="007A1D09" w:rsidP="00924AA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to recommend a skin, sensitiser or carcinogen notation.</w:t>
            </w:r>
          </w:p>
          <w:p w14:paraId="29959488" w14:textId="7070C03F" w:rsidR="007B6C73" w:rsidRPr="00DA352E" w:rsidRDefault="007B6C73" w:rsidP="00924AA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56152CBA" w14:textId="77777777" w:rsidTr="00046B7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48ED1D8" w14:textId="2EF011F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B41AD">
                  <w:rPr>
                    <w:lang w:val="en-US"/>
                  </w:rPr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06E73">
                  <w:t>MAK: 10 ppm (30.8 mg/m</w:t>
                </w:r>
                <w:r w:rsidR="00E06E73" w:rsidRPr="00E06E73">
                  <w:rPr>
                    <w:vertAlign w:val="superscript"/>
                  </w:rPr>
                  <w:t>3</w:t>
                </w:r>
                <w:r w:rsidR="00E06E73">
                  <w:t>)</w:t>
                </w:r>
              </w:sdtContent>
            </w:sdt>
          </w:p>
        </w:tc>
      </w:tr>
      <w:tr w:rsidR="00C978F0" w:rsidRPr="00DA352E" w14:paraId="0F261E15" w14:textId="77777777" w:rsidTr="00046B7D">
        <w:trPr>
          <w:gridAfter w:val="1"/>
          <w:wAfter w:w="8" w:type="pct"/>
        </w:trPr>
        <w:tc>
          <w:tcPr>
            <w:tcW w:w="0" w:type="pct"/>
          </w:tcPr>
          <w:p w14:paraId="6D19BE5F" w14:textId="6389C925" w:rsidR="006D26C6" w:rsidRDefault="006D26C6" w:rsidP="00B937D2">
            <w:pPr>
              <w:pStyle w:val="Tabletextprimarysource"/>
            </w:pPr>
            <w:r>
              <w:t>Summary of additional data:</w:t>
            </w:r>
          </w:p>
          <w:p w14:paraId="4112BDA3" w14:textId="5B6D0DB8" w:rsidR="006D26C6" w:rsidRDefault="00967761" w:rsidP="00A028B1">
            <w:pPr>
              <w:pStyle w:val="ListBullet"/>
              <w:tabs>
                <w:tab w:val="clear" w:pos="360"/>
                <w:tab w:val="left" w:pos="720"/>
              </w:tabs>
              <w:spacing w:before="60" w:after="60"/>
              <w:ind w:left="714" w:hanging="357"/>
              <w:contextualSpacing w:val="0"/>
            </w:pPr>
            <w:r>
              <w:t xml:space="preserve">Used </w:t>
            </w:r>
            <w:r w:rsidR="005D0324">
              <w:t>as a model substance in</w:t>
            </w:r>
            <w:r w:rsidR="006D26C6">
              <w:t xml:space="preserve"> </w:t>
            </w:r>
            <w:r w:rsidR="006D26C6" w:rsidRPr="006D26C6">
              <w:t>olfactory research</w:t>
            </w:r>
            <w:r w:rsidR="006D26C6">
              <w:t xml:space="preserve"> stud</w:t>
            </w:r>
            <w:r w:rsidR="005D0324">
              <w:t>ies</w:t>
            </w:r>
            <w:r w:rsidR="006D26C6">
              <w:t xml:space="preserve"> </w:t>
            </w:r>
            <w:r>
              <w:t xml:space="preserve">in humans </w:t>
            </w:r>
          </w:p>
          <w:p w14:paraId="52E37E6A" w14:textId="379C881A" w:rsidR="006D26C6" w:rsidRDefault="00095F84" w:rsidP="00A028B1">
            <w:pPr>
              <w:pStyle w:val="ListBullet"/>
              <w:tabs>
                <w:tab w:val="clear" w:pos="360"/>
                <w:tab w:val="left" w:pos="720"/>
              </w:tabs>
              <w:spacing w:before="60" w:after="60"/>
              <w:ind w:left="714" w:hanging="357"/>
              <w:contextualSpacing w:val="0"/>
            </w:pPr>
            <w:r>
              <w:t xml:space="preserve">No </w:t>
            </w:r>
            <w:r w:rsidRPr="00C27725">
              <w:t>significant changes</w:t>
            </w:r>
            <w:r>
              <w:t xml:space="preserve"> in </w:t>
            </w:r>
            <w:r w:rsidRPr="00C27725">
              <w:t>physiological indicators of trigeminally-mediated irritation</w:t>
            </w:r>
            <w:r w:rsidDel="00A51047">
              <w:t xml:space="preserve"> </w:t>
            </w:r>
            <w:r>
              <w:t>in h</w:t>
            </w:r>
            <w:r w:rsidR="00A51047">
              <w:t>umans</w:t>
            </w:r>
            <w:r w:rsidR="00E00FD8">
              <w:t xml:space="preserve"> </w:t>
            </w:r>
            <w:r w:rsidR="00C27725">
              <w:t>exposed at 0.3, 5 and 10 ppm (4 h, inhalation)</w:t>
            </w:r>
          </w:p>
          <w:p w14:paraId="4FF1058F" w14:textId="75BFA7ED" w:rsidR="00C27725" w:rsidRDefault="00C27725" w:rsidP="00A028B1">
            <w:pPr>
              <w:pStyle w:val="ListBullet"/>
              <w:tabs>
                <w:tab w:val="clear" w:pos="360"/>
                <w:tab w:val="left" w:pos="720"/>
              </w:tabs>
              <w:spacing w:before="60" w:after="60"/>
              <w:ind w:left="714" w:hanging="357"/>
              <w:contextualSpacing w:val="0"/>
            </w:pPr>
            <w:r>
              <w:t>Exposure at 225, 750 and 2,250 mg/kg (rats and dogs, 90 d, oral)</w:t>
            </w:r>
            <w:r w:rsidR="0018335E">
              <w:t>:</w:t>
            </w:r>
          </w:p>
          <w:p w14:paraId="7E320ED8" w14:textId="77777777" w:rsidR="00C27725" w:rsidRDefault="003B4229" w:rsidP="00A028B1">
            <w:pPr>
              <w:pStyle w:val="ListBullet"/>
              <w:numPr>
                <w:ilvl w:val="0"/>
                <w:numId w:val="5"/>
              </w:numPr>
              <w:tabs>
                <w:tab w:val="left" w:pos="1317"/>
              </w:tabs>
              <w:spacing w:before="60" w:after="60"/>
              <w:ind w:left="1094" w:hanging="357"/>
              <w:contextualSpacing w:val="0"/>
            </w:pPr>
            <w:r>
              <w:t>NOAEL: 225 mg/kg</w:t>
            </w:r>
          </w:p>
          <w:p w14:paraId="1F214F85" w14:textId="14E462B0" w:rsidR="003B4229" w:rsidRDefault="003B4229" w:rsidP="00A028B1">
            <w:pPr>
              <w:pStyle w:val="ListBullet"/>
              <w:numPr>
                <w:ilvl w:val="0"/>
                <w:numId w:val="5"/>
              </w:numPr>
              <w:tabs>
                <w:tab w:val="left" w:pos="1317"/>
              </w:tabs>
              <w:spacing w:before="60" w:after="60"/>
              <w:ind w:left="1094" w:hanging="357"/>
              <w:contextualSpacing w:val="0"/>
            </w:pPr>
            <w:r>
              <w:t xml:space="preserve">750 mg/kg: </w:t>
            </w:r>
            <w:r w:rsidRPr="003B4229">
              <w:t xml:space="preserve">activity of </w:t>
            </w:r>
            <w:r w:rsidR="00A46AA0">
              <w:t>ALA, AST and ALP</w:t>
            </w:r>
            <w:r w:rsidRPr="003B4229">
              <w:t xml:space="preserve"> reduced, as were total protein and globulin concentrations in blood</w:t>
            </w:r>
          </w:p>
          <w:p w14:paraId="010C902A" w14:textId="74FBCF96" w:rsidR="003B4229" w:rsidRDefault="003B4229" w:rsidP="00A028B1">
            <w:pPr>
              <w:pStyle w:val="ListBullet"/>
              <w:numPr>
                <w:ilvl w:val="0"/>
                <w:numId w:val="5"/>
              </w:numPr>
              <w:tabs>
                <w:tab w:val="left" w:pos="1317"/>
              </w:tabs>
              <w:spacing w:before="60" w:after="60"/>
              <w:ind w:left="1094" w:hanging="357"/>
              <w:contextualSpacing w:val="0"/>
            </w:pPr>
            <w:r>
              <w:t>2,250 mg/kg: spontaneous epithelial hyperplasia, sporadically pronounced, observed in the mucosa of the oesophagus</w:t>
            </w:r>
          </w:p>
          <w:p w14:paraId="5337E3FD" w14:textId="77777777" w:rsidR="003B4229" w:rsidRDefault="003B4229" w:rsidP="00A028B1">
            <w:pPr>
              <w:pStyle w:val="ListBullet"/>
              <w:tabs>
                <w:tab w:val="clear" w:pos="360"/>
                <w:tab w:val="left" w:pos="720"/>
              </w:tabs>
              <w:spacing w:before="60" w:after="60"/>
              <w:ind w:left="714" w:hanging="357"/>
              <w:contextualSpacing w:val="0"/>
            </w:pPr>
            <w:r>
              <w:t>RD</w:t>
            </w:r>
            <w:r w:rsidRPr="00924AA9">
              <w:rPr>
                <w:vertAlign w:val="subscript"/>
              </w:rPr>
              <w:t>50</w:t>
            </w:r>
            <w:r>
              <w:t>: 384 ppm (mice)</w:t>
            </w:r>
          </w:p>
          <w:p w14:paraId="123ADDF2" w14:textId="77777777" w:rsidR="003B4229" w:rsidRDefault="003B4229" w:rsidP="00A028B1">
            <w:pPr>
              <w:pStyle w:val="ListBullet"/>
              <w:tabs>
                <w:tab w:val="clear" w:pos="360"/>
                <w:tab w:val="left" w:pos="720"/>
              </w:tabs>
              <w:spacing w:before="60" w:after="60"/>
              <w:ind w:left="714" w:hanging="357"/>
              <w:contextualSpacing w:val="0"/>
            </w:pPr>
            <w:r>
              <w:t xml:space="preserve">Exposure at 264 and 2,640 mg/kg (rats, 25 </w:t>
            </w:r>
            <w:proofErr w:type="spellStart"/>
            <w:r>
              <w:t>wk</w:t>
            </w:r>
            <w:proofErr w:type="spellEnd"/>
            <w:r>
              <w:t xml:space="preserve">, oral) </w:t>
            </w:r>
            <w:r w:rsidR="008D5CAB">
              <w:t xml:space="preserve">resulted in </w:t>
            </w:r>
            <w:r w:rsidRPr="003B4229">
              <w:t>pre-cancerous stages in the forestomach; these are regarded as local irritative effects and not relevant to the exposure situation at the workplace.</w:t>
            </w:r>
          </w:p>
          <w:p w14:paraId="0561AC92" w14:textId="284C4D36" w:rsidR="007B6C73" w:rsidRPr="00DA352E" w:rsidRDefault="007B6C73" w:rsidP="00A028B1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332DD6BA" w14:textId="77777777" w:rsidTr="00046B7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5CB238" w14:textId="222D2BF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B41AD">
                  <w:rPr>
                    <w:lang w:val="en-US"/>
                  </w:rPr>
                  <w:t>1993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E06E73" w:rsidRPr="00E06E73">
                  <w:t>TWA</w:t>
                </w:r>
                <w:r w:rsidR="00E06E73">
                  <w:t>: 10 ppm (31 mg/m</w:t>
                </w:r>
                <w:r w:rsidR="00E06E73" w:rsidRPr="00E06E73">
                  <w:rPr>
                    <w:vertAlign w:val="superscript"/>
                  </w:rPr>
                  <w:t>3</w:t>
                </w:r>
                <w:r w:rsidR="00E06E73">
                  <w:t xml:space="preserve">); </w:t>
                </w:r>
                <w:r w:rsidR="00E06E73" w:rsidRPr="00E06E73">
                  <w:t>STE</w:t>
                </w:r>
                <w:r w:rsidR="00924AA9">
                  <w:t>L</w:t>
                </w:r>
                <w:r w:rsidR="00E06E73">
                  <w:t>: 20 ppm (62 mg/m</w:t>
                </w:r>
                <w:r w:rsidR="00E06E73" w:rsidRPr="00E06E73">
                  <w:rPr>
                    <w:vertAlign w:val="superscript"/>
                  </w:rPr>
                  <w:t>3</w:t>
                </w:r>
                <w:r w:rsidR="00E06E73">
                  <w:t>)</w:t>
                </w:r>
              </w:sdtContent>
            </w:sdt>
          </w:p>
        </w:tc>
      </w:tr>
      <w:tr w:rsidR="00C978F0" w:rsidRPr="00DA352E" w14:paraId="31452C41" w14:textId="77777777" w:rsidTr="00046B7D">
        <w:trPr>
          <w:gridAfter w:val="1"/>
          <w:wAfter w:w="8" w:type="pct"/>
          <w:cantSplit/>
        </w:trPr>
        <w:tc>
          <w:tcPr>
            <w:tcW w:w="4992" w:type="pct"/>
          </w:tcPr>
          <w:p w14:paraId="63CF24F9" w14:textId="3660F9F0" w:rsidR="00C978F0" w:rsidRDefault="00410964" w:rsidP="00410964">
            <w:pPr>
              <w:pStyle w:val="Tabletextprimarysource"/>
            </w:pPr>
            <w:r>
              <w:t xml:space="preserve">TWA considered </w:t>
            </w:r>
            <w:proofErr w:type="gramStart"/>
            <w:r>
              <w:t>sufficient</w:t>
            </w:r>
            <w:proofErr w:type="gramEnd"/>
            <w:r>
              <w:t xml:space="preserve"> by analogy to acetic acid. STEL derived from the TWA, is recommended to limit peaks of exposure which could result in irritation.</w:t>
            </w:r>
          </w:p>
          <w:p w14:paraId="67B89BF1" w14:textId="1D10D550" w:rsidR="008D5CAB" w:rsidRDefault="008D5CAB" w:rsidP="00A028B1">
            <w:pPr>
              <w:pStyle w:val="ListBullet"/>
              <w:tabs>
                <w:tab w:val="clear" w:pos="360"/>
                <w:tab w:val="left" w:pos="720"/>
              </w:tabs>
              <w:spacing w:before="60" w:after="60"/>
              <w:ind w:left="714" w:hanging="357"/>
              <w:contextualSpacing w:val="0"/>
            </w:pPr>
            <w:r w:rsidRPr="008D5CAB">
              <w:t xml:space="preserve">Slight irritation of the skin and mucous membranes reported in workers exposed for </w:t>
            </w:r>
            <w:r w:rsidR="00A46AA0">
              <w:br/>
            </w:r>
            <w:r w:rsidRPr="008D5CAB">
              <w:t>7</w:t>
            </w:r>
            <w:r w:rsidR="00B937D2">
              <w:t>–</w:t>
            </w:r>
            <w:r>
              <w:t>12</w:t>
            </w:r>
            <w:r w:rsidRPr="008D5CAB">
              <w:t xml:space="preserve"> </w:t>
            </w:r>
            <w:proofErr w:type="spellStart"/>
            <w:r w:rsidRPr="008D5CAB">
              <w:t>yr</w:t>
            </w:r>
            <w:proofErr w:type="spellEnd"/>
            <w:r w:rsidRPr="008D5CAB">
              <w:t xml:space="preserve"> </w:t>
            </w:r>
            <w:r>
              <w:t>at</w:t>
            </w:r>
            <w:r w:rsidRPr="008D5CAB">
              <w:t xml:space="preserve"> average concentrations of 60 ppm</w:t>
            </w:r>
            <w:r>
              <w:t>,</w:t>
            </w:r>
            <w:r w:rsidRPr="008D5CAB">
              <w:t xml:space="preserve"> plus </w:t>
            </w:r>
            <w:r w:rsidR="00924AA9">
              <w:t>1 h/d</w:t>
            </w:r>
            <w:r w:rsidRPr="008D5CAB">
              <w:t xml:space="preserve"> to 10</w:t>
            </w:r>
            <w:r>
              <w:t>0</w:t>
            </w:r>
            <w:r w:rsidR="00B937D2">
              <w:t>–</w:t>
            </w:r>
            <w:r>
              <w:t>260 ppm</w:t>
            </w:r>
            <w:r w:rsidR="006B6FB8">
              <w:t xml:space="preserve"> (no further information provided)</w:t>
            </w:r>
            <w:r w:rsidR="00B937D2">
              <w:t>.</w:t>
            </w:r>
          </w:p>
          <w:p w14:paraId="009362E2" w14:textId="5FDE2184" w:rsidR="007B6C73" w:rsidRPr="00DA352E" w:rsidRDefault="007B6C73" w:rsidP="00A028B1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ind w:left="360" w:hanging="360"/>
              <w:contextualSpacing w:val="0"/>
            </w:pPr>
          </w:p>
        </w:tc>
      </w:tr>
      <w:tr w:rsidR="00DA352E" w:rsidRPr="00DA352E" w14:paraId="5E35CC98" w14:textId="77777777" w:rsidTr="00046B7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5BF7D46" w14:textId="42B66EB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B41AD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E06E73">
                  <w:t>NA</w:t>
                </w:r>
              </w:sdtContent>
            </w:sdt>
          </w:p>
        </w:tc>
      </w:tr>
      <w:tr w:rsidR="00DA352E" w:rsidRPr="00DA352E" w14:paraId="25B40F21" w14:textId="77777777" w:rsidTr="00046B7D">
        <w:trPr>
          <w:gridAfter w:val="1"/>
          <w:wAfter w:w="8" w:type="pct"/>
          <w:cantSplit/>
        </w:trPr>
        <w:tc>
          <w:tcPr>
            <w:tcW w:w="4992" w:type="pct"/>
          </w:tcPr>
          <w:p w14:paraId="50F6C36D" w14:textId="7109C0B8" w:rsidR="00DA352E" w:rsidRPr="00DA352E" w:rsidRDefault="00E06E73" w:rsidP="003365A5">
            <w:pPr>
              <w:pStyle w:val="Tabletextprimarysource"/>
            </w:pPr>
            <w:r>
              <w:t>No report</w:t>
            </w:r>
            <w:r w:rsidR="00B937D2">
              <w:t>.</w:t>
            </w:r>
          </w:p>
        </w:tc>
      </w:tr>
      <w:tr w:rsidR="00DA352E" w:rsidRPr="00DA352E" w14:paraId="4E664621" w14:textId="77777777" w:rsidTr="00046B7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7B5395C" w14:textId="587030C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B41AD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06E73">
                  <w:t>NA</w:t>
                </w:r>
              </w:sdtContent>
            </w:sdt>
          </w:p>
        </w:tc>
      </w:tr>
      <w:tr w:rsidR="00DA352E" w:rsidRPr="00DA352E" w14:paraId="5DC636F0" w14:textId="77777777" w:rsidTr="00046B7D">
        <w:trPr>
          <w:gridAfter w:val="1"/>
          <w:wAfter w:w="8" w:type="pct"/>
          <w:cantSplit/>
        </w:trPr>
        <w:tc>
          <w:tcPr>
            <w:tcW w:w="4992" w:type="pct"/>
          </w:tcPr>
          <w:p w14:paraId="449D334F" w14:textId="31E90667" w:rsidR="00DA352E" w:rsidRPr="00DA352E" w:rsidRDefault="00E06E73" w:rsidP="003365A5">
            <w:pPr>
              <w:pStyle w:val="Tabletextprimarysource"/>
            </w:pPr>
            <w:r>
              <w:t>No report</w:t>
            </w:r>
            <w:r w:rsidR="00B937D2">
              <w:t>.</w:t>
            </w:r>
          </w:p>
        </w:tc>
      </w:tr>
    </w:tbl>
    <w:p w14:paraId="18367BD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585DD719" w14:textId="2CC31780" w:rsidR="007E2A4B" w:rsidRDefault="00410964">
      <w:r>
        <w:t>NIL</w:t>
      </w:r>
      <w:r w:rsidR="00924AA9">
        <w:t>.</w:t>
      </w:r>
    </w:p>
    <w:bookmarkEnd w:id="0"/>
    <w:p w14:paraId="2311AF6D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FB7531E" w14:textId="77777777" w:rsidTr="00BC261B">
        <w:trPr>
          <w:trHeight w:val="454"/>
          <w:tblHeader/>
        </w:trPr>
        <w:tc>
          <w:tcPr>
            <w:tcW w:w="6597" w:type="dxa"/>
            <w:vAlign w:val="center"/>
          </w:tcPr>
          <w:p w14:paraId="7883BE2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1233BBA" w14:textId="5ED2FB81" w:rsidR="002E0D61" w:rsidRDefault="0041096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D11EAFE" w14:textId="77777777" w:rsidTr="00BC261B">
        <w:trPr>
          <w:trHeight w:val="454"/>
        </w:trPr>
        <w:tc>
          <w:tcPr>
            <w:tcW w:w="6597" w:type="dxa"/>
            <w:vAlign w:val="center"/>
          </w:tcPr>
          <w:p w14:paraId="66FC8C2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19A71F1" w14:textId="6D0BED20" w:rsidR="008A36CF" w:rsidRDefault="0041096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A46AA0" w14:paraId="6D0C78ED" w14:textId="77777777" w:rsidTr="00CE7CD9">
        <w:trPr>
          <w:trHeight w:val="454"/>
        </w:trPr>
        <w:sdt>
          <w:sdtPr>
            <w:rPr>
              <w:b/>
            </w:rPr>
            <w:id w:val="1830936485"/>
            <w:placeholder>
              <w:docPart w:val="8E200714D2744822803304AB333A66CB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2995A5F5" w14:textId="6BB8205E" w:rsidR="00A46AA0" w:rsidRDefault="00A46AA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590F6AB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4F543CF" w14:textId="77777777" w:rsidTr="00046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F7D36A9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1A6BED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51A8ECD" w14:textId="77777777" w:rsidTr="00046B7D">
        <w:trPr>
          <w:cantSplit/>
        </w:trPr>
        <w:tc>
          <w:tcPr>
            <w:tcW w:w="3227" w:type="dxa"/>
          </w:tcPr>
          <w:p w14:paraId="40372B0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F7A6251" w14:textId="2D70EDEE" w:rsidR="00687890" w:rsidRPr="00DD2F9B" w:rsidRDefault="008F6267" w:rsidP="00DD2F9B">
            <w:pPr>
              <w:pStyle w:val="Tablefont"/>
            </w:pPr>
            <w:r w:rsidRPr="008F6267">
              <w:t>—</w:t>
            </w:r>
          </w:p>
        </w:tc>
      </w:tr>
      <w:tr w:rsidR="007925F0" w:rsidRPr="004C23F4" w14:paraId="0E3BE905" w14:textId="77777777" w:rsidTr="00046B7D">
        <w:trPr>
          <w:cantSplit/>
        </w:trPr>
        <w:tc>
          <w:tcPr>
            <w:tcW w:w="3227" w:type="dxa"/>
          </w:tcPr>
          <w:p w14:paraId="56E50BF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C09C79F" w14:textId="1CF59609" w:rsidR="007925F0" w:rsidRPr="00DD2F9B" w:rsidRDefault="008F6267" w:rsidP="00DD2F9B">
            <w:pPr>
              <w:pStyle w:val="Tablefont"/>
            </w:pPr>
            <w:r w:rsidRPr="008F6267">
              <w:t>—</w:t>
            </w:r>
          </w:p>
        </w:tc>
      </w:tr>
      <w:tr w:rsidR="00AF483F" w:rsidRPr="004C23F4" w14:paraId="687E3C6E" w14:textId="77777777" w:rsidTr="00046B7D">
        <w:trPr>
          <w:cantSplit/>
        </w:trPr>
        <w:tc>
          <w:tcPr>
            <w:tcW w:w="3227" w:type="dxa"/>
          </w:tcPr>
          <w:p w14:paraId="2B67188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D246688" w14:textId="114DCDDE" w:rsidR="00AF483F" w:rsidRPr="00DD2F9B" w:rsidRDefault="008F6267" w:rsidP="00DD2F9B">
            <w:pPr>
              <w:pStyle w:val="Tablefont"/>
            </w:pPr>
            <w:r w:rsidRPr="008F6267">
              <w:t>—</w:t>
            </w:r>
          </w:p>
        </w:tc>
      </w:tr>
      <w:tr w:rsidR="00687890" w:rsidRPr="004C23F4" w14:paraId="28D14F29" w14:textId="77777777" w:rsidTr="00046B7D">
        <w:trPr>
          <w:cantSplit/>
        </w:trPr>
        <w:tc>
          <w:tcPr>
            <w:tcW w:w="3227" w:type="dxa"/>
          </w:tcPr>
          <w:p w14:paraId="4DE13DA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507D709" w14:textId="120E545B" w:rsidR="00687890" w:rsidRPr="00DD2F9B" w:rsidRDefault="008F626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68A04FE" w14:textId="77777777" w:rsidTr="00046B7D">
        <w:trPr>
          <w:cantSplit/>
        </w:trPr>
        <w:tc>
          <w:tcPr>
            <w:tcW w:w="3227" w:type="dxa"/>
          </w:tcPr>
          <w:p w14:paraId="00D6980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3935754" w14:textId="25F217C9" w:rsidR="00E41A26" w:rsidRPr="00DD2F9B" w:rsidRDefault="008F6267" w:rsidP="00DD2F9B">
            <w:pPr>
              <w:pStyle w:val="Tablefont"/>
            </w:pPr>
            <w:r w:rsidRPr="008F6267">
              <w:t>—</w:t>
            </w:r>
          </w:p>
        </w:tc>
      </w:tr>
      <w:tr w:rsidR="002E0D61" w:rsidRPr="004C23F4" w14:paraId="3F7E347D" w14:textId="77777777" w:rsidTr="00046B7D">
        <w:trPr>
          <w:cantSplit/>
        </w:trPr>
        <w:tc>
          <w:tcPr>
            <w:tcW w:w="3227" w:type="dxa"/>
          </w:tcPr>
          <w:p w14:paraId="77EE2A2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6D549D5" w14:textId="63F5CB7D" w:rsidR="002E0D61" w:rsidRPr="00DD2F9B" w:rsidRDefault="008F6267" w:rsidP="00DD2F9B">
            <w:pPr>
              <w:pStyle w:val="Tablefont"/>
            </w:pPr>
            <w:r w:rsidRPr="008F6267">
              <w:t>—</w:t>
            </w:r>
          </w:p>
        </w:tc>
      </w:tr>
      <w:tr w:rsidR="002E0D61" w:rsidRPr="004C23F4" w14:paraId="4D5593E4" w14:textId="77777777" w:rsidTr="00046B7D">
        <w:trPr>
          <w:cantSplit/>
        </w:trPr>
        <w:tc>
          <w:tcPr>
            <w:tcW w:w="3227" w:type="dxa"/>
          </w:tcPr>
          <w:p w14:paraId="67B07D8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8CC368C" w14:textId="579AA8AC" w:rsidR="002E0D61" w:rsidRPr="00DD2F9B" w:rsidRDefault="008F6267" w:rsidP="00DD2F9B">
            <w:pPr>
              <w:pStyle w:val="Tablefont"/>
            </w:pPr>
            <w:r w:rsidRPr="008F6267">
              <w:t>—</w:t>
            </w:r>
          </w:p>
        </w:tc>
      </w:tr>
      <w:tr w:rsidR="002E0D61" w:rsidRPr="004C23F4" w14:paraId="1998EEB5" w14:textId="77777777" w:rsidTr="00046B7D">
        <w:trPr>
          <w:cantSplit/>
        </w:trPr>
        <w:tc>
          <w:tcPr>
            <w:tcW w:w="3227" w:type="dxa"/>
          </w:tcPr>
          <w:p w14:paraId="6717758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A05BFBA" w14:textId="73D7D23F" w:rsidR="002E0D61" w:rsidRPr="00DD2F9B" w:rsidRDefault="008F6267" w:rsidP="00DD2F9B">
            <w:pPr>
              <w:pStyle w:val="Tablefont"/>
            </w:pPr>
            <w:r w:rsidRPr="008F6267">
              <w:t>—</w:t>
            </w:r>
          </w:p>
        </w:tc>
      </w:tr>
      <w:tr w:rsidR="002E0D61" w:rsidRPr="004C23F4" w14:paraId="6F10B5F6" w14:textId="77777777" w:rsidTr="00046B7D">
        <w:trPr>
          <w:cantSplit/>
        </w:trPr>
        <w:tc>
          <w:tcPr>
            <w:tcW w:w="3227" w:type="dxa"/>
          </w:tcPr>
          <w:p w14:paraId="1B0A48B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4940F02" w14:textId="4777DE30" w:rsidR="002E0D61" w:rsidRPr="00DD2F9B" w:rsidRDefault="008F6267" w:rsidP="00DD2F9B">
            <w:pPr>
              <w:pStyle w:val="Tablefont"/>
            </w:pPr>
            <w:r>
              <w:t>NA</w:t>
            </w:r>
            <w:bookmarkStart w:id="3" w:name="_GoBack"/>
            <w:bookmarkEnd w:id="3"/>
          </w:p>
        </w:tc>
      </w:tr>
      <w:tr w:rsidR="00386093" w:rsidRPr="004C23F4" w14:paraId="1686F403" w14:textId="77777777" w:rsidTr="00046B7D">
        <w:trPr>
          <w:cantSplit/>
        </w:trPr>
        <w:tc>
          <w:tcPr>
            <w:tcW w:w="3227" w:type="dxa"/>
          </w:tcPr>
          <w:p w14:paraId="6F21907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5B0B119" w14:textId="0DD10049" w:rsidR="00386093" w:rsidRPr="00DD2F9B" w:rsidRDefault="008F626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6456939" w14:textId="77777777" w:rsidTr="00046B7D">
        <w:trPr>
          <w:cantSplit/>
        </w:trPr>
        <w:tc>
          <w:tcPr>
            <w:tcW w:w="3227" w:type="dxa"/>
          </w:tcPr>
          <w:p w14:paraId="524BC82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04AF27D" w14:textId="10D7B7CA" w:rsidR="00386093" w:rsidRPr="00DD2F9B" w:rsidRDefault="008F626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FE271F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D3A1A45" w14:textId="248BBF8B" w:rsidR="00474E33" w:rsidRDefault="00474E33" w:rsidP="00474E33">
      <w:pPr>
        <w:pStyle w:val="Heading3"/>
      </w:pPr>
      <w:r>
        <w:lastRenderedPageBreak/>
        <w:t>Skin notation assessment</w:t>
      </w:r>
    </w:p>
    <w:p w14:paraId="203FF1B8" w14:textId="04EDE50F" w:rsidR="00BC261B" w:rsidRPr="00BC261B" w:rsidRDefault="00BC261B" w:rsidP="00BC261B">
      <w:pPr>
        <w:rPr>
          <w:lang w:eastAsia="en-AU"/>
        </w:rPr>
      </w:pPr>
      <w:r w:rsidRPr="00EA0DA8">
        <w:t>Insufficient data to assign a skin notation</w:t>
      </w:r>
      <w:r w:rsidR="000F21B5">
        <w:t>.</w:t>
      </w:r>
    </w:p>
    <w:p w14:paraId="52889DA2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B05B13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E14260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603634F" w14:textId="1FE04BAA" w:rsidR="00EB3D1B" w:rsidRDefault="00BB41AD" w:rsidP="00EB3D1B">
                <w:pPr>
                  <w:pStyle w:val="Tablefont"/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</w:tr>
    </w:tbl>
    <w:p w14:paraId="746BFA1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63ACE2C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D67561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05FBB9A" w14:textId="428088C3" w:rsidR="001B79E5" w:rsidRDefault="008F6267" w:rsidP="001B79E5">
                <w:pPr>
                  <w:pStyle w:val="Tablefont"/>
                </w:pPr>
                <w:r w:rsidRPr="008F6267">
                  <w:t>74.08</w:t>
                </w:r>
              </w:p>
            </w:tc>
          </w:sdtContent>
        </w:sdt>
      </w:tr>
      <w:tr w:rsidR="00A31D99" w:rsidRPr="004C23F4" w14:paraId="428EA3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A84D25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48662F1" w14:textId="4EA70345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8F6267">
                  <w:t>3.03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5E2377" w:rsidRPr="005E2377">
                  <w:t>0.33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54D448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52F9B2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E61497E" w14:textId="504D75B8" w:rsidR="00687890" w:rsidRPr="004C23F4" w:rsidRDefault="00BC261B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0411714A" w14:textId="77777777" w:rsidTr="00EA6243">
        <w:trPr>
          <w:cantSplit/>
        </w:trPr>
        <w:tc>
          <w:tcPr>
            <w:tcW w:w="4077" w:type="dxa"/>
            <w:vAlign w:val="center"/>
          </w:tcPr>
          <w:p w14:paraId="704A11F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4A0B375" w14:textId="2BDEE67C" w:rsidR="00687890" w:rsidRPr="004C23F4" w:rsidRDefault="00967761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55F23FD0" w14:textId="77777777" w:rsidTr="00EA6243">
        <w:trPr>
          <w:cantSplit/>
        </w:trPr>
        <w:tc>
          <w:tcPr>
            <w:tcW w:w="4077" w:type="dxa"/>
            <w:vAlign w:val="center"/>
          </w:tcPr>
          <w:p w14:paraId="2C33D8E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C16136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86D6237" w14:textId="77777777" w:rsidTr="00EA6243">
        <w:trPr>
          <w:cantSplit/>
        </w:trPr>
        <w:tc>
          <w:tcPr>
            <w:tcW w:w="4077" w:type="dxa"/>
            <w:vAlign w:val="center"/>
          </w:tcPr>
          <w:p w14:paraId="4986E4A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6FECF8E" w14:textId="77777777" w:rsidR="00E06F40" w:rsidRPr="00A006A0" w:rsidRDefault="00046B7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75D937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E48E29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BEF6B5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AF5AF0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500711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D2940C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2A6D32F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0CFF4FF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9AC2BBF" w14:textId="4F296CD8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3416E05" w14:textId="35B94239" w:rsidR="005E2377" w:rsidRDefault="005E2377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Pr="005E2377">
        <w:t>2010</w:t>
      </w:r>
      <w:r>
        <w:t xml:space="preserve">) </w:t>
      </w:r>
      <w:r w:rsidRPr="005E2377">
        <w:t>Propionic acid</w:t>
      </w:r>
      <w:r>
        <w:t xml:space="preserve"> – MAK value documentation.</w:t>
      </w:r>
    </w:p>
    <w:p w14:paraId="0A076DF9" w14:textId="22632558" w:rsidR="005E2377" w:rsidRDefault="005E2377" w:rsidP="00084859">
      <w:r>
        <w:t xml:space="preserve">European Chemicals Agency (ECHA) (2019) </w:t>
      </w:r>
      <w:r w:rsidRPr="005E2377">
        <w:t>Propionic acid</w:t>
      </w:r>
      <w:r>
        <w:t xml:space="preserve"> – REACH assessment.</w:t>
      </w:r>
    </w:p>
    <w:p w14:paraId="128C39AC" w14:textId="5526B28B" w:rsidR="005E2377" w:rsidRDefault="005E2377" w:rsidP="00084859">
      <w:r w:rsidRPr="002022B6">
        <w:t>EU Scientific Committee on Occupational Exposure Limits (SCOEL)</w:t>
      </w:r>
      <w:r>
        <w:t xml:space="preserve"> (1993) Recommendation from the Scientific Committee on Occupational Exposure Limits for </w:t>
      </w:r>
      <w:r w:rsidRPr="005E2377">
        <w:t>Propionic acid</w:t>
      </w:r>
      <w:r>
        <w:t>. SCOEL/</w:t>
      </w:r>
      <w:r w:rsidRPr="005E2377">
        <w:t>SUM/48</w:t>
      </w:r>
      <w:r>
        <w:t>.</w:t>
      </w:r>
    </w:p>
    <w:p w14:paraId="465AE486" w14:textId="794BA302" w:rsidR="005E2377" w:rsidRDefault="005E2377" w:rsidP="00084859">
      <w:r w:rsidRPr="002022B6">
        <w:t>National Industrial Chemicals Notification and Assessment Scheme (NICNAS)</w:t>
      </w:r>
      <w:r>
        <w:t xml:space="preserve"> (</w:t>
      </w:r>
      <w:r w:rsidRPr="005E2377">
        <w:t>2016</w:t>
      </w:r>
      <w:r>
        <w:t xml:space="preserve">) </w:t>
      </w:r>
      <w:r w:rsidRPr="005E2377">
        <w:t>Propanoic acid</w:t>
      </w:r>
      <w:r w:rsidRPr="0071660C">
        <w:t xml:space="preserve">: Human health </w:t>
      </w:r>
      <w:r w:rsidRPr="005E2377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73352411" w14:textId="77777777" w:rsidR="005E2377" w:rsidRPr="00351FE0" w:rsidRDefault="005E2377" w:rsidP="00084859"/>
    <w:sectPr w:rsidR="005E237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0570" w14:textId="77777777" w:rsidR="00E40D35" w:rsidRDefault="00E40D35" w:rsidP="00F43AD5">
      <w:pPr>
        <w:spacing w:after="0" w:line="240" w:lineRule="auto"/>
      </w:pPr>
      <w:r>
        <w:separator/>
      </w:r>
    </w:p>
  </w:endnote>
  <w:endnote w:type="continuationSeparator" w:id="0">
    <w:p w14:paraId="09B31F4D" w14:textId="77777777" w:rsidR="00E40D35" w:rsidRDefault="00E40D3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EE45" w14:textId="77777777" w:rsidR="00F55E76" w:rsidRDefault="00F55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7FDA70A" w14:textId="4F1FA6B5" w:rsidR="008A36CF" w:rsidRDefault="001E6C90" w:rsidP="0034744C">
        <w:pPr>
          <w:pStyle w:val="Footer"/>
          <w:rPr>
            <w:sz w:val="18"/>
            <w:szCs w:val="18"/>
          </w:rPr>
        </w:pPr>
        <w:r w:rsidRPr="001E6C90">
          <w:rPr>
            <w:b/>
            <w:sz w:val="18"/>
            <w:szCs w:val="18"/>
          </w:rPr>
          <w:t>Propionic acid</w:t>
        </w:r>
        <w:r w:rsidR="008A36CF">
          <w:rPr>
            <w:b/>
            <w:sz w:val="18"/>
            <w:szCs w:val="18"/>
          </w:rPr>
          <w:t xml:space="preserve"> (</w:t>
        </w:r>
        <w:r w:rsidRPr="001E6C90">
          <w:rPr>
            <w:b/>
            <w:sz w:val="18"/>
            <w:szCs w:val="18"/>
          </w:rPr>
          <w:t>79-09-4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1904B7" w:rsidRPr="00F43AD5">
          <w:rPr>
            <w:sz w:val="18"/>
            <w:szCs w:val="18"/>
          </w:rPr>
          <w:t>20</w:t>
        </w:r>
        <w:r w:rsidR="001904B7">
          <w:rPr>
            <w:sz w:val="18"/>
            <w:szCs w:val="18"/>
          </w:rPr>
          <w:t>20</w:t>
        </w:r>
      </w:p>
      <w:p w14:paraId="58FE1FF8" w14:textId="230060D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C187E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AA1B1" w14:textId="77777777" w:rsidR="00F55E76" w:rsidRDefault="00F55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A76F" w14:textId="77777777" w:rsidR="00E40D35" w:rsidRDefault="00E40D35" w:rsidP="00F43AD5">
      <w:pPr>
        <w:spacing w:after="0" w:line="240" w:lineRule="auto"/>
      </w:pPr>
      <w:r>
        <w:separator/>
      </w:r>
    </w:p>
  </w:footnote>
  <w:footnote w:type="continuationSeparator" w:id="0">
    <w:p w14:paraId="752C4822" w14:textId="77777777" w:rsidR="00E40D35" w:rsidRDefault="00E40D3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A7834" w14:textId="77777777" w:rsidR="00F55E76" w:rsidRDefault="00F55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E88F2" w14:textId="37402AE9" w:rsidR="008A36CF" w:rsidRPr="001070B1" w:rsidRDefault="001070B1" w:rsidP="001070B1">
    <w:pPr>
      <w:pStyle w:val="Header"/>
      <w:jc w:val="right"/>
    </w:pPr>
    <w:r>
      <w:pict w14:anchorId="3BB1C1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D64EF14" wp14:editId="28782750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34B6" w14:textId="77777777" w:rsidR="00F55E76" w:rsidRDefault="00F55E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0BE3" w14:textId="30A51507" w:rsidR="001070B1" w:rsidRDefault="001070B1" w:rsidP="001070B1">
    <w:pPr>
      <w:pStyle w:val="Header"/>
      <w:jc w:val="right"/>
    </w:pPr>
    <w:r>
      <w:pict w14:anchorId="77AF9F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790E4BE" wp14:editId="4B6D06A7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57D13" w14:textId="77777777" w:rsidR="008A36CF" w:rsidRDefault="008A36CF" w:rsidP="00107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1284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6A7574"/>
    <w:multiLevelType w:val="hybridMultilevel"/>
    <w:tmpl w:val="7FD22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B7D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5F84"/>
    <w:rsid w:val="000B0868"/>
    <w:rsid w:val="000B3E12"/>
    <w:rsid w:val="000B3E78"/>
    <w:rsid w:val="000B7B48"/>
    <w:rsid w:val="000C096D"/>
    <w:rsid w:val="000C139A"/>
    <w:rsid w:val="000C2053"/>
    <w:rsid w:val="000C248C"/>
    <w:rsid w:val="000C53A7"/>
    <w:rsid w:val="000D291C"/>
    <w:rsid w:val="000E311B"/>
    <w:rsid w:val="000E5A54"/>
    <w:rsid w:val="000E63D3"/>
    <w:rsid w:val="000E67CF"/>
    <w:rsid w:val="000F21B5"/>
    <w:rsid w:val="0010461E"/>
    <w:rsid w:val="00106FAA"/>
    <w:rsid w:val="001070B1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7EF1"/>
    <w:rsid w:val="00177CA1"/>
    <w:rsid w:val="0018335E"/>
    <w:rsid w:val="00183823"/>
    <w:rsid w:val="00183942"/>
    <w:rsid w:val="001904B7"/>
    <w:rsid w:val="001A009E"/>
    <w:rsid w:val="001A1287"/>
    <w:rsid w:val="001A3859"/>
    <w:rsid w:val="001A3C9D"/>
    <w:rsid w:val="001A43F8"/>
    <w:rsid w:val="001A63A6"/>
    <w:rsid w:val="001B79E5"/>
    <w:rsid w:val="001D56F0"/>
    <w:rsid w:val="001D663B"/>
    <w:rsid w:val="001D7B41"/>
    <w:rsid w:val="001E46DA"/>
    <w:rsid w:val="001E6C90"/>
    <w:rsid w:val="001E7D80"/>
    <w:rsid w:val="001F4B6C"/>
    <w:rsid w:val="001F62CB"/>
    <w:rsid w:val="001F65D0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05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689C"/>
    <w:rsid w:val="00386093"/>
    <w:rsid w:val="00387B03"/>
    <w:rsid w:val="003904A4"/>
    <w:rsid w:val="00391841"/>
    <w:rsid w:val="00391B6D"/>
    <w:rsid w:val="00394922"/>
    <w:rsid w:val="003A0E32"/>
    <w:rsid w:val="003A2B94"/>
    <w:rsid w:val="003B387D"/>
    <w:rsid w:val="003B4229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0964"/>
    <w:rsid w:val="00417A56"/>
    <w:rsid w:val="00420957"/>
    <w:rsid w:val="00422A10"/>
    <w:rsid w:val="00430179"/>
    <w:rsid w:val="004414B5"/>
    <w:rsid w:val="00444482"/>
    <w:rsid w:val="00444B42"/>
    <w:rsid w:val="00445E44"/>
    <w:rsid w:val="0044613B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65E2"/>
    <w:rsid w:val="004C12B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83A1B"/>
    <w:rsid w:val="00591E38"/>
    <w:rsid w:val="005A19C5"/>
    <w:rsid w:val="005A3034"/>
    <w:rsid w:val="005A462D"/>
    <w:rsid w:val="005B253B"/>
    <w:rsid w:val="005B771D"/>
    <w:rsid w:val="005C4DD1"/>
    <w:rsid w:val="005C5D16"/>
    <w:rsid w:val="005C7D16"/>
    <w:rsid w:val="005D0324"/>
    <w:rsid w:val="005D3193"/>
    <w:rsid w:val="005D4A6E"/>
    <w:rsid w:val="005E2377"/>
    <w:rsid w:val="005E6979"/>
    <w:rsid w:val="005E75CB"/>
    <w:rsid w:val="006013C1"/>
    <w:rsid w:val="00601519"/>
    <w:rsid w:val="0060669E"/>
    <w:rsid w:val="00610F2E"/>
    <w:rsid w:val="00611399"/>
    <w:rsid w:val="00621116"/>
    <w:rsid w:val="00624C4E"/>
    <w:rsid w:val="00625200"/>
    <w:rsid w:val="006363A8"/>
    <w:rsid w:val="00636DB7"/>
    <w:rsid w:val="00650905"/>
    <w:rsid w:val="00650B61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B6FB8"/>
    <w:rsid w:val="006B7005"/>
    <w:rsid w:val="006C7CCE"/>
    <w:rsid w:val="006D26C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1D09"/>
    <w:rsid w:val="007B1B42"/>
    <w:rsid w:val="007B6C73"/>
    <w:rsid w:val="007C17B5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54A0"/>
    <w:rsid w:val="00810C6D"/>
    <w:rsid w:val="00812887"/>
    <w:rsid w:val="008215C5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1271"/>
    <w:rsid w:val="008B403C"/>
    <w:rsid w:val="008B7983"/>
    <w:rsid w:val="008C2511"/>
    <w:rsid w:val="008D026D"/>
    <w:rsid w:val="008D23AB"/>
    <w:rsid w:val="008D4B8B"/>
    <w:rsid w:val="008D5A78"/>
    <w:rsid w:val="008D5CAB"/>
    <w:rsid w:val="008E7B64"/>
    <w:rsid w:val="008F5DCD"/>
    <w:rsid w:val="008F6267"/>
    <w:rsid w:val="00900951"/>
    <w:rsid w:val="009118A6"/>
    <w:rsid w:val="00916909"/>
    <w:rsid w:val="00916EC0"/>
    <w:rsid w:val="00920467"/>
    <w:rsid w:val="00921DE7"/>
    <w:rsid w:val="00924AA9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661A"/>
    <w:rsid w:val="00967761"/>
    <w:rsid w:val="00974F2D"/>
    <w:rsid w:val="00975D5A"/>
    <w:rsid w:val="00975FEA"/>
    <w:rsid w:val="00977524"/>
    <w:rsid w:val="00977E88"/>
    <w:rsid w:val="0098360C"/>
    <w:rsid w:val="00984920"/>
    <w:rsid w:val="0099303A"/>
    <w:rsid w:val="009971C2"/>
    <w:rsid w:val="009A1254"/>
    <w:rsid w:val="009A6859"/>
    <w:rsid w:val="009B2FF2"/>
    <w:rsid w:val="009B380C"/>
    <w:rsid w:val="009B4843"/>
    <w:rsid w:val="009B6543"/>
    <w:rsid w:val="009C187E"/>
    <w:rsid w:val="009C199D"/>
    <w:rsid w:val="009C278F"/>
    <w:rsid w:val="009C2B94"/>
    <w:rsid w:val="009C5874"/>
    <w:rsid w:val="009D3B5A"/>
    <w:rsid w:val="009D78C0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28B1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6AA0"/>
    <w:rsid w:val="00A51047"/>
    <w:rsid w:val="00A53681"/>
    <w:rsid w:val="00A633D4"/>
    <w:rsid w:val="00A6461A"/>
    <w:rsid w:val="00A64E62"/>
    <w:rsid w:val="00A84504"/>
    <w:rsid w:val="00A8672F"/>
    <w:rsid w:val="00A93057"/>
    <w:rsid w:val="00A968B0"/>
    <w:rsid w:val="00AB1702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7AAA"/>
    <w:rsid w:val="00B40C60"/>
    <w:rsid w:val="00B479A9"/>
    <w:rsid w:val="00B52EDF"/>
    <w:rsid w:val="00B71188"/>
    <w:rsid w:val="00B76A41"/>
    <w:rsid w:val="00B87D4C"/>
    <w:rsid w:val="00B93646"/>
    <w:rsid w:val="00B937D2"/>
    <w:rsid w:val="00BA0B38"/>
    <w:rsid w:val="00BA1DBB"/>
    <w:rsid w:val="00BA4510"/>
    <w:rsid w:val="00BA529A"/>
    <w:rsid w:val="00BA6DFB"/>
    <w:rsid w:val="00BB41AD"/>
    <w:rsid w:val="00BB612A"/>
    <w:rsid w:val="00BC261B"/>
    <w:rsid w:val="00BD499F"/>
    <w:rsid w:val="00BD56DE"/>
    <w:rsid w:val="00BF2406"/>
    <w:rsid w:val="00C06E43"/>
    <w:rsid w:val="00C16315"/>
    <w:rsid w:val="00C2772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5C13"/>
    <w:rsid w:val="00CD2BFD"/>
    <w:rsid w:val="00CE35D4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189C"/>
    <w:rsid w:val="00DC7694"/>
    <w:rsid w:val="00DD1BF6"/>
    <w:rsid w:val="00DD2F9B"/>
    <w:rsid w:val="00DE2513"/>
    <w:rsid w:val="00DE26E8"/>
    <w:rsid w:val="00DF6F36"/>
    <w:rsid w:val="00E0084C"/>
    <w:rsid w:val="00E00FD8"/>
    <w:rsid w:val="00E025AB"/>
    <w:rsid w:val="00E02B23"/>
    <w:rsid w:val="00E06E73"/>
    <w:rsid w:val="00E06F40"/>
    <w:rsid w:val="00E07CE8"/>
    <w:rsid w:val="00E10445"/>
    <w:rsid w:val="00E26A07"/>
    <w:rsid w:val="00E32595"/>
    <w:rsid w:val="00E37CFD"/>
    <w:rsid w:val="00E40D35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35E1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7EF6"/>
    <w:rsid w:val="00F20E68"/>
    <w:rsid w:val="00F22093"/>
    <w:rsid w:val="00F236DF"/>
    <w:rsid w:val="00F43AD5"/>
    <w:rsid w:val="00F4402E"/>
    <w:rsid w:val="00F55E76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242B"/>
    <w:rsid w:val="00FD3110"/>
    <w:rsid w:val="00FE50B5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5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5E1"/>
    <w:rPr>
      <w:szCs w:val="20"/>
    </w:rPr>
  </w:style>
  <w:style w:type="paragraph" w:styleId="ListBullet">
    <w:name w:val="List Bullet"/>
    <w:basedOn w:val="Normal"/>
    <w:uiPriority w:val="99"/>
    <w:unhideWhenUsed/>
    <w:rsid w:val="00ED35E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35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D5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CE262FAC273547B29241DF256CECA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B17A5-E876-4785-98B9-0E9A86041354}"/>
      </w:docPartPr>
      <w:docPartBody>
        <w:p w:rsidR="001D5CFB" w:rsidRDefault="001D5CFB">
          <w:pPr>
            <w:pStyle w:val="CE262FAC273547B29241DF256CECA034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E200714D2744822803304AB333A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F929C-3E35-407E-9B99-0DFB8AE0EFFC}"/>
      </w:docPartPr>
      <w:docPartBody>
        <w:p w:rsidR="00124857" w:rsidRDefault="00345280" w:rsidP="00345280">
          <w:pPr>
            <w:pStyle w:val="8E200714D2744822803304AB333A66CB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24857"/>
    <w:rsid w:val="001D5CFB"/>
    <w:rsid w:val="00345280"/>
    <w:rsid w:val="005E580E"/>
    <w:rsid w:val="00970F6D"/>
    <w:rsid w:val="00B5633D"/>
    <w:rsid w:val="00C36754"/>
    <w:rsid w:val="00C81BF6"/>
    <w:rsid w:val="00D21A9F"/>
    <w:rsid w:val="00D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28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5D8C1A6638964DB19295B275FD387679">
    <w:name w:val="5D8C1A6638964DB19295B275FD387679"/>
    <w:rsid w:val="00C81BF6"/>
  </w:style>
  <w:style w:type="paragraph" w:customStyle="1" w:styleId="514D54E16B62436D8C33F50B47FEF3A5">
    <w:name w:val="514D54E16B62436D8C33F50B47FEF3A5"/>
    <w:rsid w:val="00C81BF6"/>
  </w:style>
  <w:style w:type="paragraph" w:customStyle="1" w:styleId="877FF0E7D0B54257BE042A6F34763BA8">
    <w:name w:val="877FF0E7D0B54257BE042A6F34763BA8"/>
    <w:rsid w:val="00C81BF6"/>
  </w:style>
  <w:style w:type="paragraph" w:customStyle="1" w:styleId="10A36DD5D3644C3BB2EC94986FE650F5">
    <w:name w:val="10A36DD5D3644C3BB2EC94986FE650F5"/>
    <w:rsid w:val="00C81BF6"/>
  </w:style>
  <w:style w:type="paragraph" w:customStyle="1" w:styleId="87D2FBDA8AD74FF6938D679A257831CD">
    <w:name w:val="87D2FBDA8AD74FF6938D679A257831CD"/>
    <w:rsid w:val="00C81BF6"/>
  </w:style>
  <w:style w:type="paragraph" w:customStyle="1" w:styleId="14D56F34657B4864A9C65869EC408975">
    <w:name w:val="14D56F34657B4864A9C65869EC408975"/>
    <w:rsid w:val="00C81BF6"/>
  </w:style>
  <w:style w:type="paragraph" w:customStyle="1" w:styleId="E3A7A3A069F24396AB789116C6BAF2DE">
    <w:name w:val="E3A7A3A069F24396AB789116C6BAF2DE"/>
    <w:rsid w:val="00C81BF6"/>
  </w:style>
  <w:style w:type="paragraph" w:customStyle="1" w:styleId="1356C965C04441DDA99A03D4A66A1810">
    <w:name w:val="1356C965C04441DDA99A03D4A66A1810"/>
    <w:rsid w:val="00C81BF6"/>
  </w:style>
  <w:style w:type="paragraph" w:customStyle="1" w:styleId="425E7D9057DC42F18AC6DC393F89ADAD">
    <w:name w:val="425E7D9057DC42F18AC6DC393F89ADAD"/>
    <w:rsid w:val="00C81BF6"/>
  </w:style>
  <w:style w:type="paragraph" w:customStyle="1" w:styleId="D69FACE78FFD40108DCD90EDA8E00E46">
    <w:name w:val="D69FACE78FFD40108DCD90EDA8E00E46"/>
    <w:rsid w:val="00C81BF6"/>
  </w:style>
  <w:style w:type="paragraph" w:customStyle="1" w:styleId="CE262FAC273547B29241DF256CECA034">
    <w:name w:val="CE262FAC273547B29241DF256CECA034"/>
    <w:rPr>
      <w:lang w:val="en-US" w:eastAsia="en-US"/>
    </w:rPr>
  </w:style>
  <w:style w:type="paragraph" w:customStyle="1" w:styleId="8E200714D2744822803304AB333A66CB">
    <w:name w:val="8E200714D2744822803304AB333A66CB"/>
    <w:rsid w:val="00345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8F2B-90A4-4559-A4FB-6048AF079ABF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bf54d604-3e62-4e70-ba33-9e9084b96a66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38DF04-0A7E-43CB-81B5-A97F3429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14A47-3DEE-4AFA-8950-C11276211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FFEDA-B480-4FA4-BC6E-B79D0694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2020-02-17T00:23:00Z</dcterms:created>
  <dcterms:modified xsi:type="dcterms:W3CDTF">2020-06-19T00:35:00Z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