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7314F8B1" w:rsidR="00BD499F" w:rsidRPr="004C23F4" w:rsidRDefault="00332C59" w:rsidP="00B40C60">
          <w:pPr>
            <w:pStyle w:val="Heading1"/>
            <w:jc w:val="center"/>
            <w:rPr>
              <w:rFonts w:ascii="Arial" w:hAnsi="Arial" w:cs="Arial"/>
            </w:rPr>
          </w:pPr>
          <w:r w:rsidRPr="00332C59">
            <w:rPr>
              <w:rFonts w:ascii="Arial" w:hAnsi="Arial" w:cs="Arial"/>
            </w:rPr>
            <w:t>Pyrethrum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351AF1AA" w:rsidR="00F43AD5" w:rsidRPr="00717D45" w:rsidRDefault="002E616D" w:rsidP="00B76A41">
            <w:pPr>
              <w:pStyle w:val="Tablefont"/>
            </w:pPr>
            <w:r w:rsidRPr="002E616D">
              <w:t>8003-34-7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52BEA6D9" w:rsidR="00F43AD5" w:rsidRPr="00717D45" w:rsidRDefault="002E616D" w:rsidP="00B76A41">
            <w:pPr>
              <w:pStyle w:val="Tablefont"/>
            </w:pPr>
            <w:r>
              <w:t xml:space="preserve">Pyrethrin, </w:t>
            </w:r>
            <w:proofErr w:type="spellStart"/>
            <w:proofErr w:type="gramStart"/>
            <w:r w:rsidR="00736D72">
              <w:t>C</w:t>
            </w:r>
            <w:r>
              <w:t>inerin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 w:rsidR="00736D72">
              <w:t>J</w:t>
            </w:r>
            <w:r>
              <w:t>asmolin</w:t>
            </w:r>
            <w:proofErr w:type="spellEnd"/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55A71BD2" w:rsidR="002E616D" w:rsidRPr="00717D45" w:rsidRDefault="002E616D" w:rsidP="00B76A41">
            <w:pPr>
              <w:pStyle w:val="Tablefont"/>
            </w:pPr>
            <w:r>
              <w:t>C</w:t>
            </w:r>
            <w:r w:rsidRPr="00736D72">
              <w:rPr>
                <w:vertAlign w:val="subscript"/>
              </w:rPr>
              <w:t>21</w:t>
            </w:r>
            <w:r>
              <w:t>H</w:t>
            </w:r>
            <w:r w:rsidRPr="00736D72">
              <w:rPr>
                <w:vertAlign w:val="subscript"/>
              </w:rPr>
              <w:t>28</w:t>
            </w:r>
            <w:r>
              <w:t>O</w:t>
            </w:r>
            <w:r w:rsidRPr="00736D72">
              <w:rPr>
                <w:vertAlign w:val="subscript"/>
              </w:rPr>
              <w:t>3</w:t>
            </w:r>
            <w:r>
              <w:t xml:space="preserve"> </w:t>
            </w:r>
            <w:r w:rsidR="00736D72">
              <w:t>or C</w:t>
            </w:r>
            <w:r w:rsidR="00736D72" w:rsidRPr="00736D72">
              <w:rPr>
                <w:vertAlign w:val="subscript"/>
              </w:rPr>
              <w:t>22</w:t>
            </w:r>
            <w:r w:rsidR="00736D72">
              <w:t>H</w:t>
            </w:r>
            <w:r w:rsidR="00736D72" w:rsidRPr="00736D72">
              <w:rPr>
                <w:vertAlign w:val="subscript"/>
              </w:rPr>
              <w:t>28</w:t>
            </w:r>
            <w:r w:rsidR="00736D72">
              <w:t>O</w:t>
            </w:r>
            <w:r w:rsidR="00736D72" w:rsidRPr="00736D72">
              <w:rPr>
                <w:vertAlign w:val="subscript"/>
              </w:rPr>
              <w:t>5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29F8658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D05C6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2B918FE" w:rsidR="002C7AFE" w:rsidRPr="00ED05C6" w:rsidRDefault="00ED05C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0DF043EF" w:rsidR="00037E52" w:rsidRPr="00EB3D1B" w:rsidRDefault="00AA78FD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6F9FC6B4" w:rsidR="00037E52" w:rsidRPr="00EB3D1B" w:rsidRDefault="00F8552E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5</w:t>
            </w:r>
            <w:r w:rsidR="00661B92">
              <w:rPr>
                <w:b/>
              </w:rPr>
              <w:t>,</w:t>
            </w:r>
            <w:r w:rsidRPr="00F8552E">
              <w:rPr>
                <w:b/>
              </w:rPr>
              <w:t>000 mg/m</w:t>
            </w:r>
            <w:r w:rsidRPr="00F8552E">
              <w:rPr>
                <w:b/>
                <w:vertAlign w:val="superscript"/>
              </w:rPr>
              <w:t>3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43A32613" w:rsidR="00155999" w:rsidRPr="00EB3D1B" w:rsidRDefault="00155999" w:rsidP="00037E52">
            <w:pPr>
              <w:pStyle w:val="Tablefont"/>
              <w:rPr>
                <w:b/>
              </w:rPr>
            </w:pPr>
            <w:r w:rsidRPr="00721473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D05C6" w:rsidRPr="00721473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2945A02A" w:rsidR="006639B4" w:rsidRPr="004C23F4" w:rsidRDefault="00ED05C6" w:rsidP="000C139A">
      <w:pPr>
        <w:rPr>
          <w:rFonts w:cs="Arial"/>
        </w:rPr>
      </w:pPr>
      <w:r w:rsidRPr="00ED05C6">
        <w:rPr>
          <w:rFonts w:cs="Arial"/>
        </w:rPr>
        <w:t xml:space="preserve">A TWA of </w:t>
      </w:r>
      <w:r>
        <w:rPr>
          <w:rFonts w:cs="Arial"/>
        </w:rPr>
        <w:t>1</w:t>
      </w:r>
      <w:r w:rsidRPr="00ED05C6">
        <w:rPr>
          <w:rFonts w:cs="Arial"/>
        </w:rPr>
        <w:t xml:space="preserve"> mg/m</w:t>
      </w:r>
      <w:r w:rsidRPr="00ED05C6">
        <w:rPr>
          <w:rFonts w:cs="Arial"/>
          <w:vertAlign w:val="superscript"/>
        </w:rPr>
        <w:t>3</w:t>
      </w:r>
      <w:r w:rsidRPr="00ED05C6">
        <w:rPr>
          <w:rFonts w:cs="Arial"/>
        </w:rPr>
        <w:t xml:space="preserve"> is recommended to protect for </w:t>
      </w:r>
      <w:r>
        <w:rPr>
          <w:rFonts w:cs="Arial"/>
        </w:rPr>
        <w:t>irrita</w:t>
      </w:r>
      <w:r w:rsidR="00F5760A">
        <w:rPr>
          <w:rFonts w:cs="Arial"/>
        </w:rPr>
        <w:t>tion</w:t>
      </w:r>
      <w:r w:rsidR="00420591">
        <w:rPr>
          <w:rFonts w:cs="Arial"/>
        </w:rPr>
        <w:t xml:space="preserve">, liver damage and potential sensitisation </w:t>
      </w:r>
      <w:r w:rsidRPr="00ED05C6">
        <w:rPr>
          <w:rFonts w:cs="Arial"/>
        </w:rPr>
        <w:t>in exposed workers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025AEB5" w14:textId="77777777" w:rsidR="00F5760A" w:rsidRDefault="00D21812" w:rsidP="006639B4">
      <w:pPr>
        <w:rPr>
          <w:rFonts w:cs="Arial"/>
        </w:rPr>
      </w:pPr>
      <w:r>
        <w:rPr>
          <w:rFonts w:cs="Arial"/>
        </w:rPr>
        <w:t xml:space="preserve">Pyrethrum is a botanical extract containing pyrethrins, which are used as insecticides. </w:t>
      </w:r>
    </w:p>
    <w:p w14:paraId="3C43F136" w14:textId="77777777" w:rsidR="00735FEF" w:rsidRDefault="00D21812" w:rsidP="006639B4">
      <w:pPr>
        <w:rPr>
          <w:rFonts w:cs="Arial"/>
        </w:rPr>
      </w:pPr>
      <w:r>
        <w:rPr>
          <w:rFonts w:cs="Arial"/>
        </w:rPr>
        <w:t>Critical effects</w:t>
      </w:r>
      <w:r w:rsidR="00A22EA2">
        <w:rPr>
          <w:rFonts w:cs="Arial"/>
        </w:rPr>
        <w:t xml:space="preserve"> </w:t>
      </w:r>
      <w:r w:rsidR="00F5760A">
        <w:rPr>
          <w:rFonts w:cs="Arial"/>
        </w:rPr>
        <w:t>of</w:t>
      </w:r>
      <w:r w:rsidR="00A22EA2">
        <w:rPr>
          <w:rFonts w:cs="Arial"/>
        </w:rPr>
        <w:t xml:space="preserve"> exposure</w:t>
      </w:r>
      <w:r>
        <w:rPr>
          <w:rFonts w:cs="Arial"/>
        </w:rPr>
        <w:t xml:space="preserve"> are </w:t>
      </w:r>
      <w:r w:rsidR="00791774">
        <w:rPr>
          <w:rFonts w:cs="Arial"/>
        </w:rPr>
        <w:t xml:space="preserve">respiratory </w:t>
      </w:r>
      <w:r w:rsidR="00ED05C6">
        <w:rPr>
          <w:rFonts w:cs="Arial"/>
        </w:rPr>
        <w:t xml:space="preserve">tract </w:t>
      </w:r>
      <w:r w:rsidR="00791774">
        <w:rPr>
          <w:rFonts w:cs="Arial"/>
        </w:rPr>
        <w:t xml:space="preserve">irritation and </w:t>
      </w:r>
      <w:r>
        <w:rPr>
          <w:rFonts w:cs="Arial"/>
        </w:rPr>
        <w:t xml:space="preserve">liver and respiratory </w:t>
      </w:r>
      <w:r w:rsidR="00791774">
        <w:rPr>
          <w:rFonts w:cs="Arial"/>
        </w:rPr>
        <w:t xml:space="preserve">tract </w:t>
      </w:r>
      <w:r>
        <w:rPr>
          <w:rFonts w:cs="Arial"/>
        </w:rPr>
        <w:t>damage.</w:t>
      </w:r>
      <w:r w:rsidR="00F5760A">
        <w:rPr>
          <w:rFonts w:cs="Arial"/>
        </w:rPr>
        <w:t xml:space="preserve"> </w:t>
      </w:r>
    </w:p>
    <w:p w14:paraId="6702DA8B" w14:textId="77777777" w:rsidR="00A2480E" w:rsidRDefault="00791774" w:rsidP="006639B4">
      <w:pPr>
        <w:rPr>
          <w:rFonts w:cs="Arial"/>
        </w:rPr>
      </w:pPr>
      <w:r>
        <w:rPr>
          <w:rFonts w:cs="Arial"/>
        </w:rPr>
        <w:t>Quantitative human</w:t>
      </w:r>
      <w:r w:rsidR="00A770AF">
        <w:rPr>
          <w:rFonts w:cs="Arial"/>
        </w:rPr>
        <w:t xml:space="preserve"> inhalational data are limited. </w:t>
      </w:r>
      <w:r>
        <w:rPr>
          <w:rFonts w:cs="Arial"/>
        </w:rPr>
        <w:t>In</w:t>
      </w:r>
      <w:r w:rsidR="00A770AF">
        <w:rPr>
          <w:rFonts w:cs="Arial"/>
        </w:rPr>
        <w:t xml:space="preserve"> sub</w:t>
      </w:r>
      <w:r w:rsidR="00735FEF">
        <w:rPr>
          <w:rFonts w:cs="Arial"/>
        </w:rPr>
        <w:t>-</w:t>
      </w:r>
      <w:r w:rsidR="00A770AF">
        <w:rPr>
          <w:rFonts w:cs="Arial"/>
        </w:rPr>
        <w:t>chronically exposed</w:t>
      </w:r>
      <w:r>
        <w:rPr>
          <w:rFonts w:cs="Arial"/>
        </w:rPr>
        <w:t xml:space="preserve"> rats, a </w:t>
      </w:r>
      <w:r w:rsidR="00735FEF">
        <w:rPr>
          <w:rFonts w:cs="Arial"/>
        </w:rPr>
        <w:t xml:space="preserve">LOAEC </w:t>
      </w:r>
      <w:r>
        <w:rPr>
          <w:rFonts w:cs="Arial"/>
        </w:rPr>
        <w:t>of 11</w:t>
      </w:r>
      <w:r w:rsidR="006E6751">
        <w:rPr>
          <w:rFonts w:cs="Arial"/>
        </w:rPr>
        <w:t> </w:t>
      </w:r>
      <w:r>
        <w:rPr>
          <w:rFonts w:cs="Arial"/>
        </w:rPr>
        <w:t>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for respiratory tract damage (DFG, 2008) and </w:t>
      </w:r>
      <w:r w:rsidR="0080172C">
        <w:rPr>
          <w:rFonts w:cs="Arial"/>
        </w:rPr>
        <w:t xml:space="preserve">a </w:t>
      </w:r>
      <w:r w:rsidR="00735FEF">
        <w:rPr>
          <w:rFonts w:cs="Arial"/>
        </w:rPr>
        <w:t xml:space="preserve">NOAEC </w:t>
      </w:r>
      <w:r w:rsidR="003C68F9">
        <w:rPr>
          <w:rFonts w:cs="Arial"/>
        </w:rPr>
        <w:t>of 38 mg/m</w:t>
      </w:r>
      <w:r w:rsidR="003C68F9">
        <w:rPr>
          <w:rFonts w:cs="Arial"/>
          <w:vertAlign w:val="superscript"/>
        </w:rPr>
        <w:t>3</w:t>
      </w:r>
      <w:r w:rsidR="003C68F9">
        <w:rPr>
          <w:rFonts w:cs="Arial"/>
        </w:rPr>
        <w:t xml:space="preserve"> </w:t>
      </w:r>
      <w:r w:rsidR="0080172C">
        <w:rPr>
          <w:rFonts w:cs="Arial"/>
        </w:rPr>
        <w:t>for breathing difficulties, lachrymation and anaemia (HCOTN, 2004)</w:t>
      </w:r>
      <w:r w:rsidR="00735FEF" w:rsidRPr="00735FEF">
        <w:rPr>
          <w:rFonts w:cs="Arial"/>
        </w:rPr>
        <w:t xml:space="preserve"> </w:t>
      </w:r>
      <w:r w:rsidR="00735FEF">
        <w:rPr>
          <w:rFonts w:cs="Arial"/>
        </w:rPr>
        <w:t>are reported.</w:t>
      </w:r>
      <w:r w:rsidR="00A2480E">
        <w:rPr>
          <w:rFonts w:cs="Arial"/>
        </w:rPr>
        <w:t xml:space="preserve"> </w:t>
      </w:r>
    </w:p>
    <w:p w14:paraId="4B2ABAD7" w14:textId="54E035CC" w:rsidR="00735FEF" w:rsidRDefault="00976139" w:rsidP="006639B4">
      <w:pPr>
        <w:rPr>
          <w:rFonts w:cs="Arial"/>
        </w:rPr>
      </w:pPr>
      <w:r>
        <w:rPr>
          <w:rFonts w:cs="Arial"/>
        </w:rPr>
        <w:t>Irritation</w:t>
      </w:r>
      <w:r w:rsidR="00F5760A">
        <w:rPr>
          <w:rFonts w:cs="Arial"/>
        </w:rPr>
        <w:t xml:space="preserve"> is </w:t>
      </w:r>
      <w:r>
        <w:rPr>
          <w:rFonts w:cs="Arial"/>
        </w:rPr>
        <w:t xml:space="preserve">considered </w:t>
      </w:r>
      <w:r w:rsidR="008D73CF">
        <w:rPr>
          <w:rFonts w:cs="Arial"/>
        </w:rPr>
        <w:t xml:space="preserve">a </w:t>
      </w:r>
      <w:r>
        <w:rPr>
          <w:rFonts w:cs="Arial"/>
        </w:rPr>
        <w:t>more sensitive</w:t>
      </w:r>
      <w:r w:rsidR="00F5760A">
        <w:rPr>
          <w:rFonts w:cs="Arial"/>
        </w:rPr>
        <w:t xml:space="preserve"> endpoint</w:t>
      </w:r>
      <w:r>
        <w:rPr>
          <w:rFonts w:cs="Arial"/>
        </w:rPr>
        <w:t xml:space="preserve"> than systemic endpoints as evidenced in chronic and sub</w:t>
      </w:r>
      <w:r w:rsidR="00735FEF">
        <w:rPr>
          <w:rFonts w:cs="Arial"/>
        </w:rPr>
        <w:t>-</w:t>
      </w:r>
      <w:r>
        <w:rPr>
          <w:rFonts w:cs="Arial"/>
        </w:rPr>
        <w:t>chronic exposure studies with animals (DFG, 2008). In the absence of reliable human inhalational exposure data</w:t>
      </w:r>
      <w:r w:rsidR="00A2480E" w:rsidRPr="00A2480E">
        <w:rPr>
          <w:rFonts w:cs="Arial"/>
        </w:rPr>
        <w:t xml:space="preserve"> </w:t>
      </w:r>
      <w:r w:rsidR="00A2480E">
        <w:rPr>
          <w:rFonts w:cs="Arial"/>
        </w:rPr>
        <w:t>and uncertainty in the composition of pyrethrum extracts</w:t>
      </w:r>
      <w:r w:rsidR="00ED05C6">
        <w:rPr>
          <w:rFonts w:cs="Arial"/>
        </w:rPr>
        <w:t xml:space="preserve">, </w:t>
      </w:r>
      <w:r w:rsidR="00A2480E">
        <w:rPr>
          <w:rFonts w:cs="Arial"/>
        </w:rPr>
        <w:t>the previous TWA of 5 mg/</w:t>
      </w:r>
      <w:r w:rsidR="00A2480E" w:rsidRPr="008D73CF">
        <w:rPr>
          <w:rFonts w:cs="Arial"/>
        </w:rPr>
        <w:t>m</w:t>
      </w:r>
      <w:r w:rsidR="00A2480E">
        <w:rPr>
          <w:rFonts w:cs="Arial"/>
          <w:vertAlign w:val="superscript"/>
        </w:rPr>
        <w:t>3</w:t>
      </w:r>
      <w:r w:rsidR="00A2480E">
        <w:rPr>
          <w:rFonts w:cs="Arial"/>
        </w:rPr>
        <w:t xml:space="preserve"> is potentially unprotective as it is too close to the </w:t>
      </w:r>
      <w:r w:rsidR="00735FEF">
        <w:rPr>
          <w:rFonts w:cs="Arial"/>
        </w:rPr>
        <w:t xml:space="preserve">LOAEC </w:t>
      </w:r>
      <w:r>
        <w:rPr>
          <w:rFonts w:cs="Arial"/>
        </w:rPr>
        <w:t>of 11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for </w:t>
      </w:r>
      <w:r w:rsidR="003C68F9">
        <w:rPr>
          <w:rFonts w:cs="Arial"/>
        </w:rPr>
        <w:t>irritation</w:t>
      </w:r>
      <w:r w:rsidR="00E60767">
        <w:rPr>
          <w:rFonts w:cs="Arial"/>
        </w:rPr>
        <w:t xml:space="preserve"> in rats</w:t>
      </w:r>
      <w:r w:rsidR="008D73CF">
        <w:rPr>
          <w:rFonts w:cs="Arial"/>
        </w:rPr>
        <w:t xml:space="preserve">. </w:t>
      </w:r>
    </w:p>
    <w:p w14:paraId="7D8981D6" w14:textId="525D5709" w:rsidR="00976139" w:rsidRPr="00976139" w:rsidRDefault="00A12954" w:rsidP="006639B4">
      <w:pPr>
        <w:rPr>
          <w:rFonts w:cs="Arial"/>
        </w:rPr>
      </w:pPr>
      <w:r>
        <w:rPr>
          <w:rFonts w:cs="Arial"/>
        </w:rPr>
        <w:t xml:space="preserve">The </w:t>
      </w:r>
      <w:r w:rsidR="00735FEF">
        <w:rPr>
          <w:rFonts w:cs="Arial"/>
        </w:rPr>
        <w:t>OEL (HBROEL) of 1 mg/m</w:t>
      </w:r>
      <w:r w:rsidR="00735FEF">
        <w:rPr>
          <w:rFonts w:cs="Arial"/>
          <w:vertAlign w:val="superscript"/>
        </w:rPr>
        <w:t>3</w:t>
      </w:r>
      <w:r w:rsidR="00735FEF">
        <w:rPr>
          <w:rFonts w:cs="Arial"/>
        </w:rPr>
        <w:t xml:space="preserve"> by HCOTN (2004) and TWA by SCOEL (2003) is </w:t>
      </w:r>
      <w:r w:rsidR="008D73CF">
        <w:rPr>
          <w:rFonts w:cs="Arial"/>
        </w:rPr>
        <w:t xml:space="preserve">recommended </w:t>
      </w:r>
      <w:r w:rsidR="00735FEF">
        <w:rPr>
          <w:rFonts w:cs="Arial"/>
        </w:rPr>
        <w:t>be adopted</w:t>
      </w:r>
      <w:r w:rsidR="00A2480E">
        <w:rPr>
          <w:rFonts w:cs="Arial"/>
        </w:rPr>
        <w:t xml:space="preserve">. The recommended </w:t>
      </w:r>
      <w:r>
        <w:rPr>
          <w:rFonts w:cs="Arial"/>
        </w:rPr>
        <w:t>TWA</w:t>
      </w:r>
      <w:r w:rsidR="00976139">
        <w:rPr>
          <w:rFonts w:cs="Arial"/>
        </w:rPr>
        <w:t xml:space="preserve"> </w:t>
      </w:r>
      <w:r w:rsidR="00A2480E">
        <w:rPr>
          <w:rFonts w:cs="Arial"/>
        </w:rPr>
        <w:t>of 1 mg/m</w:t>
      </w:r>
      <w:r w:rsidR="00A2480E">
        <w:rPr>
          <w:rFonts w:cs="Arial"/>
          <w:vertAlign w:val="superscript"/>
        </w:rPr>
        <w:t>3</w:t>
      </w:r>
      <w:r w:rsidR="00A2480E">
        <w:rPr>
          <w:rFonts w:cs="Arial"/>
        </w:rPr>
        <w:t xml:space="preserve"> </w:t>
      </w:r>
      <w:r w:rsidR="00976139">
        <w:rPr>
          <w:rFonts w:cs="Arial"/>
        </w:rPr>
        <w:t>is expected to be sufficiently low to protect for both irritation and systemic endpoints and is supported by the health-based recommended.</w:t>
      </w:r>
    </w:p>
    <w:p w14:paraId="273B44AD" w14:textId="77777777" w:rsidR="004529F0" w:rsidRPr="004C23F4" w:rsidRDefault="004529F0" w:rsidP="00A2480E">
      <w:pPr>
        <w:pStyle w:val="Heading2"/>
        <w:pageBreakBefore/>
      </w:pPr>
      <w:r>
        <w:lastRenderedPageBreak/>
        <w:t>Recommendation for notations</w:t>
      </w:r>
    </w:p>
    <w:p w14:paraId="27C6755E" w14:textId="77777777" w:rsidR="008E4F1F" w:rsidRPr="00ED05C6" w:rsidRDefault="008E4F1F" w:rsidP="00A22EA2">
      <w:pPr>
        <w:keepNext/>
        <w:rPr>
          <w:rFonts w:cs="Arial"/>
        </w:rPr>
      </w:pPr>
      <w:r w:rsidRPr="00ED05C6">
        <w:rPr>
          <w:rFonts w:cs="Arial"/>
        </w:rPr>
        <w:t>Not classified as a carcinogen according to the Globally Harmonized System of</w:t>
      </w:r>
      <w:r w:rsidR="00155999" w:rsidRPr="00ED05C6">
        <w:rPr>
          <w:rFonts w:cs="Arial"/>
        </w:rPr>
        <w:t xml:space="preserve"> Classification and Labelling of</w:t>
      </w:r>
      <w:r w:rsidRPr="00ED05C6">
        <w:rPr>
          <w:rFonts w:cs="Arial"/>
        </w:rPr>
        <w:t xml:space="preserve"> Chemicals (GHS). </w:t>
      </w:r>
    </w:p>
    <w:p w14:paraId="03916CCC" w14:textId="22C3F0F9" w:rsidR="008E4F1F" w:rsidRPr="00ED05C6" w:rsidRDefault="008E4F1F" w:rsidP="00A22EA2">
      <w:pPr>
        <w:keepNext/>
        <w:rPr>
          <w:rFonts w:cs="Arial"/>
        </w:rPr>
      </w:pPr>
      <w:r w:rsidRPr="00ED05C6">
        <w:rPr>
          <w:rFonts w:cs="Arial"/>
        </w:rPr>
        <w:t xml:space="preserve">Not classified as a skin </w:t>
      </w:r>
      <w:r w:rsidR="00155999" w:rsidRPr="00ED05C6">
        <w:rPr>
          <w:rFonts w:cs="Arial"/>
        </w:rPr>
        <w:t xml:space="preserve">sensitiser </w:t>
      </w:r>
      <w:r w:rsidRPr="00ED05C6">
        <w:rPr>
          <w:rFonts w:cs="Arial"/>
        </w:rPr>
        <w:t>or respiratory sensitiser according to the GHS.</w:t>
      </w:r>
      <w:r w:rsidR="00A22EA2" w:rsidRPr="00A22EA2">
        <w:rPr>
          <w:rFonts w:cs="Arial"/>
        </w:rPr>
        <w:t xml:space="preserve"> </w:t>
      </w:r>
      <w:r w:rsidR="00F5760A">
        <w:rPr>
          <w:rFonts w:cs="Arial"/>
        </w:rPr>
        <w:t>Several cases of dermal sensitisation in patients with dermatitis are reported (ACGIH, 2018; DFG, 2008). However, purified pyrethrins are non-sensitising in animals and positive responses are likely due to the presence of sensitising impurities (HCOTN, 2004; SCOEL, 2003). Due to this conflicting information, a review of the classification is recommended.</w:t>
      </w:r>
    </w:p>
    <w:p w14:paraId="3814B3A5" w14:textId="52B47D66" w:rsidR="00782FB6" w:rsidRDefault="00782FB6" w:rsidP="00782FB6">
      <w:pPr>
        <w:rPr>
          <w:rFonts w:cs="Arial"/>
        </w:rPr>
      </w:pPr>
      <w:r>
        <w:rPr>
          <w:rFonts w:cs="Arial"/>
        </w:rPr>
        <w:t xml:space="preserve">A skin notation is </w:t>
      </w:r>
      <w:r w:rsidR="00F5760A">
        <w:rPr>
          <w:rFonts w:cs="Arial"/>
        </w:rPr>
        <w:t>recommend</w:t>
      </w:r>
      <w:r>
        <w:rPr>
          <w:rFonts w:cs="Arial"/>
        </w:rPr>
        <w:t>ed as evidence indicates contact dermatitis in humans.</w:t>
      </w:r>
      <w:r w:rsidR="00F5760A">
        <w:rPr>
          <w:rFonts w:cs="Arial"/>
        </w:rPr>
        <w:t xml:space="preserve"> </w:t>
      </w:r>
    </w:p>
    <w:p w14:paraId="4C1F8D43" w14:textId="2AA1F86B" w:rsidR="005E6979" w:rsidRPr="004C23F4" w:rsidRDefault="005E6979" w:rsidP="00782FB6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7C6EB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7C6EBF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2E4CCD12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8552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8552E">
                  <w:t>TWA: 5 mg/m</w:t>
                </w:r>
                <w:r w:rsidR="00F8552E" w:rsidRPr="00F8552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7C6EBF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7C6EB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7CA468A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8552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8552E">
                  <w:t>TLV-TWA: 5 mg/m</w:t>
                </w:r>
                <w:r w:rsidR="00F8552E" w:rsidRPr="00F8552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7C6EBF">
        <w:trPr>
          <w:gridAfter w:val="1"/>
          <w:wAfter w:w="8" w:type="pct"/>
          <w:cantSplit/>
        </w:trPr>
        <w:tc>
          <w:tcPr>
            <w:tcW w:w="4992" w:type="pct"/>
          </w:tcPr>
          <w:p w14:paraId="7A9F7E2E" w14:textId="6D0D3FCD" w:rsidR="00F5760A" w:rsidRDefault="005B3A26" w:rsidP="003365A5">
            <w:pPr>
              <w:pStyle w:val="Tabletextprimarysource"/>
            </w:pPr>
            <w:r>
              <w:t>TLV-TWA intended to protect for liver and respiratory damage and minimise potential for sensitisation</w:t>
            </w:r>
            <w:r w:rsidR="00F5760A">
              <w:t>;</w:t>
            </w:r>
            <w:r>
              <w:t xml:space="preserve"> may not prevent development of sensitisation in individuals susceptible to pollen allergies. </w:t>
            </w:r>
          </w:p>
          <w:p w14:paraId="5C88C7F5" w14:textId="274AC620" w:rsidR="00C978F0" w:rsidRDefault="005B3A26" w:rsidP="003365A5">
            <w:pPr>
              <w:pStyle w:val="Tabletextprimarysource"/>
            </w:pPr>
            <w:r>
              <w:t>Not classifiable as a human carcinogen (A4) based on chronic animal studies.</w:t>
            </w:r>
          </w:p>
          <w:p w14:paraId="4968CB98" w14:textId="1FA07049" w:rsidR="005B3A26" w:rsidRDefault="005B3A26" w:rsidP="003365A5">
            <w:pPr>
              <w:pStyle w:val="Tabletextprimarysource"/>
            </w:pPr>
            <w:r>
              <w:t>Summary of information:</w:t>
            </w:r>
          </w:p>
          <w:p w14:paraId="69006839" w14:textId="3150C258" w:rsidR="006074F6" w:rsidRPr="006074F6" w:rsidRDefault="006074F6" w:rsidP="003365A5">
            <w:pPr>
              <w:pStyle w:val="Tabletextprimarysource"/>
            </w:pPr>
            <w:r>
              <w:t>Based on available human and animal exposure data, TLV-TWA of 5 mg/m</w:t>
            </w:r>
            <w:r>
              <w:rPr>
                <w:vertAlign w:val="superscript"/>
              </w:rPr>
              <w:t>3</w:t>
            </w:r>
            <w:r>
              <w:t xml:space="preserve"> considered sufficiently low to be protective of liver damage and respiratory </w:t>
            </w:r>
            <w:r w:rsidR="00350F6E">
              <w:t xml:space="preserve">irritation observed in animals (derivation not presented). </w:t>
            </w:r>
            <w:r w:rsidR="000A62AF">
              <w:t xml:space="preserve">ACGIH </w:t>
            </w:r>
            <w:r w:rsidR="00350F6E">
              <w:t>states level of protection regarding sensitisation in predisposed individuals is uncertain.</w:t>
            </w:r>
          </w:p>
          <w:p w14:paraId="7D32B001" w14:textId="6164248E" w:rsidR="005B3A26" w:rsidRDefault="005B3A26" w:rsidP="003365A5">
            <w:pPr>
              <w:pStyle w:val="Tabletextprimarysource"/>
            </w:pPr>
            <w:r>
              <w:t>Human data:</w:t>
            </w:r>
          </w:p>
          <w:p w14:paraId="02ECED76" w14:textId="082FFDE9" w:rsidR="005B3A26" w:rsidRDefault="000412A3" w:rsidP="000412A3">
            <w:pPr>
              <w:pStyle w:val="Tabletextprimarysource"/>
              <w:numPr>
                <w:ilvl w:val="0"/>
                <w:numId w:val="2"/>
              </w:numPr>
            </w:pPr>
            <w:r>
              <w:t>Repeated exposures over 2–3 yr caused development of allergies</w:t>
            </w:r>
            <w:r w:rsidR="00033BBD">
              <w:t xml:space="preserve">: </w:t>
            </w:r>
            <w:r>
              <w:t>dermatitis, localised oedema in face, rhinitis, tachycardia</w:t>
            </w:r>
            <w:r w:rsidR="003B386D">
              <w:t xml:space="preserve"> and</w:t>
            </w:r>
            <w:r>
              <w:t xml:space="preserve"> sweating</w:t>
            </w:r>
          </w:p>
          <w:p w14:paraId="44D1BBD3" w14:textId="69990FAC" w:rsidR="000412A3" w:rsidRDefault="000412A3" w:rsidP="000412A3">
            <w:pPr>
              <w:pStyle w:val="Tabletextprimarysource"/>
              <w:numPr>
                <w:ilvl w:val="0"/>
                <w:numId w:val="2"/>
              </w:numPr>
            </w:pPr>
            <w:r>
              <w:t>1 case of pulmonary interstitial fibrosis from pyrethrum hypersensitivity</w:t>
            </w:r>
          </w:p>
          <w:p w14:paraId="2FFB1652" w14:textId="342C7F8E" w:rsidR="000412A3" w:rsidRDefault="000412A3" w:rsidP="000412A3">
            <w:pPr>
              <w:pStyle w:val="Tabletextprimarysource"/>
              <w:numPr>
                <w:ilvl w:val="0"/>
                <w:numId w:val="2"/>
              </w:numPr>
            </w:pPr>
            <w:r>
              <w:t>Susceptibility to dermatitis increased in hot weather, UV radiation and heavy perspiration</w:t>
            </w:r>
          </w:p>
          <w:p w14:paraId="57435D06" w14:textId="4FA5D4E9" w:rsidR="000412A3" w:rsidRDefault="000412A3" w:rsidP="000412A3">
            <w:pPr>
              <w:pStyle w:val="Tabletextprimarysource"/>
              <w:numPr>
                <w:ilvl w:val="0"/>
                <w:numId w:val="2"/>
              </w:numPr>
            </w:pPr>
            <w:r>
              <w:t>1 case of allergic dermatitis from exposure to powder confirmed with patch test (no details on exposure available)</w:t>
            </w:r>
          </w:p>
          <w:p w14:paraId="381D4F12" w14:textId="4C194717" w:rsidR="000412A3" w:rsidRDefault="00CF4889" w:rsidP="000412A3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Except for 1 </w:t>
            </w:r>
            <w:r w:rsidR="00033BBD">
              <w:t>compound</w:t>
            </w:r>
            <w:r>
              <w:t xml:space="preserve"> (pyrethrin II), refined pyrethrins were inactive in patch test study (no further details provided)</w:t>
            </w:r>
          </w:p>
          <w:p w14:paraId="5BC42131" w14:textId="61CDFFAE" w:rsidR="00CF4889" w:rsidRDefault="00CF4889" w:rsidP="00CF4889">
            <w:pPr>
              <w:pStyle w:val="Tabletextprimarysource"/>
              <w:numPr>
                <w:ilvl w:val="0"/>
                <w:numId w:val="2"/>
              </w:numPr>
            </w:pPr>
            <w:r>
              <w:t>Response to pyrethrum in 6/200 patients evaluated for dermatitis</w:t>
            </w:r>
            <w:r w:rsidR="00C8549F">
              <w:t>; 40% of patients allergic to ragweed pollen sensitive to pyrethrins</w:t>
            </w:r>
          </w:p>
          <w:p w14:paraId="36D6A2A2" w14:textId="2A262EFF" w:rsidR="006074F6" w:rsidRDefault="006074F6" w:rsidP="00CF4889">
            <w:pPr>
              <w:pStyle w:val="Tabletextprimarysource"/>
              <w:numPr>
                <w:ilvl w:val="0"/>
                <w:numId w:val="2"/>
              </w:numPr>
            </w:pPr>
            <w:r>
              <w:t>Cited study estimates occupational exposure at air concentration of 5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A22EA2">
              <w:rPr>
                <w:rFonts w:cs="Arial"/>
              </w:rPr>
              <w:t>≡</w:t>
            </w:r>
            <w:r>
              <w:t>oral dose of 0.7 mg/kg/d</w:t>
            </w:r>
            <w:r w:rsidR="002A15CD">
              <w:t>.</w:t>
            </w:r>
          </w:p>
          <w:p w14:paraId="59DB4B74" w14:textId="4DE91C3B" w:rsidR="005B3A26" w:rsidRDefault="005B3A26" w:rsidP="003365A5">
            <w:pPr>
              <w:pStyle w:val="Tabletextprimarysource"/>
            </w:pPr>
            <w:r>
              <w:t>Animal data:</w:t>
            </w:r>
          </w:p>
          <w:p w14:paraId="608F1650" w14:textId="2A0D72BA" w:rsidR="005B3A26" w:rsidRDefault="00085F7A" w:rsidP="001B5755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273–796 mg/kg (rats</w:t>
            </w:r>
            <w:r w:rsidR="00A22EA2">
              <w:t>, oral</w:t>
            </w:r>
            <w:r>
              <w:t>) for range of pyrethrins effects: excitation, tremors and shock</w:t>
            </w:r>
          </w:p>
          <w:p w14:paraId="082AD7E0" w14:textId="7972A728" w:rsidR="00085F7A" w:rsidRDefault="00085F7A" w:rsidP="001B5755">
            <w:pPr>
              <w:pStyle w:val="Tabletextprimarysource"/>
              <w:numPr>
                <w:ilvl w:val="0"/>
                <w:numId w:val="1"/>
              </w:numPr>
            </w:pPr>
            <w:r>
              <w:t>Lung congestion at 6,000 mg/m</w:t>
            </w:r>
            <w:r>
              <w:rPr>
                <w:vertAlign w:val="superscript"/>
              </w:rPr>
              <w:t>3</w:t>
            </w:r>
            <w:r>
              <w:t xml:space="preserve"> (rats, 0.5 h)</w:t>
            </w:r>
          </w:p>
          <w:p w14:paraId="3E839DE5" w14:textId="16109EC7" w:rsidR="00085F7A" w:rsidRDefault="00085F7A" w:rsidP="001B5755">
            <w:pPr>
              <w:pStyle w:val="Tabletextprimarysource"/>
              <w:numPr>
                <w:ilvl w:val="0"/>
                <w:numId w:val="1"/>
              </w:numPr>
            </w:pPr>
            <w:r>
              <w:t>No signs of systemic toxicity at 1,500 mg/kg applied dermally (rats)</w:t>
            </w:r>
          </w:p>
          <w:p w14:paraId="16A7F463" w14:textId="5221B78B" w:rsidR="00085F7A" w:rsidRDefault="00085F7A" w:rsidP="001B5755">
            <w:pPr>
              <w:pStyle w:val="Tabletextprimarysource"/>
              <w:numPr>
                <w:ilvl w:val="0"/>
                <w:numId w:val="1"/>
              </w:numPr>
            </w:pPr>
            <w:r>
              <w:t>Slight lung irritation at 16 mg/m</w:t>
            </w:r>
            <w:r>
              <w:rPr>
                <w:vertAlign w:val="superscript"/>
              </w:rPr>
              <w:t>3</w:t>
            </w:r>
            <w:r>
              <w:t xml:space="preserve"> (rats, dogs, 0.5 h/d, 31 d)</w:t>
            </w:r>
          </w:p>
          <w:p w14:paraId="728B291C" w14:textId="03896B28" w:rsidR="00085F7A" w:rsidRDefault="00085F7A" w:rsidP="001B5755">
            <w:pPr>
              <w:pStyle w:val="Tabletextprimarysource"/>
              <w:numPr>
                <w:ilvl w:val="0"/>
                <w:numId w:val="1"/>
              </w:numPr>
            </w:pPr>
            <w:r>
              <w:t>Dyspnoea, tremors, ataxia and salivation at 5,000 ppm</w:t>
            </w:r>
            <w:r w:rsidR="00D46EFF">
              <w:t xml:space="preserve"> </w:t>
            </w:r>
            <w:r w:rsidR="006074F6">
              <w:t xml:space="preserve">in subchronic feeding study </w:t>
            </w:r>
            <w:r>
              <w:t>(dogs, 90 d)</w:t>
            </w:r>
          </w:p>
          <w:p w14:paraId="6F65E8E4" w14:textId="7CDEDFBF" w:rsidR="00F5760A" w:rsidRDefault="00085F7A" w:rsidP="001B575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50 mg/kg/d for tissue damage (not specified) reported in 1 chronic feeding study (rats, 2 </w:t>
            </w:r>
            <w:proofErr w:type="spellStart"/>
            <w:r>
              <w:t>yr</w:t>
            </w:r>
            <w:proofErr w:type="spellEnd"/>
            <w:r>
              <w:t>)</w:t>
            </w:r>
            <w:r w:rsidR="00880028">
              <w:t>:</w:t>
            </w:r>
            <w:r>
              <w:t xml:space="preserve"> </w:t>
            </w:r>
          </w:p>
          <w:p w14:paraId="31346BF5" w14:textId="49E09AAC" w:rsidR="00085F7A" w:rsidRDefault="00085F7A" w:rsidP="00104C9D">
            <w:pPr>
              <w:pStyle w:val="Tabletextprimarysource"/>
              <w:numPr>
                <w:ilvl w:val="0"/>
                <w:numId w:val="4"/>
              </w:numPr>
            </w:pPr>
            <w:r>
              <w:t xml:space="preserve">another study reported liver lesions and focal necrosis at 50 and 250 mg/kg/d (rats, </w:t>
            </w:r>
            <w:r w:rsidR="00F5760A">
              <w:t>2 </w:t>
            </w:r>
            <w:r>
              <w:t>yr</w:t>
            </w:r>
            <w:r w:rsidR="00D14320">
              <w:t>, no further details</w:t>
            </w:r>
            <w:r>
              <w:t>)</w:t>
            </w:r>
          </w:p>
          <w:p w14:paraId="40E3FB04" w14:textId="0D3A9EB2" w:rsidR="00F5760A" w:rsidRDefault="00085F7A" w:rsidP="001B575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reproductive toxicity at 250 mg/kg/d (rats, 3 </w:t>
            </w:r>
            <w:proofErr w:type="spellStart"/>
            <w:r>
              <w:t>wk</w:t>
            </w:r>
            <w:proofErr w:type="spellEnd"/>
            <w:r>
              <w:t>)</w:t>
            </w:r>
            <w:r w:rsidR="00880028">
              <w:t>:</w:t>
            </w:r>
            <w:r>
              <w:t xml:space="preserve"> </w:t>
            </w:r>
          </w:p>
          <w:p w14:paraId="7A39A458" w14:textId="0B010330" w:rsidR="00085F7A" w:rsidRDefault="00085F7A" w:rsidP="00104C9D">
            <w:pPr>
              <w:pStyle w:val="Tabletextprimarysource"/>
              <w:numPr>
                <w:ilvl w:val="0"/>
                <w:numId w:val="4"/>
              </w:numPr>
            </w:pPr>
            <w:r>
              <w:t>no developmental toxicity at 90 mg/kg/d (rats, GD 8–16)</w:t>
            </w:r>
          </w:p>
          <w:p w14:paraId="0FA359B8" w14:textId="6DB58AA2" w:rsidR="000412A3" w:rsidRDefault="000412A3" w:rsidP="001B5755">
            <w:pPr>
              <w:pStyle w:val="Tabletextprimarysource"/>
              <w:numPr>
                <w:ilvl w:val="0"/>
                <w:numId w:val="1"/>
              </w:numPr>
            </w:pPr>
            <w:r>
              <w:t>53% of oral dose exhaled as CO</w:t>
            </w:r>
            <w:r>
              <w:rPr>
                <w:vertAlign w:val="subscript"/>
              </w:rPr>
              <w:t>2</w:t>
            </w:r>
            <w:r>
              <w:t>; 7% excreted in urine (duration not specified)</w:t>
            </w:r>
            <w:r w:rsidR="002A15CD">
              <w:t>.</w:t>
            </w:r>
          </w:p>
          <w:p w14:paraId="0C22E471" w14:textId="77777777" w:rsidR="0022374F" w:rsidRDefault="0022374F" w:rsidP="003365A5">
            <w:pPr>
              <w:pStyle w:val="Tabletextprimarysource"/>
            </w:pPr>
          </w:p>
          <w:p w14:paraId="21D9C086" w14:textId="77777777" w:rsidR="005B3A26" w:rsidRDefault="005B3A26" w:rsidP="003365A5">
            <w:pPr>
              <w:pStyle w:val="Tabletextprimarysource"/>
            </w:pPr>
            <w:r>
              <w:t>Insufficient data to recommend a TLV-STEL or notations for skin absorption or sensitisation.</w:t>
            </w:r>
          </w:p>
          <w:p w14:paraId="0CE4D35D" w14:textId="6252E9A1" w:rsidR="0022374F" w:rsidRPr="00DA352E" w:rsidRDefault="0022374F" w:rsidP="003365A5">
            <w:pPr>
              <w:pStyle w:val="Tabletextprimarysource"/>
            </w:pPr>
          </w:p>
        </w:tc>
      </w:tr>
      <w:tr w:rsidR="00C978F0" w:rsidRPr="00DA352E" w14:paraId="174F8B79" w14:textId="77777777" w:rsidTr="007C6EB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5173678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8552E">
                  <w:t>1997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8552E">
                  <w:t>Not assigned</w:t>
                </w:r>
              </w:sdtContent>
            </w:sdt>
          </w:p>
        </w:tc>
      </w:tr>
      <w:tr w:rsidR="00C978F0" w:rsidRPr="00DA352E" w14:paraId="4433014F" w14:textId="77777777" w:rsidTr="007C6EBF">
        <w:trPr>
          <w:gridAfter w:val="1"/>
          <w:wAfter w:w="8" w:type="pct"/>
          <w:cantSplit/>
        </w:trPr>
        <w:tc>
          <w:tcPr>
            <w:tcW w:w="4992" w:type="pct"/>
          </w:tcPr>
          <w:p w14:paraId="34791601" w14:textId="77777777" w:rsidR="00C978F0" w:rsidRDefault="00F74C13" w:rsidP="003365A5">
            <w:pPr>
              <w:pStyle w:val="Tabletextprimarysource"/>
            </w:pPr>
            <w:r>
              <w:t>Summary of additional information:</w:t>
            </w:r>
          </w:p>
          <w:p w14:paraId="54913F13" w14:textId="5E460DFD" w:rsidR="00F74C13" w:rsidRDefault="00F74C13" w:rsidP="003365A5">
            <w:pPr>
              <w:pStyle w:val="Tabletextprimarysource"/>
            </w:pPr>
            <w:r>
              <w:t>Irritation considered more sensitive than systemic endpoints; NOAEL for liver damage 4 mg/kg</w:t>
            </w:r>
            <w:r w:rsidR="00880028">
              <w:t>/d</w:t>
            </w:r>
            <w:r>
              <w:t xml:space="preserve"> in female rats in chronic feeding study, </w:t>
            </w:r>
            <w:r w:rsidR="00AA78FD">
              <w:rPr>
                <w:rFonts w:cs="Arial"/>
              </w:rPr>
              <w:t>≡</w:t>
            </w:r>
            <w:r>
              <w:t>air concentration of 28 mg/m</w:t>
            </w:r>
            <w:r>
              <w:rPr>
                <w:vertAlign w:val="superscript"/>
              </w:rPr>
              <w:t>3</w:t>
            </w:r>
            <w:r>
              <w:t xml:space="preserve"> in occupationally exposed humans. Irritation reported at LOAEL of 11 mg/m</w:t>
            </w:r>
            <w:r>
              <w:rPr>
                <w:vertAlign w:val="superscript"/>
              </w:rPr>
              <w:t>3</w:t>
            </w:r>
            <w:r>
              <w:t xml:space="preserve"> in sub</w:t>
            </w:r>
            <w:r w:rsidR="00BC5E0C">
              <w:t>-</w:t>
            </w:r>
            <w:r>
              <w:t>chronically exposed rats, previous MAK of 5 mg/m</w:t>
            </w:r>
            <w:r>
              <w:rPr>
                <w:vertAlign w:val="superscript"/>
              </w:rPr>
              <w:t>3</w:t>
            </w:r>
            <w:r>
              <w:t xml:space="preserve"> withdrawn due to insufficient data to derive NOAEC for irritation.</w:t>
            </w:r>
          </w:p>
          <w:p w14:paraId="1FC82A18" w14:textId="66CFEE43" w:rsidR="00F74C13" w:rsidRDefault="00F74C13" w:rsidP="003365A5">
            <w:pPr>
              <w:pStyle w:val="Tabletextprimarysource"/>
            </w:pPr>
            <w:r>
              <w:t xml:space="preserve">Slight increase in liver tumour incidence compared to controls in chronic feeding study </w:t>
            </w:r>
            <w:r w:rsidR="00BC5E0C">
              <w:t xml:space="preserve">in </w:t>
            </w:r>
            <w:r>
              <w:t xml:space="preserve">rats insufficient to warrant </w:t>
            </w:r>
            <w:r w:rsidR="00454696">
              <w:t>carcinogenicity classification.</w:t>
            </w:r>
          </w:p>
          <w:p w14:paraId="03C6CFFF" w14:textId="77777777" w:rsidR="0057318B" w:rsidRDefault="0057318B" w:rsidP="003365A5">
            <w:pPr>
              <w:pStyle w:val="Tabletextprimarysource"/>
            </w:pPr>
            <w:r>
              <w:t>Skin notation not warranted based on studies with dermally exposed humans and monkeys.</w:t>
            </w:r>
          </w:p>
          <w:p w14:paraId="4FD534DA" w14:textId="5B14FB5A" w:rsidR="00701269" w:rsidRDefault="00D912EA" w:rsidP="003365A5">
            <w:pPr>
              <w:pStyle w:val="Tabletextprimarysource"/>
            </w:pPr>
            <w:r>
              <w:t xml:space="preserve">Dermal sensitiser notation recommended based on reports of dermatitis in </w:t>
            </w:r>
            <w:r w:rsidR="00D6526C">
              <w:t>humans</w:t>
            </w:r>
            <w:r>
              <w:t xml:space="preserve">, which </w:t>
            </w:r>
            <w:r w:rsidR="00D6526C">
              <w:t>are</w:t>
            </w:r>
            <w:r>
              <w:t xml:space="preserve"> supported by positive results in an inadequately conducted animal study.</w:t>
            </w:r>
          </w:p>
          <w:p w14:paraId="38CEC4B1" w14:textId="0B40CBC0" w:rsidR="00701269" w:rsidRDefault="00701269" w:rsidP="003365A5">
            <w:pPr>
              <w:pStyle w:val="Tabletextprimarysource"/>
            </w:pPr>
            <w:r>
              <w:t>Human data:</w:t>
            </w:r>
          </w:p>
          <w:p w14:paraId="7E8E7C7D" w14:textId="10081DFE" w:rsidR="00701269" w:rsidRDefault="00033BBD" w:rsidP="00416906">
            <w:pPr>
              <w:pStyle w:val="Tabletextprimarysource"/>
              <w:numPr>
                <w:ilvl w:val="0"/>
                <w:numId w:val="1"/>
              </w:numPr>
            </w:pPr>
            <w:r>
              <w:t>40–81% of oral dose of 0.3 mg eliminated within 30 h (n=3)</w:t>
            </w:r>
          </w:p>
          <w:p w14:paraId="227342C9" w14:textId="646F4192" w:rsidR="00033BBD" w:rsidRDefault="00033BBD" w:rsidP="00416906">
            <w:pPr>
              <w:pStyle w:val="Tabletextprimarysource"/>
              <w:numPr>
                <w:ilvl w:val="0"/>
                <w:numId w:val="1"/>
              </w:numPr>
            </w:pPr>
            <w:r>
              <w:t>0.4% of dermal dose detected in urine after 2 d</w:t>
            </w:r>
          </w:p>
          <w:p w14:paraId="297A1D84" w14:textId="623322F8" w:rsidR="00F5760A" w:rsidRDefault="00033BBD" w:rsidP="0041690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Slight pulmonary lesions </w:t>
            </w:r>
            <w:r w:rsidR="00416906">
              <w:t>resulting from respiratory irritation</w:t>
            </w:r>
            <w:r>
              <w:t xml:space="preserve"> </w:t>
            </w:r>
            <w:r w:rsidR="00416906">
              <w:t>in group of workers (n=18,</w:t>
            </w:r>
            <w:r w:rsidR="00A770AF">
              <w:t xml:space="preserve"> </w:t>
            </w:r>
            <w:r w:rsidR="0022374F">
              <w:br/>
            </w:r>
            <w:r w:rsidR="00A770AF">
              <w:t xml:space="preserve">11–22 </w:t>
            </w:r>
            <w:proofErr w:type="spellStart"/>
            <w:r w:rsidR="00BC5E0C" w:rsidRPr="00C20CA9">
              <w:rPr>
                <w:rFonts w:cs="Arial"/>
              </w:rPr>
              <w:t>yr</w:t>
            </w:r>
            <w:proofErr w:type="spellEnd"/>
            <w:r w:rsidR="00A770AF">
              <w:t>) exposed at 78 ppm (1,050 mg/m</w:t>
            </w:r>
            <w:r w:rsidR="00A770AF">
              <w:rPr>
                <w:vertAlign w:val="superscript"/>
              </w:rPr>
              <w:t>3</w:t>
            </w:r>
            <w:r w:rsidR="00A770AF">
              <w:t xml:space="preserve">) </w:t>
            </w:r>
            <w:r w:rsidR="00416906">
              <w:t>of pyrethrin extract</w:t>
            </w:r>
            <w:r w:rsidR="00A770AF">
              <w:t xml:space="preserve"> (purity not specified)</w:t>
            </w:r>
            <w:r w:rsidR="00416906">
              <w:t xml:space="preserve"> or 6,000 ppm of pyrethrum powder (no further details)</w:t>
            </w:r>
            <w:r w:rsidR="002105B8">
              <w:t>:</w:t>
            </w:r>
            <w:r w:rsidR="00416906">
              <w:t xml:space="preserve"> </w:t>
            </w:r>
          </w:p>
          <w:p w14:paraId="1B3358EE" w14:textId="6E2E3D56" w:rsidR="00033BBD" w:rsidRDefault="00416906" w:rsidP="00104C9D">
            <w:pPr>
              <w:pStyle w:val="Tabletextprimarysource"/>
              <w:numPr>
                <w:ilvl w:val="0"/>
                <w:numId w:val="4"/>
              </w:numPr>
            </w:pPr>
            <w:r>
              <w:t>separate lower exposure group (n=59) showed no effects on haematological parameters, electrolyte concentrations and blood biochemistry (no further details)</w:t>
            </w:r>
          </w:p>
          <w:p w14:paraId="7C64E70E" w14:textId="19A28698" w:rsidR="00F86AED" w:rsidRDefault="00D6526C" w:rsidP="00F86AED">
            <w:pPr>
              <w:pStyle w:val="Tabletextprimarysource"/>
              <w:numPr>
                <w:ilvl w:val="0"/>
                <w:numId w:val="1"/>
              </w:numPr>
            </w:pPr>
            <w:r>
              <w:t>Positive reactions in 1–2% of patients</w:t>
            </w:r>
            <w:r w:rsidR="00F86AED">
              <w:t xml:space="preserve"> with dermatitis</w:t>
            </w:r>
            <w:r>
              <w:t xml:space="preserve"> in clinical patch test stu</w:t>
            </w:r>
            <w:r w:rsidR="00F86AED">
              <w:t>dies (n=1,406</w:t>
            </w:r>
            <w:r w:rsidR="002A15CD">
              <w:t> </w:t>
            </w:r>
            <w:r w:rsidR="00F86AED">
              <w:t>and 1,835)</w:t>
            </w:r>
            <w:r w:rsidR="002A15CD">
              <w:t>.</w:t>
            </w:r>
          </w:p>
          <w:p w14:paraId="7E25C410" w14:textId="48339957" w:rsidR="00701269" w:rsidRDefault="00701269" w:rsidP="003365A5">
            <w:pPr>
              <w:pStyle w:val="Tabletextprimarysource"/>
            </w:pPr>
            <w:r>
              <w:t>Animal data:</w:t>
            </w:r>
          </w:p>
          <w:p w14:paraId="38CEA5FC" w14:textId="3B998F31" w:rsidR="00F86AED" w:rsidRDefault="00F86AED" w:rsidP="00F86AED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3,400 mg/m</w:t>
            </w:r>
            <w:r>
              <w:rPr>
                <w:vertAlign w:val="superscript"/>
              </w:rPr>
              <w:t>3</w:t>
            </w:r>
            <w:r>
              <w:t xml:space="preserve"> (rats, 4 h</w:t>
            </w:r>
            <w:r w:rsidR="005769C3">
              <w:t>, inhalation</w:t>
            </w:r>
            <w:r>
              <w:t>)</w:t>
            </w:r>
          </w:p>
          <w:p w14:paraId="079B90E0" w14:textId="1D1CD2C6" w:rsidR="00F86AED" w:rsidRDefault="00F86AED" w:rsidP="00F86AED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Histological changes to </w:t>
            </w:r>
            <w:r w:rsidR="00536750">
              <w:t xml:space="preserve">larynx (squamous metaplasia) </w:t>
            </w:r>
            <w:r>
              <w:t>at 11 mg/m</w:t>
            </w:r>
            <w:r>
              <w:rPr>
                <w:vertAlign w:val="superscript"/>
              </w:rPr>
              <w:t>3</w:t>
            </w:r>
            <w:r>
              <w:t xml:space="preserve"> in subchronic inhalation study </w:t>
            </w:r>
            <w:r w:rsidR="00536750">
              <w:t>with dose groups 0, 11, 30, 100, 356 mg/m</w:t>
            </w:r>
            <w:r w:rsidR="00536750">
              <w:rPr>
                <w:vertAlign w:val="superscript"/>
              </w:rPr>
              <w:t>3</w:t>
            </w:r>
            <w:r w:rsidR="00536750">
              <w:t xml:space="preserve"> </w:t>
            </w:r>
            <w:r>
              <w:t>(rats, 6 h/d, 5 d/wk, 13 wk); nasal discharge and anaemia at 30 mg/m</w:t>
            </w:r>
            <w:r>
              <w:rPr>
                <w:vertAlign w:val="superscript"/>
              </w:rPr>
              <w:t>3</w:t>
            </w:r>
            <w:r>
              <w:t xml:space="preserve">, </w:t>
            </w:r>
            <w:r w:rsidR="00536750">
              <w:t>mortality at 356 mg/m</w:t>
            </w:r>
            <w:r w:rsidR="00536750">
              <w:rPr>
                <w:vertAlign w:val="superscript"/>
              </w:rPr>
              <w:t>3</w:t>
            </w:r>
            <w:r w:rsidR="0022374F">
              <w:t>:</w:t>
            </w:r>
          </w:p>
          <w:p w14:paraId="35062619" w14:textId="0B124625" w:rsidR="00536750" w:rsidRDefault="00536750" w:rsidP="00104C9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not possible to calculate NOAEC due to high incidence of larynx lesions at LOAEC</w:t>
            </w:r>
          </w:p>
          <w:p w14:paraId="370AC99B" w14:textId="671F6DD5" w:rsidR="00104C9D" w:rsidRDefault="00C809C6" w:rsidP="00F86AED">
            <w:pPr>
              <w:pStyle w:val="Tabletextprimarysource"/>
              <w:numPr>
                <w:ilvl w:val="0"/>
                <w:numId w:val="1"/>
              </w:numPr>
            </w:pPr>
            <w:r>
              <w:t>Increased incidence of thyroid adenomas and liver weights at 43/56 mg/kg/d</w:t>
            </w:r>
            <w:r w:rsidR="00104C9D">
              <w:t xml:space="preserve"> (male/female)</w:t>
            </w:r>
            <w:r w:rsidR="00B84460">
              <w:t>, hepatocellular adenomas at 130/170 mg/kg/d</w:t>
            </w:r>
            <w:r>
              <w:t xml:space="preserve"> in chronic feeding study with dose groups 0, 4/5, 43/56, 130/170 mg/kg/d (rats, 2 </w:t>
            </w:r>
            <w:proofErr w:type="spellStart"/>
            <w:r>
              <w:t>yr</w:t>
            </w:r>
            <w:proofErr w:type="spellEnd"/>
            <w:r>
              <w:t>)</w:t>
            </w:r>
            <w:r w:rsidR="002105B8">
              <w:t>:</w:t>
            </w:r>
            <w:r>
              <w:t xml:space="preserve"> </w:t>
            </w:r>
          </w:p>
          <w:p w14:paraId="305D1B09" w14:textId="39A642BC" w:rsidR="00536750" w:rsidRDefault="00C809C6" w:rsidP="00104C9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4/5 mg/kg/d</w:t>
            </w:r>
          </w:p>
          <w:p w14:paraId="071E386E" w14:textId="100879AA" w:rsidR="00B84460" w:rsidRDefault="00B84460" w:rsidP="00104C9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increased incidence of liver and thyroid tumours </w:t>
            </w:r>
            <w:r w:rsidR="00454696">
              <w:t>considered, by the agency, due to induction of liver enzymes and subsequent tumour promotion effect</w:t>
            </w:r>
          </w:p>
          <w:p w14:paraId="23C10190" w14:textId="291F2BB6" w:rsidR="00D912EA" w:rsidRDefault="00454696" w:rsidP="00416906">
            <w:pPr>
              <w:pStyle w:val="Tabletextprimarysource"/>
              <w:numPr>
                <w:ilvl w:val="0"/>
                <w:numId w:val="1"/>
              </w:numPr>
            </w:pPr>
            <w:r>
              <w:t>Dermal absorption rate</w:t>
            </w:r>
            <w:r w:rsidR="00BC4A22">
              <w:t xml:space="preserve"> of</w:t>
            </w:r>
            <w:r>
              <w:t xml:space="preserve"> </w:t>
            </w:r>
            <w:r w:rsidR="00BC4A22">
              <w:t xml:space="preserve">1.9% </w:t>
            </w:r>
            <w:r w:rsidRPr="00454696">
              <w:rPr>
                <w:i/>
              </w:rPr>
              <w:t>i</w:t>
            </w:r>
            <w:r w:rsidR="00033BBD">
              <w:rPr>
                <w:i/>
              </w:rPr>
              <w:t>n vivo</w:t>
            </w:r>
            <w:r w:rsidR="00033BBD">
              <w:t xml:space="preserve"> (monkeys)</w:t>
            </w:r>
          </w:p>
          <w:p w14:paraId="22B3D2FB" w14:textId="3A5AEF34" w:rsidR="00BC4A22" w:rsidRDefault="00D912EA" w:rsidP="0041690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 w:rsidR="00BC4A22">
              <w:t xml:space="preserve"> in bacteria or rat hepatocytes</w:t>
            </w:r>
            <w:r>
              <w:t xml:space="preserve">; no </w:t>
            </w:r>
            <w:r>
              <w:rPr>
                <w:i/>
              </w:rPr>
              <w:t>in vivo</w:t>
            </w:r>
            <w:r>
              <w:t xml:space="preserve"> mutagenicity </w:t>
            </w:r>
            <w:r w:rsidR="00BC4A22">
              <w:t xml:space="preserve">data for purified extracts </w:t>
            </w:r>
            <w:r>
              <w:t>available</w:t>
            </w:r>
            <w:r w:rsidR="0022374F">
              <w:t>:</w:t>
            </w:r>
          </w:p>
          <w:p w14:paraId="02F46187" w14:textId="303036C4" w:rsidR="00701269" w:rsidRDefault="00BC4A22" w:rsidP="00104C9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clastogenicity reported at 22.5–90 mg/kg (60% pyrethrins) not considered in evaluation due to use of crude extract (mice, 1–5 doses)</w:t>
            </w:r>
            <w:r w:rsidR="005769C3">
              <w:t>.</w:t>
            </w:r>
          </w:p>
          <w:p w14:paraId="290AD1CB" w14:textId="77777777" w:rsidR="0022374F" w:rsidRDefault="0022374F" w:rsidP="003365A5">
            <w:pPr>
              <w:pStyle w:val="Tabletextprimarysource"/>
            </w:pPr>
          </w:p>
          <w:p w14:paraId="6B659180" w14:textId="77777777" w:rsidR="0057318B" w:rsidRDefault="00701269" w:rsidP="003365A5">
            <w:pPr>
              <w:pStyle w:val="Tabletextprimarysource"/>
            </w:pPr>
            <w:r>
              <w:t>Insufficient data to assign a respiratory sensitiser notation.</w:t>
            </w:r>
          </w:p>
          <w:p w14:paraId="61A64F09" w14:textId="2D8F3EB6" w:rsidR="0022374F" w:rsidRPr="00F74C13" w:rsidRDefault="0022374F" w:rsidP="003365A5">
            <w:pPr>
              <w:pStyle w:val="Tabletextprimarysource"/>
            </w:pPr>
          </w:p>
        </w:tc>
      </w:tr>
      <w:tr w:rsidR="00C978F0" w:rsidRPr="00DA352E" w14:paraId="0E6A0B2C" w14:textId="77777777" w:rsidTr="007C6EB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42A627B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8552E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8552E" w:rsidRPr="00F8552E">
                  <w:t>TWA</w:t>
                </w:r>
                <w:r w:rsidR="00F8552E">
                  <w:t>:</w:t>
                </w:r>
                <w:r w:rsidR="006A24AE">
                  <w:t xml:space="preserve"> 1 mg/m</w:t>
                </w:r>
                <w:r w:rsidR="006A24AE" w:rsidRPr="006A24A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008D281" w14:textId="77777777" w:rsidTr="007C6EBF">
        <w:trPr>
          <w:gridAfter w:val="1"/>
          <w:wAfter w:w="8" w:type="pct"/>
        </w:trPr>
        <w:tc>
          <w:tcPr>
            <w:tcW w:w="4992" w:type="pct"/>
          </w:tcPr>
          <w:p w14:paraId="262BA974" w14:textId="2462A27A" w:rsidR="00C978F0" w:rsidRDefault="00BC4A22" w:rsidP="00BC4A22">
            <w:pPr>
              <w:pStyle w:val="Tabletextprimarysource"/>
              <w:tabs>
                <w:tab w:val="left" w:pos="2220"/>
              </w:tabs>
            </w:pPr>
            <w:r>
              <w:t>Summary of additional information:</w:t>
            </w:r>
          </w:p>
          <w:p w14:paraId="76FFDF02" w14:textId="2148B327" w:rsidR="00D877AC" w:rsidRPr="00791774" w:rsidRDefault="00D877AC" w:rsidP="00BC4A22">
            <w:pPr>
              <w:pStyle w:val="Tabletextprimarysource"/>
              <w:tabs>
                <w:tab w:val="left" w:pos="2220"/>
              </w:tabs>
            </w:pPr>
            <w:r>
              <w:t xml:space="preserve">Recommended TWA based on NOAEL of 10 mg/kg/d for slight liver damage in chronic feeding study with rats. An overall </w:t>
            </w:r>
            <w:r w:rsidR="005769C3">
              <w:t xml:space="preserve">UF of </w:t>
            </w:r>
            <w:r>
              <w:t>50 is applied to account for uncertainty in the chemical composition of commercial extracts, chronic effects in humans and toxicity of oral versus parenteral administration</w:t>
            </w:r>
            <w:r w:rsidR="00791774">
              <w:t xml:space="preserve"> to estimate a NOAEL in humans of 0.2 mg/kg/d. An air concentration that would </w:t>
            </w:r>
            <w:r w:rsidR="00791774">
              <w:lastRenderedPageBreak/>
              <w:t>deliver an effective dose at this NOAEL is 1 mg/m</w:t>
            </w:r>
            <w:r w:rsidR="00791774">
              <w:rPr>
                <w:vertAlign w:val="superscript"/>
              </w:rPr>
              <w:t>3</w:t>
            </w:r>
            <w:r w:rsidR="00791774">
              <w:t xml:space="preserve"> assuming a respiratory volume of 10 m</w:t>
            </w:r>
            <w:r w:rsidR="00791774">
              <w:rPr>
                <w:vertAlign w:val="superscript"/>
              </w:rPr>
              <w:t>3</w:t>
            </w:r>
            <w:r w:rsidR="00791774">
              <w:t xml:space="preserve"> in a 70</w:t>
            </w:r>
            <w:r w:rsidR="002105B8">
              <w:t> </w:t>
            </w:r>
            <w:r w:rsidR="00791774">
              <w:t>kg worker during an 8</w:t>
            </w:r>
            <w:r w:rsidR="002A15CD">
              <w:t xml:space="preserve"> </w:t>
            </w:r>
            <w:r w:rsidR="00791774">
              <w:t>h shift.</w:t>
            </w:r>
          </w:p>
          <w:p w14:paraId="29BFD0B2" w14:textId="543BF872" w:rsidR="00D14320" w:rsidRDefault="00B77461" w:rsidP="00BC4A22">
            <w:pPr>
              <w:pStyle w:val="Tabletextprimarysource"/>
              <w:tabs>
                <w:tab w:val="left" w:pos="2220"/>
              </w:tabs>
            </w:pPr>
            <w:r>
              <w:t>Human data:</w:t>
            </w:r>
          </w:p>
          <w:p w14:paraId="1BB72321" w14:textId="4C0567A8" w:rsidR="00B77461" w:rsidRDefault="00B77461" w:rsidP="00B77461">
            <w:pPr>
              <w:pStyle w:val="Tabletextprimarysource"/>
              <w:numPr>
                <w:ilvl w:val="0"/>
                <w:numId w:val="1"/>
              </w:numPr>
              <w:tabs>
                <w:tab w:val="left" w:pos="2220"/>
              </w:tabs>
            </w:pPr>
            <w:r>
              <w:t>No additional information presented</w:t>
            </w:r>
            <w:r w:rsidR="002A15CD">
              <w:t>.</w:t>
            </w:r>
          </w:p>
          <w:p w14:paraId="3FDFF78B" w14:textId="050EF453" w:rsidR="00BC4A22" w:rsidRDefault="00BC4A22" w:rsidP="00BC4A22">
            <w:pPr>
              <w:pStyle w:val="Tabletextprimarysource"/>
              <w:tabs>
                <w:tab w:val="left" w:pos="2220"/>
              </w:tabs>
            </w:pPr>
            <w:r>
              <w:t>Animal data:</w:t>
            </w:r>
          </w:p>
          <w:p w14:paraId="55B1601E" w14:textId="36B45EB5" w:rsidR="00BC4A22" w:rsidRDefault="00D14320" w:rsidP="00BC4A22">
            <w:pPr>
              <w:pStyle w:val="Tabletextprimarysource"/>
              <w:numPr>
                <w:ilvl w:val="0"/>
                <w:numId w:val="1"/>
              </w:numPr>
              <w:tabs>
                <w:tab w:val="left" w:pos="2220"/>
              </w:tabs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1,100–3,680 mg/kg (rabbits</w:t>
            </w:r>
            <w:r w:rsidR="005769C3">
              <w:t>, dermal</w:t>
            </w:r>
            <w:r>
              <w:t>)</w:t>
            </w:r>
          </w:p>
          <w:p w14:paraId="10B1B34A" w14:textId="40A21DA5" w:rsidR="00D14320" w:rsidRDefault="00D14320" w:rsidP="00BC4A22">
            <w:pPr>
              <w:pStyle w:val="Tabletextprimarysource"/>
              <w:numPr>
                <w:ilvl w:val="0"/>
                <w:numId w:val="1"/>
              </w:numPr>
              <w:tabs>
                <w:tab w:val="left" w:pos="2220"/>
              </w:tabs>
            </w:pPr>
            <w:r>
              <w:t>Pyrethrin I and II aerosols non-sensitising to guinea pigs; suggests positive sensitisation to pyrethrum extracts caused by impurities, e.g. sesquiterpene lactones, present in unrefined formulations</w:t>
            </w:r>
          </w:p>
          <w:p w14:paraId="502755A8" w14:textId="7D0D944A" w:rsidR="00D14320" w:rsidRDefault="00D14320" w:rsidP="00D14320">
            <w:pPr>
              <w:pStyle w:val="Tabletextprimarysource"/>
              <w:numPr>
                <w:ilvl w:val="0"/>
                <w:numId w:val="1"/>
              </w:numPr>
              <w:tabs>
                <w:tab w:val="left" w:pos="2220"/>
              </w:tabs>
            </w:pPr>
            <w:r>
              <w:t xml:space="preserve">NOAEL: 10 mg/kg/d for slight liver damage in chronic feeding study (rats, 2 yr, also cited in ACGIH, 2018, but NOAEL not </w:t>
            </w:r>
            <w:r w:rsidR="000A62AF">
              <w:t>reported</w:t>
            </w:r>
            <w:r>
              <w:t>)</w:t>
            </w:r>
            <w:r w:rsidR="002A15CD">
              <w:t>.</w:t>
            </w:r>
          </w:p>
          <w:p w14:paraId="153B53C1" w14:textId="1A6FDABD" w:rsidR="0022374F" w:rsidRPr="00DA352E" w:rsidRDefault="0022374F" w:rsidP="00104C9D">
            <w:pPr>
              <w:pStyle w:val="Tabletextprimarysource"/>
              <w:tabs>
                <w:tab w:val="left" w:pos="2220"/>
              </w:tabs>
            </w:pPr>
          </w:p>
        </w:tc>
      </w:tr>
      <w:tr w:rsidR="00DA352E" w:rsidRPr="00DA352E" w14:paraId="12BAB90D" w14:textId="77777777" w:rsidTr="007C6EB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6E0A0F3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A24A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6A24AE">
                  <w:t>NA</w:t>
                </w:r>
              </w:sdtContent>
            </w:sdt>
          </w:p>
        </w:tc>
      </w:tr>
      <w:tr w:rsidR="00DA352E" w:rsidRPr="00DA352E" w14:paraId="33AAF4A6" w14:textId="77777777" w:rsidTr="007C6EBF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65A48BD5" w:rsidR="00DA352E" w:rsidRPr="00DA352E" w:rsidRDefault="006A24AE" w:rsidP="003365A5">
            <w:pPr>
              <w:pStyle w:val="Tabletextprimarysource"/>
            </w:pPr>
            <w:r>
              <w:t>No report</w:t>
            </w:r>
            <w:r w:rsidR="002A15CD">
              <w:t>.</w:t>
            </w:r>
          </w:p>
        </w:tc>
      </w:tr>
      <w:tr w:rsidR="00DA352E" w:rsidRPr="00DA352E" w14:paraId="605F758C" w14:textId="77777777" w:rsidTr="007C6EB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698F1AC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A24AE" w:rsidRPr="006A24AE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A24AE">
                  <w:t>TWA</w:t>
                </w:r>
                <w:r w:rsidR="00A22EA2">
                  <w:t>:</w:t>
                </w:r>
                <w:r w:rsidR="006A24AE">
                  <w:t xml:space="preserve"> 5 mg/m</w:t>
                </w:r>
                <w:r w:rsidR="006A24AE" w:rsidRPr="006A24A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050CB3E" w14:textId="77777777" w:rsidTr="007C6EBF">
        <w:trPr>
          <w:gridAfter w:val="1"/>
          <w:wAfter w:w="8" w:type="pct"/>
          <w:cantSplit/>
        </w:trPr>
        <w:tc>
          <w:tcPr>
            <w:tcW w:w="4992" w:type="pct"/>
          </w:tcPr>
          <w:p w14:paraId="5DD3E431" w14:textId="77777777" w:rsidR="00DA352E" w:rsidRDefault="00B77461" w:rsidP="003365A5">
            <w:pPr>
              <w:pStyle w:val="Tabletextprimarysource"/>
            </w:pPr>
            <w:r>
              <w:t>Summary of additional information:</w:t>
            </w:r>
          </w:p>
          <w:p w14:paraId="212FADE8" w14:textId="3D2F5301" w:rsidR="00A2480E" w:rsidRDefault="0002614D" w:rsidP="003365A5">
            <w:pPr>
              <w:pStyle w:val="Tabletextprimarysource"/>
            </w:pPr>
            <w:r>
              <w:t>Current administrative OEL considered too high</w:t>
            </w:r>
            <w:r w:rsidR="00A2480E">
              <w:t>.</w:t>
            </w:r>
            <w:r>
              <w:t xml:space="preserve"> </w:t>
            </w:r>
          </w:p>
          <w:p w14:paraId="5A371202" w14:textId="459897EA" w:rsidR="0002614D" w:rsidRPr="009B519E" w:rsidRDefault="0002614D" w:rsidP="003365A5">
            <w:pPr>
              <w:pStyle w:val="Tabletextprimarysource"/>
            </w:pPr>
            <w:r>
              <w:t>HBROEL</w:t>
            </w:r>
            <w:r w:rsidR="0074281B">
              <w:t xml:space="preserve"> </w:t>
            </w:r>
            <w:r w:rsidR="009B519E">
              <w:t>derived from NOAEC of 38 mg/m</w:t>
            </w:r>
            <w:r w:rsidR="009B519E">
              <w:rPr>
                <w:vertAlign w:val="superscript"/>
              </w:rPr>
              <w:t>3</w:t>
            </w:r>
            <w:r w:rsidR="009B519E">
              <w:t xml:space="preserve"> for systemic effects in subchronically exposed rats. </w:t>
            </w:r>
            <w:r w:rsidR="00104C9D">
              <w:t>UF</w:t>
            </w:r>
            <w:r w:rsidR="009B519E">
              <w:t xml:space="preserve"> of 27 applied to this NOAEC</w:t>
            </w:r>
            <w:r w:rsidR="00104C9D">
              <w:t xml:space="preserve"> </w:t>
            </w:r>
            <w:r w:rsidR="009B519E">
              <w:t>account</w:t>
            </w:r>
            <w:r w:rsidR="00104C9D">
              <w:t>ing</w:t>
            </w:r>
            <w:r w:rsidR="009B519E">
              <w:t xml:space="preserve"> for intra- and interspecies differences and translation from experimental conditions to the workplace</w:t>
            </w:r>
            <w:r w:rsidR="00125DD9">
              <w:t>; rounding down arrives at</w:t>
            </w:r>
            <w:r w:rsidR="009B519E">
              <w:t xml:space="preserve"> the proposed HBROEL of 1</w:t>
            </w:r>
            <w:r w:rsidR="00A2480E">
              <w:t> </w:t>
            </w:r>
            <w:r w:rsidR="009B519E">
              <w:t>mg/m</w:t>
            </w:r>
            <w:r w:rsidR="009B519E">
              <w:rPr>
                <w:vertAlign w:val="superscript"/>
              </w:rPr>
              <w:t>3</w:t>
            </w:r>
            <w:r w:rsidR="00125DD9">
              <w:t xml:space="preserve">. The HBROEL is expected to </w:t>
            </w:r>
            <w:r w:rsidR="00791774">
              <w:t xml:space="preserve">be sufficiently low to </w:t>
            </w:r>
            <w:r w:rsidR="00125DD9">
              <w:t>protect for</w:t>
            </w:r>
            <w:r w:rsidR="00791774">
              <w:t xml:space="preserve"> both</w:t>
            </w:r>
            <w:r w:rsidR="00125DD9">
              <w:t xml:space="preserve"> respiratory tract irritation and systemic effects observed in rats.</w:t>
            </w:r>
          </w:p>
          <w:p w14:paraId="53424E04" w14:textId="06E32BD5" w:rsidR="004E0752" w:rsidRDefault="0002614D" w:rsidP="003365A5">
            <w:pPr>
              <w:pStyle w:val="Tabletextprimarysource"/>
            </w:pPr>
            <w:r>
              <w:t>Skin notation not warranted due to low dermal penetration in humans</w:t>
            </w:r>
            <w:r w:rsidR="0074281B">
              <w:t xml:space="preserve"> and animals</w:t>
            </w:r>
            <w:r>
              <w:t>.</w:t>
            </w:r>
          </w:p>
          <w:p w14:paraId="64F542B2" w14:textId="39A2D619" w:rsidR="0002614D" w:rsidRDefault="0002614D" w:rsidP="003365A5">
            <w:pPr>
              <w:pStyle w:val="Tabletextprimarysource"/>
            </w:pPr>
            <w:r>
              <w:t>Human data</w:t>
            </w:r>
            <w:r w:rsidR="0074281B">
              <w:t>:</w:t>
            </w:r>
          </w:p>
          <w:p w14:paraId="39DD2D67" w14:textId="74954DA8" w:rsidR="0074281B" w:rsidRDefault="0074281B" w:rsidP="0074281B">
            <w:pPr>
              <w:pStyle w:val="Tabletextprimarysource"/>
              <w:numPr>
                <w:ilvl w:val="0"/>
                <w:numId w:val="1"/>
              </w:numPr>
            </w:pPr>
            <w:r>
              <w:t>Cases of allergic dermatitis and asthma considered to be caused by impurities, which are no longer present in purified products</w:t>
            </w:r>
            <w:r w:rsidR="002A15CD">
              <w:t>.</w:t>
            </w:r>
          </w:p>
          <w:p w14:paraId="289ECDD5" w14:textId="77777777" w:rsidR="0002614D" w:rsidRDefault="0074281B" w:rsidP="003365A5">
            <w:pPr>
              <w:pStyle w:val="Tabletextprimarysource"/>
            </w:pPr>
            <w:r>
              <w:t>Animal data:</w:t>
            </w:r>
          </w:p>
          <w:p w14:paraId="32E40870" w14:textId="056BFEF1" w:rsidR="0074281B" w:rsidRDefault="0074281B" w:rsidP="0074281B">
            <w:pPr>
              <w:pStyle w:val="Tabletextprimarysource"/>
              <w:numPr>
                <w:ilvl w:val="0"/>
                <w:numId w:val="1"/>
              </w:numPr>
            </w:pPr>
            <w:r>
              <w:t>NOAEL: 20</w:t>
            </w:r>
            <w:r w:rsidR="00A76950">
              <w:t>/40</w:t>
            </w:r>
            <w:r w:rsidR="000F0C77">
              <w:t xml:space="preserve"> mg/kg</w:t>
            </w:r>
            <w:r w:rsidR="008C0B03">
              <w:t>/d</w:t>
            </w:r>
            <w:r w:rsidR="000F0C77">
              <w:t xml:space="preserve"> (females/males)</w:t>
            </w:r>
            <w:r>
              <w:t xml:space="preserve"> </w:t>
            </w:r>
            <w:r w:rsidR="00A76950">
              <w:t xml:space="preserve">based on </w:t>
            </w:r>
            <w:r>
              <w:t>neurological disorders</w:t>
            </w:r>
            <w:r w:rsidR="000F0C77">
              <w:t xml:space="preserve"> and behavioural abnormalities</w:t>
            </w:r>
            <w:r>
              <w:t xml:space="preserve"> in </w:t>
            </w:r>
            <w:r w:rsidR="001260C9">
              <w:t xml:space="preserve">an unpublished </w:t>
            </w:r>
            <w:r w:rsidR="000F0C77">
              <w:t>gavage study</w:t>
            </w:r>
            <w:r w:rsidR="00A76950">
              <w:t xml:space="preserve">; </w:t>
            </w:r>
            <w:r w:rsidR="000F0C77">
              <w:t>dose groups 0, 20/40, 63/125, 200/400</w:t>
            </w:r>
            <w:r w:rsidR="002A15CD">
              <w:t> </w:t>
            </w:r>
            <w:r w:rsidR="000F0C77">
              <w:t>mg/kg</w:t>
            </w:r>
            <w:r w:rsidR="00A76950">
              <w:t>/d</w:t>
            </w:r>
            <w:r w:rsidR="000F0C77">
              <w:t xml:space="preserve"> (</w:t>
            </w:r>
            <w:r w:rsidR="00A76950">
              <w:t xml:space="preserve">females/males, </w:t>
            </w:r>
            <w:r w:rsidR="000F0C77">
              <w:t xml:space="preserve">rats, 13 </w:t>
            </w:r>
            <w:proofErr w:type="spellStart"/>
            <w:r w:rsidR="000F0C77">
              <w:t>wk</w:t>
            </w:r>
            <w:proofErr w:type="spellEnd"/>
            <w:r w:rsidR="000F0C77">
              <w:t>); mortality at 200/400 mg/kg</w:t>
            </w:r>
            <w:r w:rsidR="001260C9">
              <w:t>/d</w:t>
            </w:r>
          </w:p>
          <w:p w14:paraId="2BE3B638" w14:textId="78675ECA" w:rsidR="00AA1746" w:rsidRDefault="009B519E" w:rsidP="00AA1746">
            <w:pPr>
              <w:pStyle w:val="Tabletextprimarysource"/>
              <w:numPr>
                <w:ilvl w:val="0"/>
                <w:numId w:val="1"/>
              </w:numPr>
            </w:pPr>
            <w:r>
              <w:t>NOAEC: 38 mg/m</w:t>
            </w:r>
            <w:r>
              <w:rPr>
                <w:vertAlign w:val="superscript"/>
              </w:rPr>
              <w:t>3</w:t>
            </w:r>
            <w:r>
              <w:t xml:space="preserve"> for </w:t>
            </w:r>
            <w:r w:rsidR="00AA1746">
              <w:t>laboured breathing, tremor, lachrymation, haematological changes</w:t>
            </w:r>
            <w:r w:rsidR="0080172C">
              <w:t xml:space="preserve"> (anaemia)</w:t>
            </w:r>
            <w:r w:rsidR="00AA1746">
              <w:t xml:space="preserve"> and decreased </w:t>
            </w:r>
            <w:r w:rsidR="000A62AF">
              <w:t xml:space="preserve">body weight </w:t>
            </w:r>
            <w:r w:rsidR="00AA1746">
              <w:t>gain reported</w:t>
            </w:r>
            <w:r>
              <w:t xml:space="preserve"> in sub</w:t>
            </w:r>
            <w:r w:rsidR="000A62AF">
              <w:t>-</w:t>
            </w:r>
            <w:r>
              <w:t xml:space="preserve">chronic inhalation study </w:t>
            </w:r>
            <w:r w:rsidR="00AA1746">
              <w:t>with dose groups 0, 38, 68, 230, 830 mg/m</w:t>
            </w:r>
            <w:r w:rsidR="00AA1746">
              <w:rPr>
                <w:vertAlign w:val="superscript"/>
              </w:rPr>
              <w:t>3</w:t>
            </w:r>
            <w:r w:rsidR="00AA1746">
              <w:t xml:space="preserve"> </w:t>
            </w:r>
            <w:r>
              <w:t xml:space="preserve">(rats, </w:t>
            </w:r>
            <w:r w:rsidR="00AA1746">
              <w:t xml:space="preserve">6 h/d, 5 d/wk, </w:t>
            </w:r>
            <w:r>
              <w:t>13 wk)</w:t>
            </w:r>
            <w:r w:rsidR="0022374F">
              <w:t>:</w:t>
            </w:r>
          </w:p>
          <w:p w14:paraId="528C6632" w14:textId="0E5DF7C9" w:rsidR="00AA1746" w:rsidRDefault="00AA1746" w:rsidP="00104C9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lesions in the larynx observed in all groups, including controls, more pronounced in the pyrethrin-exposed groups</w:t>
            </w:r>
          </w:p>
          <w:p w14:paraId="1036A629" w14:textId="30AC54E2" w:rsidR="00AA1746" w:rsidRDefault="000A62AF" w:rsidP="00104C9D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HCOTN </w:t>
            </w:r>
            <w:r w:rsidR="00AA1746">
              <w:t>considers NOAEC of the study for systemic effects, not necessarily local irritation effects</w:t>
            </w:r>
          </w:p>
          <w:p w14:paraId="7FC6F6EF" w14:textId="660596C4" w:rsidR="0074281B" w:rsidRDefault="0074281B" w:rsidP="0074281B">
            <w:pPr>
              <w:pStyle w:val="Tabletextprimarysource"/>
              <w:numPr>
                <w:ilvl w:val="0"/>
                <w:numId w:val="1"/>
              </w:numPr>
            </w:pPr>
            <w:r>
              <w:t>No signs of toxicity at 1,000 mg/kg/d in repeat dermal application study (rabbits, 21 d)</w:t>
            </w:r>
          </w:p>
          <w:p w14:paraId="7F75CC2B" w14:textId="64BDCE48" w:rsidR="00AA1746" w:rsidRDefault="00AA1746" w:rsidP="0074281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Carcinogenicity observed in rats and mice (also cited in DFG, </w:t>
            </w:r>
            <w:r w:rsidR="00403C4C">
              <w:t xml:space="preserve">2008) not considered to be caused by genotoxic mechanism. </w:t>
            </w:r>
          </w:p>
          <w:p w14:paraId="05E82200" w14:textId="77777777" w:rsidR="0074281B" w:rsidRDefault="0074281B" w:rsidP="0074281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</w:t>
            </w:r>
            <w:r w:rsidR="009B519E">
              <w:t xml:space="preserve">with or without metabolic activation in bacteria and mammalian cells; no suitable </w:t>
            </w:r>
            <w:r w:rsidR="009B519E">
              <w:rPr>
                <w:i/>
              </w:rPr>
              <w:t>in vivo</w:t>
            </w:r>
            <w:r w:rsidR="009B519E">
              <w:t xml:space="preserve"> data available for evaluation</w:t>
            </w:r>
            <w:r w:rsidR="002A15CD">
              <w:t>.</w:t>
            </w:r>
          </w:p>
          <w:p w14:paraId="492D7791" w14:textId="1FB1DFEC" w:rsidR="00104C9D" w:rsidRPr="00DA352E" w:rsidRDefault="00104C9D" w:rsidP="00104C9D">
            <w:pPr>
              <w:pStyle w:val="Tabletextprimarysource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2"/>
        <w:gridCol w:w="661"/>
        <w:gridCol w:w="6447"/>
      </w:tblGrid>
      <w:tr w:rsidR="004966BF" w:rsidRPr="00263255" w14:paraId="6AE89AB3" w14:textId="77777777" w:rsidTr="007C6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7C6EBF">
        <w:trPr>
          <w:cantSplit/>
        </w:trPr>
        <w:tc>
          <w:tcPr>
            <w:tcW w:w="1496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37DAB09E" w14:textId="083399CB" w:rsidR="004966BF" w:rsidRPr="00CE617F" w:rsidRDefault="007C6EB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77461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5BB66CBF" w14:textId="00AF9514" w:rsidR="004966BF" w:rsidRPr="004C23F4" w:rsidRDefault="00B7746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7" w:type="dxa"/>
          </w:tcPr>
          <w:p w14:paraId="0076C2F1" w14:textId="68F12657" w:rsidR="004966BF" w:rsidRPr="004C23F4" w:rsidRDefault="00B77461" w:rsidP="00104C9D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Tier I: agricultural and therapeutic use not assessed</w:t>
            </w:r>
            <w:r w:rsidR="0022374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0C4323A" w14:textId="77777777" w:rsidTr="007C6EBF">
        <w:trPr>
          <w:cantSplit/>
        </w:trPr>
        <w:tc>
          <w:tcPr>
            <w:tcW w:w="1496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46AE65C2" w14:textId="3ACB128D" w:rsidR="004966BF" w:rsidRDefault="007C6EB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7746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82A5B6" w14:textId="4B25BA03" w:rsidR="004966BF" w:rsidRPr="004C23F4" w:rsidRDefault="00B7746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7" w:type="dxa"/>
          </w:tcPr>
          <w:p w14:paraId="4E1BEF9D" w14:textId="0C5AB7E0" w:rsidR="004966BF" w:rsidRPr="004C23F4" w:rsidRDefault="00B77461" w:rsidP="00104C9D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IDLH based on acute oral toxicity data in humans.</w:t>
            </w:r>
          </w:p>
        </w:tc>
      </w:tr>
    </w:tbl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B77461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3E0E90F8" w:rsidR="002E0D61" w:rsidRDefault="00B7746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B7746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1A7516AB" w14:textId="197B6BB0" w:rsidR="008A36CF" w:rsidRPr="006901A2" w:rsidRDefault="00B7746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7C6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7C6EBF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01DE2A78" w:rsidR="00687890" w:rsidRPr="00DD2F9B" w:rsidRDefault="006A24AE" w:rsidP="00DD2F9B">
            <w:pPr>
              <w:pStyle w:val="Tablefont"/>
            </w:pPr>
            <w:r w:rsidRPr="006A24AE">
              <w:t>Sen</w:t>
            </w:r>
          </w:p>
        </w:tc>
      </w:tr>
      <w:tr w:rsidR="007925F0" w:rsidRPr="004C23F4" w14:paraId="2A0C13EF" w14:textId="77777777" w:rsidTr="007C6EBF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63A9BAB0" w:rsidR="007925F0" w:rsidRPr="00DD2F9B" w:rsidRDefault="00416906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C1044B3" w14:textId="77777777" w:rsidTr="007C6EBF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4F133C98" w:rsidR="00AF483F" w:rsidRPr="00DD2F9B" w:rsidRDefault="00416906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7812F0EC" w14:textId="77777777" w:rsidTr="007C6EBF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796A7BDE" w:rsidR="00687890" w:rsidRPr="00DD2F9B" w:rsidRDefault="00416906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403F0800" w14:textId="77777777" w:rsidTr="007C6EBF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514F8B7B" w:rsidR="00E41A26" w:rsidRPr="00DD2F9B" w:rsidRDefault="0041690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7C6EBF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68A26593" w:rsidR="002E0D61" w:rsidRPr="00DD2F9B" w:rsidRDefault="006A24AE" w:rsidP="00DD2F9B">
            <w:pPr>
              <w:pStyle w:val="Tablefont"/>
            </w:pPr>
            <w:r w:rsidRPr="006A24AE">
              <w:t>Carcinogenicity – A4</w:t>
            </w:r>
          </w:p>
        </w:tc>
      </w:tr>
      <w:tr w:rsidR="002E0D61" w:rsidRPr="004C23F4" w14:paraId="43FA3590" w14:textId="77777777" w:rsidTr="007C6EBF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68CBBC4A" w:rsidR="002E0D61" w:rsidRPr="00DD2F9B" w:rsidRDefault="000A76EF" w:rsidP="00DD2F9B">
            <w:pPr>
              <w:pStyle w:val="Tablefont"/>
            </w:pPr>
            <w:proofErr w:type="spellStart"/>
            <w:r w:rsidRPr="000A76EF">
              <w:t>Sh</w:t>
            </w:r>
            <w:proofErr w:type="spellEnd"/>
            <w:r w:rsidRPr="000A76EF">
              <w:t xml:space="preserve"> (dermal sensitiser)</w:t>
            </w:r>
          </w:p>
        </w:tc>
      </w:tr>
      <w:tr w:rsidR="002E0D61" w:rsidRPr="004C23F4" w14:paraId="2AC7B866" w14:textId="77777777" w:rsidTr="007C6EBF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3A09910B" w:rsidR="002E0D61" w:rsidRPr="00DD2F9B" w:rsidRDefault="000A76E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BE6EC07" w14:textId="77777777" w:rsidTr="007C6EBF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2C0EA395" w:rsidR="002E0D61" w:rsidRPr="00DD2F9B" w:rsidRDefault="00416906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F6A6A8E" w14:textId="77777777" w:rsidTr="007C6EBF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27A44C4D" w:rsidR="00386093" w:rsidRPr="00DD2F9B" w:rsidRDefault="000A76E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7C6EBF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6ADB3308" w:rsidR="00386093" w:rsidRPr="00DD2F9B" w:rsidRDefault="000A76E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73" w:type="dxa"/>
              <w:tblLook w:val="04A0" w:firstRow="1" w:lastRow="0" w:firstColumn="1" w:lastColumn="0" w:noHBand="0" w:noVBand="1"/>
            </w:tblPr>
            <w:tblGrid>
              <w:gridCol w:w="3654"/>
              <w:gridCol w:w="1089"/>
              <w:gridCol w:w="1089"/>
              <w:gridCol w:w="2978"/>
            </w:tblGrid>
            <w:tr w:rsidR="00736D72" w:rsidRPr="00D877AC" w14:paraId="1F0A0C9C" w14:textId="77777777" w:rsidTr="00736D72">
              <w:trPr>
                <w:trHeight w:val="316"/>
              </w:trPr>
              <w:tc>
                <w:tcPr>
                  <w:tcW w:w="3724" w:type="dxa"/>
                  <w:shd w:val="clear" w:color="auto" w:fill="C5D9F1"/>
                  <w:noWrap/>
                  <w:vAlign w:val="center"/>
                  <w:hideMark/>
                </w:tcPr>
                <w:p w14:paraId="299AEEFB" w14:textId="3945C121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07" w:type="dxa"/>
                  <w:shd w:val="clear" w:color="auto" w:fill="FFEB9C"/>
                  <w:noWrap/>
                  <w:vAlign w:val="center"/>
                  <w:hideMark/>
                </w:tcPr>
                <w:p w14:paraId="37CEC982" w14:textId="0BB07710" w:rsidR="00736D72" w:rsidRPr="00D877AC" w:rsidRDefault="00736D72" w:rsidP="00736D7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13154E28" w14:textId="69AFE3B4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3035" w:type="dxa"/>
                  <w:shd w:val="clear" w:color="auto" w:fill="C5D9F1"/>
                  <w:noWrap/>
                  <w:vAlign w:val="center"/>
                  <w:hideMark/>
                </w:tcPr>
                <w:p w14:paraId="33640469" w14:textId="15CE9CC1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36D72" w:rsidRPr="00D877AC" w14:paraId="243F6907" w14:textId="77777777" w:rsidTr="00736D72">
              <w:trPr>
                <w:trHeight w:val="316"/>
              </w:trPr>
              <w:tc>
                <w:tcPr>
                  <w:tcW w:w="3724" w:type="dxa"/>
                  <w:shd w:val="clear" w:color="auto" w:fill="C5D9F1"/>
                  <w:noWrap/>
                  <w:vAlign w:val="center"/>
                  <w:hideMark/>
                </w:tcPr>
                <w:p w14:paraId="5F9275B1" w14:textId="339F8D43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10B9E9E9" w14:textId="202F17AD" w:rsidR="00736D72" w:rsidRPr="00D877AC" w:rsidRDefault="00736D72" w:rsidP="00736D7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474F449E" w14:textId="44D573B6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shd w:val="clear" w:color="auto" w:fill="C5D9F1"/>
                  <w:noWrap/>
                  <w:vAlign w:val="center"/>
                  <w:hideMark/>
                </w:tcPr>
                <w:p w14:paraId="47084B59" w14:textId="5AAF4441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36D72" w:rsidRPr="00D877AC" w14:paraId="0CE0C26A" w14:textId="77777777" w:rsidTr="00736D72">
              <w:trPr>
                <w:trHeight w:val="316"/>
              </w:trPr>
              <w:tc>
                <w:tcPr>
                  <w:tcW w:w="3724" w:type="dxa"/>
                  <w:shd w:val="clear" w:color="auto" w:fill="C5D9F1"/>
                  <w:noWrap/>
                  <w:vAlign w:val="center"/>
                  <w:hideMark/>
                </w:tcPr>
                <w:p w14:paraId="2FAD0743" w14:textId="23174119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1BFC6764" w14:textId="19D640A6" w:rsidR="00736D72" w:rsidRPr="00D877AC" w:rsidRDefault="00736D72" w:rsidP="00736D7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3D1716D5" w14:textId="426ECD94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shd w:val="clear" w:color="auto" w:fill="C5D9F1"/>
                  <w:noWrap/>
                  <w:vAlign w:val="center"/>
                  <w:hideMark/>
                </w:tcPr>
                <w:p w14:paraId="39D3C95D" w14:textId="1284B464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36D72" w:rsidRPr="00D877AC" w14:paraId="58DF0553" w14:textId="77777777" w:rsidTr="00736D72">
              <w:trPr>
                <w:trHeight w:val="316"/>
              </w:trPr>
              <w:tc>
                <w:tcPr>
                  <w:tcW w:w="3724" w:type="dxa"/>
                  <w:shd w:val="clear" w:color="auto" w:fill="C5D9F1"/>
                  <w:noWrap/>
                  <w:vAlign w:val="center"/>
                  <w:hideMark/>
                </w:tcPr>
                <w:p w14:paraId="258F16E1" w14:textId="5F1E7972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7D6D7C51" w14:textId="5F24DB95" w:rsidR="00736D72" w:rsidRPr="00D877AC" w:rsidRDefault="00736D72" w:rsidP="00736D7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6C4733AC" w14:textId="7E54A71E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shd w:val="clear" w:color="auto" w:fill="C5D9F1"/>
                  <w:noWrap/>
                  <w:vAlign w:val="center"/>
                  <w:hideMark/>
                </w:tcPr>
                <w:p w14:paraId="02963E41" w14:textId="4EE03D9B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36D72" w:rsidRPr="00D877AC" w14:paraId="36D443B4" w14:textId="77777777" w:rsidTr="00736D72">
              <w:trPr>
                <w:trHeight w:val="316"/>
              </w:trPr>
              <w:tc>
                <w:tcPr>
                  <w:tcW w:w="3724" w:type="dxa"/>
                  <w:shd w:val="clear" w:color="auto" w:fill="C5D9F1"/>
                  <w:noWrap/>
                  <w:vAlign w:val="center"/>
                  <w:hideMark/>
                </w:tcPr>
                <w:p w14:paraId="7EDC2674" w14:textId="535528E9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5EBC3729" w14:textId="18EDA080" w:rsidR="00736D72" w:rsidRPr="00D877AC" w:rsidRDefault="00736D72" w:rsidP="00736D7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759D0605" w14:textId="30B25875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shd w:val="clear" w:color="auto" w:fill="C5D9F1"/>
                  <w:noWrap/>
                  <w:vAlign w:val="center"/>
                  <w:hideMark/>
                </w:tcPr>
                <w:p w14:paraId="23FCDDC3" w14:textId="0472AD61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36D72" w:rsidRPr="00D877AC" w14:paraId="11B8FB08" w14:textId="77777777" w:rsidTr="00736D72">
              <w:trPr>
                <w:trHeight w:val="316"/>
              </w:trPr>
              <w:tc>
                <w:tcPr>
                  <w:tcW w:w="3724" w:type="dxa"/>
                  <w:shd w:val="clear" w:color="auto" w:fill="C5D9F1"/>
                  <w:noWrap/>
                  <w:vAlign w:val="center"/>
                  <w:hideMark/>
                </w:tcPr>
                <w:p w14:paraId="08361D45" w14:textId="3BD166F8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1F0DA17B" w14:textId="11F23618" w:rsidR="00736D72" w:rsidRPr="00D877AC" w:rsidRDefault="00736D72" w:rsidP="00736D7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68F8B51C" w14:textId="110432CD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shd w:val="clear" w:color="auto" w:fill="C5D9F1"/>
                  <w:noWrap/>
                  <w:vAlign w:val="center"/>
                  <w:hideMark/>
                </w:tcPr>
                <w:p w14:paraId="2848F3AD" w14:textId="303F0F3E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36D72" w:rsidRPr="00D877AC" w14:paraId="3F9B9974" w14:textId="77777777" w:rsidTr="00736D72">
              <w:trPr>
                <w:trHeight w:val="316"/>
              </w:trPr>
              <w:tc>
                <w:tcPr>
                  <w:tcW w:w="3724" w:type="dxa"/>
                  <w:shd w:val="clear" w:color="auto" w:fill="C5D9F1"/>
                  <w:noWrap/>
                  <w:vAlign w:val="center"/>
                  <w:hideMark/>
                </w:tcPr>
                <w:p w14:paraId="00832AD1" w14:textId="59C936D7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430E3D49" w14:textId="0065AECC" w:rsidR="00736D72" w:rsidRPr="00D877AC" w:rsidRDefault="00736D72" w:rsidP="00736D7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7" w:type="dxa"/>
                  <w:shd w:val="clear" w:color="auto" w:fill="C5D9F1"/>
                  <w:noWrap/>
                  <w:vAlign w:val="center"/>
                  <w:hideMark/>
                </w:tcPr>
                <w:p w14:paraId="1451FD8E" w14:textId="1A39B199" w:rsidR="00736D72" w:rsidRPr="00D877AC" w:rsidRDefault="00736D72" w:rsidP="00736D7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shd w:val="clear" w:color="auto" w:fill="C5D9F1"/>
                  <w:noWrap/>
                  <w:vAlign w:val="center"/>
                  <w:hideMark/>
                </w:tcPr>
                <w:p w14:paraId="2878DBF9" w14:textId="0140EBB5" w:rsidR="00736D72" w:rsidRPr="00D877AC" w:rsidRDefault="00736D72" w:rsidP="00736D7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41499113" w:rsidR="00EB3D1B" w:rsidRDefault="000A76E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15DD6C87" w:rsidR="001B79E5" w:rsidRDefault="000A76EF" w:rsidP="001B79E5">
                <w:pPr>
                  <w:pStyle w:val="Tablefont"/>
                </w:pPr>
                <w:r w:rsidRPr="000A76EF">
                  <w:t>328.4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BF27E03" w:rsidR="00687890" w:rsidRPr="004C23F4" w:rsidRDefault="00661B9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49243E1F" w:rsidR="00687890" w:rsidRPr="004C23F4" w:rsidRDefault="00661B9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6F76027" w:rsidR="00E06F40" w:rsidRPr="00A006A0" w:rsidRDefault="007C6EB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B3A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652EB953" w:rsidR="008E4F1F" w:rsidRDefault="008E4F1F" w:rsidP="008E4F1F">
      <w:pPr>
        <w:rPr>
          <w:b/>
        </w:rPr>
      </w:pPr>
      <w:r w:rsidRPr="002022B6">
        <w:t>Deutsche Forschungsgemeinschaft (DFG)</w:t>
      </w:r>
      <w:r>
        <w:t xml:space="preserve"> (</w:t>
      </w:r>
      <w:r w:rsidR="000A76EF">
        <w:t>2008</w:t>
      </w:r>
      <w:r>
        <w:t xml:space="preserve">) </w:t>
      </w:r>
      <w:r w:rsidR="000A76EF" w:rsidRPr="000A76EF">
        <w:t>Pyrethrum</w:t>
      </w:r>
      <w:r>
        <w:t xml:space="preserve"> – MAK value documentation.</w:t>
      </w:r>
    </w:p>
    <w:p w14:paraId="3A4FF805" w14:textId="3F4821DC" w:rsidR="008E4F1F" w:rsidRDefault="008E4F1F" w:rsidP="008E4F1F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0A76EF" w:rsidRPr="000A76EF">
        <w:t>2003</w:t>
      </w:r>
      <w:r>
        <w:t xml:space="preserve">) Recommendation from the Scientific Committee on Occupational Exposure Limits for </w:t>
      </w:r>
      <w:r w:rsidR="000A76EF" w:rsidRPr="000A76EF">
        <w:t>pyrethrum</w:t>
      </w:r>
      <w:r>
        <w:t>. SCOEL/</w:t>
      </w:r>
      <w:r w:rsidR="000A76EF" w:rsidRPr="000A76EF">
        <w:t>SUM/95</w:t>
      </w:r>
      <w:r>
        <w:t>.</w:t>
      </w:r>
    </w:p>
    <w:p w14:paraId="28EAA9C1" w14:textId="6294014A" w:rsidR="008E4F1F" w:rsidRDefault="008E4F1F" w:rsidP="008E4F1F">
      <w:r w:rsidRPr="002022B6">
        <w:t>Health Council of the Netherlands</w:t>
      </w:r>
      <w:r>
        <w:t xml:space="preserve"> (HCOTN) (</w:t>
      </w:r>
      <w:r w:rsidR="002D5449" w:rsidRPr="002D5449">
        <w:t>2004</w:t>
      </w:r>
      <w:r>
        <w:t xml:space="preserve">) </w:t>
      </w:r>
      <w:r w:rsidR="002D5449" w:rsidRPr="002D5449">
        <w:t>Pyrethrum (pyrethrins)</w:t>
      </w:r>
      <w:r w:rsidRPr="005F7416">
        <w:t xml:space="preserve">. Health-based calculated occupational cancer risk values. The Hague: Health Council of the Netherlands; publication no. </w:t>
      </w:r>
      <w:r w:rsidR="002D5449" w:rsidRPr="002D5449">
        <w:t>2000/15OSH/138</w:t>
      </w:r>
      <w:r>
        <w:t>.</w:t>
      </w:r>
    </w:p>
    <w:p w14:paraId="73905384" w14:textId="6B172473" w:rsidR="00363C08" w:rsidRDefault="00363C08" w:rsidP="008E4F1F">
      <w:r w:rsidRPr="00363C08">
        <w:t>National Industrial Chemicals Notification and Assessment Scheme (NICNAS) (201</w:t>
      </w:r>
      <w:r>
        <w:t>8</w:t>
      </w:r>
      <w:r w:rsidRPr="00363C08">
        <w:t xml:space="preserve">) </w:t>
      </w:r>
      <w:r w:rsidRPr="00B77461">
        <w:t>Pyrethrins and Pyrethroids</w:t>
      </w:r>
      <w:r w:rsidRPr="00363C08">
        <w:t xml:space="preserve">: Human health </w:t>
      </w:r>
      <w:r>
        <w:t>tier I</w:t>
      </w:r>
      <w:r w:rsidRPr="00363C08">
        <w:t xml:space="preserve"> assessment – IMAP report.</w:t>
      </w:r>
    </w:p>
    <w:p w14:paraId="417B0753" w14:textId="4EDA3C2D" w:rsidR="008E4F1F" w:rsidRPr="00351FE0" w:rsidRDefault="008E4F1F" w:rsidP="00084859">
      <w:r w:rsidRPr="00D86E03">
        <w:t>US National Institute for Occupational Safety and Health (NIOSH)</w:t>
      </w:r>
      <w:r>
        <w:t xml:space="preserve"> (</w:t>
      </w:r>
      <w:r w:rsidR="002D5449" w:rsidRPr="002D5449">
        <w:t>1994</w:t>
      </w:r>
      <w:r>
        <w:t xml:space="preserve">) Immediately dangerous to life or health concentrations – </w:t>
      </w:r>
      <w:r w:rsidR="002D5449" w:rsidRPr="002D5449">
        <w:t>Pyrethrum</w:t>
      </w:r>
      <w:r>
        <w:t>.</w:t>
      </w:r>
      <w:r w:rsidR="002A15CD">
        <w:t xml:space="preserve"> 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33C85" w16cex:dateUtc="2020-03-23T05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9509" w14:textId="77777777" w:rsidR="00746474" w:rsidRDefault="00746474" w:rsidP="00F43AD5">
      <w:pPr>
        <w:spacing w:after="0" w:line="240" w:lineRule="auto"/>
      </w:pPr>
      <w:r>
        <w:separator/>
      </w:r>
    </w:p>
  </w:endnote>
  <w:endnote w:type="continuationSeparator" w:id="0">
    <w:p w14:paraId="3987A5CB" w14:textId="77777777" w:rsidR="00746474" w:rsidRDefault="0074647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DC14" w14:textId="77777777" w:rsidR="007C6EBF" w:rsidRDefault="007C6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25CB6950" w:rsidR="008A36CF" w:rsidRDefault="00F8552E" w:rsidP="0034744C">
        <w:pPr>
          <w:pStyle w:val="Footer"/>
          <w:rPr>
            <w:sz w:val="18"/>
            <w:szCs w:val="18"/>
          </w:rPr>
        </w:pPr>
        <w:r w:rsidRPr="00F8552E">
          <w:rPr>
            <w:b/>
            <w:sz w:val="18"/>
            <w:szCs w:val="18"/>
          </w:rPr>
          <w:t>Pyrethrum</w:t>
        </w:r>
        <w:r w:rsidR="008A36CF">
          <w:rPr>
            <w:b/>
            <w:sz w:val="18"/>
            <w:szCs w:val="18"/>
          </w:rPr>
          <w:t xml:space="preserve"> (</w:t>
        </w:r>
        <w:r w:rsidRPr="00F8552E">
          <w:rPr>
            <w:b/>
            <w:sz w:val="18"/>
            <w:szCs w:val="18"/>
          </w:rPr>
          <w:t>8003-34-7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782FB6" w:rsidRPr="00F43AD5">
          <w:rPr>
            <w:sz w:val="18"/>
            <w:szCs w:val="18"/>
          </w:rPr>
          <w:t>20</w:t>
        </w:r>
        <w:r w:rsidR="00782FB6">
          <w:rPr>
            <w:sz w:val="18"/>
            <w:szCs w:val="18"/>
          </w:rPr>
          <w:t>20</w:t>
        </w:r>
      </w:p>
      <w:p w14:paraId="2D517F5E" w14:textId="7A5359C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60767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18FB" w14:textId="77777777" w:rsidR="007C6EBF" w:rsidRDefault="007C6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C4D6" w14:textId="77777777" w:rsidR="00746474" w:rsidRDefault="00746474" w:rsidP="00F43AD5">
      <w:pPr>
        <w:spacing w:after="0" w:line="240" w:lineRule="auto"/>
      </w:pPr>
      <w:r>
        <w:separator/>
      </w:r>
    </w:p>
  </w:footnote>
  <w:footnote w:type="continuationSeparator" w:id="0">
    <w:p w14:paraId="4C779DBC" w14:textId="77777777" w:rsidR="00746474" w:rsidRDefault="0074647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5864" w14:textId="77777777" w:rsidR="007C6EBF" w:rsidRDefault="007C6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089E7F2D" w:rsidR="008A36CF" w:rsidRPr="007C6EBF" w:rsidRDefault="007C6EBF" w:rsidP="007C6EBF">
    <w:pPr>
      <w:pStyle w:val="Header"/>
      <w:jc w:val="right"/>
    </w:pPr>
    <w:r>
      <w:pict w14:anchorId="78332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EA2784B" wp14:editId="07ECDEF4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93E5" w14:textId="77777777" w:rsidR="007C6EBF" w:rsidRDefault="007C6E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411F" w14:textId="0934E81E" w:rsidR="007C6EBF" w:rsidRDefault="007C6EBF" w:rsidP="007C6EBF">
    <w:pPr>
      <w:pStyle w:val="Header"/>
      <w:jc w:val="right"/>
    </w:pPr>
    <w:bookmarkStart w:id="5" w:name="_GoBack"/>
    <w:r>
      <w:pict w14:anchorId="24762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End w:id="5"/>
    <w:r>
      <w:rPr>
        <w:noProof/>
        <w:lang w:eastAsia="en-AU"/>
      </w:rPr>
      <w:drawing>
        <wp:inline distT="0" distB="0" distL="0" distR="0" wp14:anchorId="64F5EF89" wp14:editId="373862D9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7C6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95A"/>
    <w:multiLevelType w:val="hybridMultilevel"/>
    <w:tmpl w:val="2A7885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93730"/>
    <w:multiLevelType w:val="hybridMultilevel"/>
    <w:tmpl w:val="76DA23CC"/>
    <w:lvl w:ilvl="0" w:tplc="7B3058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21908"/>
    <w:multiLevelType w:val="hybridMultilevel"/>
    <w:tmpl w:val="E886160A"/>
    <w:lvl w:ilvl="0" w:tplc="BE04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916"/>
    <w:multiLevelType w:val="hybridMultilevel"/>
    <w:tmpl w:val="38068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614D"/>
    <w:rsid w:val="00032B88"/>
    <w:rsid w:val="00033BBD"/>
    <w:rsid w:val="00037E52"/>
    <w:rsid w:val="000412A3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5F7A"/>
    <w:rsid w:val="00092D94"/>
    <w:rsid w:val="000A62AF"/>
    <w:rsid w:val="000A76EF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1997"/>
    <w:rsid w:val="000E5A54"/>
    <w:rsid w:val="000E63D3"/>
    <w:rsid w:val="000E67CF"/>
    <w:rsid w:val="000F0C77"/>
    <w:rsid w:val="0010461E"/>
    <w:rsid w:val="00104C9D"/>
    <w:rsid w:val="00106FAA"/>
    <w:rsid w:val="00113443"/>
    <w:rsid w:val="00125DD9"/>
    <w:rsid w:val="001260C9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932FC"/>
    <w:rsid w:val="001A009E"/>
    <w:rsid w:val="001A1287"/>
    <w:rsid w:val="001A3859"/>
    <w:rsid w:val="001A3C9D"/>
    <w:rsid w:val="001A43F8"/>
    <w:rsid w:val="001B5755"/>
    <w:rsid w:val="001B79E5"/>
    <w:rsid w:val="001D3B5D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05B8"/>
    <w:rsid w:val="00213640"/>
    <w:rsid w:val="00221547"/>
    <w:rsid w:val="002216FC"/>
    <w:rsid w:val="00222533"/>
    <w:rsid w:val="00222F30"/>
    <w:rsid w:val="0022374F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A15CD"/>
    <w:rsid w:val="002B1A2C"/>
    <w:rsid w:val="002C34F2"/>
    <w:rsid w:val="002C58FF"/>
    <w:rsid w:val="002C7AFE"/>
    <w:rsid w:val="002D05D2"/>
    <w:rsid w:val="002D5449"/>
    <w:rsid w:val="002E0D61"/>
    <w:rsid w:val="002E4C7B"/>
    <w:rsid w:val="002E616D"/>
    <w:rsid w:val="0030740C"/>
    <w:rsid w:val="00315833"/>
    <w:rsid w:val="003215EE"/>
    <w:rsid w:val="003224BF"/>
    <w:rsid w:val="003241A8"/>
    <w:rsid w:val="003253F0"/>
    <w:rsid w:val="00332C59"/>
    <w:rsid w:val="003337DA"/>
    <w:rsid w:val="00334EFB"/>
    <w:rsid w:val="00335CDE"/>
    <w:rsid w:val="003365A5"/>
    <w:rsid w:val="00347192"/>
    <w:rsid w:val="0034744C"/>
    <w:rsid w:val="00350F6E"/>
    <w:rsid w:val="00351FE0"/>
    <w:rsid w:val="00352615"/>
    <w:rsid w:val="0035412B"/>
    <w:rsid w:val="003567A8"/>
    <w:rsid w:val="00362895"/>
    <w:rsid w:val="00363C08"/>
    <w:rsid w:val="00370DBF"/>
    <w:rsid w:val="00386093"/>
    <w:rsid w:val="003904A4"/>
    <w:rsid w:val="00391841"/>
    <w:rsid w:val="00391B6D"/>
    <w:rsid w:val="00394922"/>
    <w:rsid w:val="003A0E32"/>
    <w:rsid w:val="003A2B94"/>
    <w:rsid w:val="003B386D"/>
    <w:rsid w:val="003B387D"/>
    <w:rsid w:val="003C0D58"/>
    <w:rsid w:val="003C68F9"/>
    <w:rsid w:val="003D4FA3"/>
    <w:rsid w:val="003E0807"/>
    <w:rsid w:val="003E51FB"/>
    <w:rsid w:val="003E6B39"/>
    <w:rsid w:val="003F07E1"/>
    <w:rsid w:val="003F5DC0"/>
    <w:rsid w:val="004030BC"/>
    <w:rsid w:val="00403C4C"/>
    <w:rsid w:val="00403F7D"/>
    <w:rsid w:val="00406785"/>
    <w:rsid w:val="004079B4"/>
    <w:rsid w:val="00416906"/>
    <w:rsid w:val="00417A56"/>
    <w:rsid w:val="00420591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4696"/>
    <w:rsid w:val="00460A03"/>
    <w:rsid w:val="00472A11"/>
    <w:rsid w:val="00472AAD"/>
    <w:rsid w:val="00474E33"/>
    <w:rsid w:val="004758CD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0752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6750"/>
    <w:rsid w:val="005446A2"/>
    <w:rsid w:val="00544D2F"/>
    <w:rsid w:val="00551BD8"/>
    <w:rsid w:val="0057318B"/>
    <w:rsid w:val="005769C3"/>
    <w:rsid w:val="00581055"/>
    <w:rsid w:val="00591E38"/>
    <w:rsid w:val="005A19C5"/>
    <w:rsid w:val="005A3034"/>
    <w:rsid w:val="005A462D"/>
    <w:rsid w:val="005B253B"/>
    <w:rsid w:val="005B3A26"/>
    <w:rsid w:val="005B771D"/>
    <w:rsid w:val="005C5D16"/>
    <w:rsid w:val="005D3193"/>
    <w:rsid w:val="005D4A6E"/>
    <w:rsid w:val="005E6979"/>
    <w:rsid w:val="005E75CB"/>
    <w:rsid w:val="006013C1"/>
    <w:rsid w:val="0060669E"/>
    <w:rsid w:val="006074F6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1B92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24AE"/>
    <w:rsid w:val="006B160A"/>
    <w:rsid w:val="006B4E6C"/>
    <w:rsid w:val="006B50B6"/>
    <w:rsid w:val="006D79EA"/>
    <w:rsid w:val="006E5D05"/>
    <w:rsid w:val="006E6751"/>
    <w:rsid w:val="00701053"/>
    <w:rsid w:val="00701269"/>
    <w:rsid w:val="00701507"/>
    <w:rsid w:val="00714021"/>
    <w:rsid w:val="00716A0F"/>
    <w:rsid w:val="00717D45"/>
    <w:rsid w:val="007208F7"/>
    <w:rsid w:val="00721473"/>
    <w:rsid w:val="007218AF"/>
    <w:rsid w:val="00735FEF"/>
    <w:rsid w:val="007365D1"/>
    <w:rsid w:val="00736D72"/>
    <w:rsid w:val="00740E0E"/>
    <w:rsid w:val="0074281B"/>
    <w:rsid w:val="00746474"/>
    <w:rsid w:val="00750212"/>
    <w:rsid w:val="00754779"/>
    <w:rsid w:val="0075716D"/>
    <w:rsid w:val="00765F14"/>
    <w:rsid w:val="00770E31"/>
    <w:rsid w:val="007770F1"/>
    <w:rsid w:val="00782FB6"/>
    <w:rsid w:val="00783FB1"/>
    <w:rsid w:val="00785CDD"/>
    <w:rsid w:val="00791774"/>
    <w:rsid w:val="00791847"/>
    <w:rsid w:val="007925F0"/>
    <w:rsid w:val="007939B3"/>
    <w:rsid w:val="0079509C"/>
    <w:rsid w:val="00796708"/>
    <w:rsid w:val="007B1B42"/>
    <w:rsid w:val="007C30EB"/>
    <w:rsid w:val="007C6EBF"/>
    <w:rsid w:val="007E063C"/>
    <w:rsid w:val="007E2A4B"/>
    <w:rsid w:val="007E307D"/>
    <w:rsid w:val="007E6A4E"/>
    <w:rsid w:val="007E6C94"/>
    <w:rsid w:val="007F1005"/>
    <w:rsid w:val="007F25E0"/>
    <w:rsid w:val="007F5328"/>
    <w:rsid w:val="0080172C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0028"/>
    <w:rsid w:val="0088798F"/>
    <w:rsid w:val="00887E4B"/>
    <w:rsid w:val="008915C8"/>
    <w:rsid w:val="008A36CF"/>
    <w:rsid w:val="008A3BC4"/>
    <w:rsid w:val="008B403C"/>
    <w:rsid w:val="008B7983"/>
    <w:rsid w:val="008C0B03"/>
    <w:rsid w:val="008C2511"/>
    <w:rsid w:val="008D026D"/>
    <w:rsid w:val="008D23AB"/>
    <w:rsid w:val="008D4B8B"/>
    <w:rsid w:val="008D5A78"/>
    <w:rsid w:val="008D73CF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6139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519E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2954"/>
    <w:rsid w:val="00A16D91"/>
    <w:rsid w:val="00A174CC"/>
    <w:rsid w:val="00A2073D"/>
    <w:rsid w:val="00A20751"/>
    <w:rsid w:val="00A22EA2"/>
    <w:rsid w:val="00A2480E"/>
    <w:rsid w:val="00A27E2D"/>
    <w:rsid w:val="00A31D99"/>
    <w:rsid w:val="00A357BA"/>
    <w:rsid w:val="00A35ADC"/>
    <w:rsid w:val="00A402A3"/>
    <w:rsid w:val="00A53681"/>
    <w:rsid w:val="00A633D4"/>
    <w:rsid w:val="00A6461A"/>
    <w:rsid w:val="00A76950"/>
    <w:rsid w:val="00A770AF"/>
    <w:rsid w:val="00A84504"/>
    <w:rsid w:val="00A8672F"/>
    <w:rsid w:val="00A93057"/>
    <w:rsid w:val="00A968B0"/>
    <w:rsid w:val="00AA1746"/>
    <w:rsid w:val="00AA78FD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77461"/>
    <w:rsid w:val="00B84460"/>
    <w:rsid w:val="00B87D4C"/>
    <w:rsid w:val="00B93646"/>
    <w:rsid w:val="00BA0B38"/>
    <w:rsid w:val="00BA1DBB"/>
    <w:rsid w:val="00BA4510"/>
    <w:rsid w:val="00BA529A"/>
    <w:rsid w:val="00BB612A"/>
    <w:rsid w:val="00BC4A22"/>
    <w:rsid w:val="00BC5E0C"/>
    <w:rsid w:val="00BD499F"/>
    <w:rsid w:val="00BD56DE"/>
    <w:rsid w:val="00BF2406"/>
    <w:rsid w:val="00C06E43"/>
    <w:rsid w:val="00C16315"/>
    <w:rsid w:val="00C20CA9"/>
    <w:rsid w:val="00C3091E"/>
    <w:rsid w:val="00C40FF1"/>
    <w:rsid w:val="00C419E2"/>
    <w:rsid w:val="00C45879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09C6"/>
    <w:rsid w:val="00C850A0"/>
    <w:rsid w:val="00C8549F"/>
    <w:rsid w:val="00C85A86"/>
    <w:rsid w:val="00C978F0"/>
    <w:rsid w:val="00CA58FE"/>
    <w:rsid w:val="00CB118F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4889"/>
    <w:rsid w:val="00D04342"/>
    <w:rsid w:val="00D048F7"/>
    <w:rsid w:val="00D0517E"/>
    <w:rsid w:val="00D140FC"/>
    <w:rsid w:val="00D14320"/>
    <w:rsid w:val="00D21812"/>
    <w:rsid w:val="00D21D8C"/>
    <w:rsid w:val="00D31357"/>
    <w:rsid w:val="00D33220"/>
    <w:rsid w:val="00D334D1"/>
    <w:rsid w:val="00D44C89"/>
    <w:rsid w:val="00D46EFF"/>
    <w:rsid w:val="00D516CD"/>
    <w:rsid w:val="00D6526C"/>
    <w:rsid w:val="00D668E6"/>
    <w:rsid w:val="00D70670"/>
    <w:rsid w:val="00D74D80"/>
    <w:rsid w:val="00D76624"/>
    <w:rsid w:val="00D87570"/>
    <w:rsid w:val="00D877AC"/>
    <w:rsid w:val="00D912EA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767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05C6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5760A"/>
    <w:rsid w:val="00F6491C"/>
    <w:rsid w:val="00F67BBB"/>
    <w:rsid w:val="00F74C13"/>
    <w:rsid w:val="00F81B6E"/>
    <w:rsid w:val="00F8552E"/>
    <w:rsid w:val="00F86AED"/>
    <w:rsid w:val="00F87D92"/>
    <w:rsid w:val="00F90AA7"/>
    <w:rsid w:val="00F92498"/>
    <w:rsid w:val="00F9496B"/>
    <w:rsid w:val="00F970C9"/>
    <w:rsid w:val="00FA06A8"/>
    <w:rsid w:val="00FA3DF5"/>
    <w:rsid w:val="00FA6AD3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4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34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342"/>
    <w:rPr>
      <w:b/>
      <w:bCs/>
      <w:szCs w:val="20"/>
    </w:rPr>
  </w:style>
  <w:style w:type="paragraph" w:styleId="Revision">
    <w:name w:val="Revision"/>
    <w:hidden/>
    <w:uiPriority w:val="99"/>
    <w:semiHidden/>
    <w:rsid w:val="00576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74941"/>
    <w:rsid w:val="003E0149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BAB54-5EBA-4638-9FE6-A33D641FC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f54d604-3e62-4e70-ba33-9e9084b96a6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1A4B31-1D55-435B-8756-8D02B800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26</cp:revision>
  <cp:lastPrinted>2018-10-22T22:41:00Z</cp:lastPrinted>
  <dcterms:created xsi:type="dcterms:W3CDTF">2019-10-04T02:32:00Z</dcterms:created>
  <dcterms:modified xsi:type="dcterms:W3CDTF">2020-06-19T00:36:00Z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