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AA1BF8D" w:rsidR="00BD499F" w:rsidRPr="004C23F4" w:rsidRDefault="00305341" w:rsidP="00305341">
          <w:pPr>
            <w:pStyle w:val="Heading1"/>
            <w:jc w:val="center"/>
            <w:rPr>
              <w:rFonts w:ascii="Arial" w:hAnsi="Arial" w:cs="Arial"/>
            </w:rPr>
          </w:pPr>
          <w:r w:rsidRPr="00305341">
            <w:rPr>
              <w:rFonts w:ascii="Arial" w:hAnsi="Arial" w:cs="Arial"/>
            </w:rPr>
            <w:t>Pyridine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3"/>
        <w:gridCol w:w="5033"/>
      </w:tblGrid>
      <w:tr w:rsidR="00F43AD5" w:rsidRPr="004C23F4" w14:paraId="189D6E38" w14:textId="77777777" w:rsidTr="00281C7E">
        <w:trPr>
          <w:cantSplit/>
          <w:tblHeader/>
        </w:trPr>
        <w:tc>
          <w:tcPr>
            <w:tcW w:w="3993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3" w:type="dxa"/>
          </w:tcPr>
          <w:p w14:paraId="3EDBFD9E" w14:textId="2EBD6BF2" w:rsidR="00F43AD5" w:rsidRPr="00717D45" w:rsidRDefault="00A91EBA" w:rsidP="00B76A41">
            <w:pPr>
              <w:pStyle w:val="Tablefont"/>
            </w:pPr>
            <w:r w:rsidRPr="00A91EBA">
              <w:t>110-86-1</w:t>
            </w:r>
          </w:p>
        </w:tc>
      </w:tr>
      <w:tr w:rsidR="00F43AD5" w:rsidRPr="004C23F4" w14:paraId="562A9F51" w14:textId="77777777" w:rsidTr="00281C7E">
        <w:trPr>
          <w:cantSplit/>
        </w:trPr>
        <w:tc>
          <w:tcPr>
            <w:tcW w:w="3993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3" w:type="dxa"/>
          </w:tcPr>
          <w:p w14:paraId="32648AB9" w14:textId="4620038C" w:rsidR="00F43AD5" w:rsidRPr="00717D45" w:rsidRDefault="004943FB" w:rsidP="00B76A41">
            <w:pPr>
              <w:pStyle w:val="Tablefont"/>
            </w:pPr>
            <w:r>
              <w:t>Azine</w:t>
            </w:r>
          </w:p>
        </w:tc>
      </w:tr>
      <w:tr w:rsidR="00F43AD5" w:rsidRPr="004C23F4" w14:paraId="6EE54A08" w14:textId="77777777" w:rsidTr="00281C7E">
        <w:trPr>
          <w:cantSplit/>
        </w:trPr>
        <w:tc>
          <w:tcPr>
            <w:tcW w:w="3993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3" w:type="dxa"/>
          </w:tcPr>
          <w:p w14:paraId="69369B00" w14:textId="21EE0ECA" w:rsidR="00F43AD5" w:rsidRPr="00717D45" w:rsidRDefault="004943FB" w:rsidP="00B76A41">
            <w:pPr>
              <w:pStyle w:val="Tablefont"/>
            </w:pPr>
            <w:r>
              <w:t>C</w:t>
            </w:r>
            <w:r w:rsidRPr="004943FB">
              <w:rPr>
                <w:vertAlign w:val="subscript"/>
              </w:rPr>
              <w:t>5</w:t>
            </w:r>
            <w:r>
              <w:t>H</w:t>
            </w:r>
            <w:r w:rsidRPr="004943FB">
              <w:rPr>
                <w:vertAlign w:val="subscript"/>
              </w:rPr>
              <w:t>5</w:t>
            </w:r>
            <w:r>
              <w:t>N</w:t>
            </w:r>
          </w:p>
        </w:tc>
      </w:tr>
    </w:tbl>
    <w:p w14:paraId="71D72173" w14:textId="23A4175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63B7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90D11D5" w:rsidR="002C7AFE" w:rsidRPr="00863B76" w:rsidRDefault="00863B7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(3.1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516BAF49" w:rsidR="00037E52" w:rsidRPr="00EB3D1B" w:rsidRDefault="00113E84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1DA4580D" w:rsidR="00037E52" w:rsidRPr="00EB3D1B" w:rsidRDefault="004943FB" w:rsidP="00037E52">
            <w:pPr>
              <w:pStyle w:val="Tablefont"/>
              <w:rPr>
                <w:b/>
              </w:rPr>
            </w:pPr>
            <w:r w:rsidRPr="004943FB">
              <w:rPr>
                <w:b/>
              </w:rPr>
              <w:t>1,000 ppm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2B30763D" w:rsidR="00155999" w:rsidRPr="00EB3D1B" w:rsidRDefault="00155999" w:rsidP="00037E52">
            <w:pPr>
              <w:pStyle w:val="Tablefont"/>
              <w:rPr>
                <w:b/>
              </w:rPr>
            </w:pPr>
            <w:r w:rsidRPr="00DE79D2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113E8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A37E7CC" w14:textId="1B00F950" w:rsidR="00020826" w:rsidRPr="00020826" w:rsidRDefault="00020826" w:rsidP="00020826">
      <w:pPr>
        <w:rPr>
          <w:rFonts w:cs="Arial"/>
          <w:szCs w:val="20"/>
        </w:rPr>
      </w:pPr>
      <w:r w:rsidRPr="00020826">
        <w:rPr>
          <w:szCs w:val="20"/>
        </w:rPr>
        <w:t xml:space="preserve">A TWA of 1 </w:t>
      </w:r>
      <w:r>
        <w:rPr>
          <w:rFonts w:cs="Arial"/>
          <w:szCs w:val="20"/>
        </w:rPr>
        <w:t>ppm (3.1 mg/m</w:t>
      </w:r>
      <w:r>
        <w:rPr>
          <w:rFonts w:cs="Arial"/>
          <w:szCs w:val="20"/>
          <w:vertAlign w:val="superscript"/>
        </w:rPr>
        <w:t>3</w:t>
      </w:r>
      <w:r>
        <w:rPr>
          <w:rFonts w:cs="Arial"/>
          <w:szCs w:val="20"/>
        </w:rPr>
        <w:t>)</w:t>
      </w:r>
      <w:r w:rsidRPr="00020826">
        <w:rPr>
          <w:szCs w:val="20"/>
        </w:rPr>
        <w:t xml:space="preserve"> is recommended </w:t>
      </w:r>
      <w:r>
        <w:rPr>
          <w:szCs w:val="20"/>
        </w:rPr>
        <w:t>to protect for irritation of the upper respiratory tract</w:t>
      </w:r>
      <w:r w:rsidR="0001728B">
        <w:rPr>
          <w:szCs w:val="20"/>
        </w:rPr>
        <w:t>,</w:t>
      </w:r>
      <w:r>
        <w:rPr>
          <w:szCs w:val="20"/>
        </w:rPr>
        <w:t xml:space="preserve"> and effects</w:t>
      </w:r>
      <w:r w:rsidR="00863B76">
        <w:rPr>
          <w:szCs w:val="20"/>
        </w:rPr>
        <w:t xml:space="preserve"> in the central nervous system (CNS), liver and kidneys in exposed workers.</w:t>
      </w:r>
      <w:r w:rsidRPr="00020826">
        <w:rPr>
          <w:szCs w:val="20"/>
        </w:rPr>
        <w:t xml:space="preserve"> 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E3B8E9" w14:textId="77777777" w:rsidR="00E52E7A" w:rsidRDefault="00020826" w:rsidP="006639B4">
      <w:pPr>
        <w:rPr>
          <w:rFonts w:cs="Arial"/>
          <w:color w:val="262626"/>
        </w:rPr>
      </w:pPr>
      <w:r>
        <w:rPr>
          <w:rFonts w:cs="Arial"/>
        </w:rPr>
        <w:t xml:space="preserve">Pyridine is used in </w:t>
      </w:r>
      <w:r>
        <w:rPr>
          <w:rFonts w:cs="Arial"/>
          <w:color w:val="262626"/>
        </w:rPr>
        <w:t xml:space="preserve">manufacture of other chemicals, paints, dyes, adhesives and rubber products and has reported cosmetic and domestic use as a fragrance compound. </w:t>
      </w:r>
    </w:p>
    <w:p w14:paraId="1AD04173" w14:textId="77777777" w:rsidR="0010566C" w:rsidRDefault="00020826" w:rsidP="006639B4">
      <w:r>
        <w:rPr>
          <w:rFonts w:cs="Arial"/>
          <w:color w:val="262626"/>
        </w:rPr>
        <w:t xml:space="preserve">Critical effects </w:t>
      </w:r>
      <w:r w:rsidR="00E52E7A">
        <w:rPr>
          <w:rFonts w:cs="Arial"/>
          <w:color w:val="262626"/>
        </w:rPr>
        <w:t>of</w:t>
      </w:r>
      <w:r>
        <w:rPr>
          <w:rFonts w:cs="Arial"/>
          <w:color w:val="262626"/>
        </w:rPr>
        <w:t xml:space="preserve"> exposure are irritation of the upper respiratory tract and effects in the CNS, liver and kidneys.</w:t>
      </w:r>
      <w:r w:rsidR="00E52E7A">
        <w:t xml:space="preserve"> </w:t>
      </w:r>
    </w:p>
    <w:p w14:paraId="3A64B769" w14:textId="0CD7D9D3" w:rsidR="00020826" w:rsidRDefault="0010566C" w:rsidP="006639B4">
      <w:r>
        <w:t xml:space="preserve">Adverse </w:t>
      </w:r>
      <w:r w:rsidR="00020826">
        <w:t xml:space="preserve">health effects </w:t>
      </w:r>
      <w:r>
        <w:t xml:space="preserve">reported </w:t>
      </w:r>
      <w:r w:rsidR="00020826">
        <w:t xml:space="preserve">in humans exposed to airborne concentrations of 6 to 13 ppm. Effects included headache, temporary vertigo, nervousness, sleeplessness, occasional </w:t>
      </w:r>
      <w:r w:rsidR="007C3A2B">
        <w:t xml:space="preserve">transient </w:t>
      </w:r>
      <w:r w:rsidR="00020826">
        <w:t>digestive troubles</w:t>
      </w:r>
      <w:r>
        <w:t>,</w:t>
      </w:r>
      <w:r w:rsidR="00020826">
        <w:t xml:space="preserve"> particularly nausea and vomiting. </w:t>
      </w:r>
      <w:r>
        <w:t>L</w:t>
      </w:r>
      <w:r w:rsidR="00020826">
        <w:t xml:space="preserve">esions in the nasal olfactory epithelium </w:t>
      </w:r>
      <w:r>
        <w:t xml:space="preserve">reported in </w:t>
      </w:r>
      <w:r w:rsidR="00020826">
        <w:t xml:space="preserve">rats exposed </w:t>
      </w:r>
      <w:r>
        <w:t xml:space="preserve">at 5 ppm </w:t>
      </w:r>
      <w:r w:rsidR="00020826">
        <w:t xml:space="preserve">for </w:t>
      </w:r>
      <w:r w:rsidR="00DE79D2">
        <w:t>six</w:t>
      </w:r>
      <w:r w:rsidR="00020826">
        <w:t xml:space="preserve"> hours a day for </w:t>
      </w:r>
      <w:r w:rsidR="00DE79D2">
        <w:t>four</w:t>
      </w:r>
      <w:r w:rsidR="00020826">
        <w:t xml:space="preserve"> days (ACGIH, 2018; SCOEL, 2004). A NO</w:t>
      </w:r>
      <w:r>
        <w:t>A</w:t>
      </w:r>
      <w:r w:rsidR="00020826">
        <w:t>EL of 7 mg/kg/d</w:t>
      </w:r>
      <w:r w:rsidR="00E52E7A">
        <w:t>ay</w:t>
      </w:r>
      <w:r w:rsidR="00020826">
        <w:t xml:space="preserve"> </w:t>
      </w:r>
      <w:r w:rsidR="00E52E7A">
        <w:t>i</w:t>
      </w:r>
      <w:r w:rsidR="00020826">
        <w:t xml:space="preserve">s reported </w:t>
      </w:r>
      <w:r w:rsidR="00E52E7A">
        <w:t>i</w:t>
      </w:r>
      <w:r w:rsidR="00020826">
        <w:t>n drinking water study in rats for liver and kidney effects. This dose was calculated by ACGIH (2018) to correspond to an inhalation dose of 49 mg/m</w:t>
      </w:r>
      <w:r w:rsidR="00020826">
        <w:rPr>
          <w:vertAlign w:val="superscript"/>
        </w:rPr>
        <w:t>3</w:t>
      </w:r>
      <w:r w:rsidR="00020826">
        <w:rPr>
          <w:vertAlign w:val="subscript"/>
        </w:rPr>
        <w:t xml:space="preserve"> </w:t>
      </w:r>
      <w:r w:rsidR="00020826" w:rsidRPr="00735293">
        <w:t>(15 ppm</w:t>
      </w:r>
      <w:r w:rsidR="00E52E7A">
        <w:t xml:space="preserve">; </w:t>
      </w:r>
      <w:r w:rsidR="00020826">
        <w:t xml:space="preserve">ACGIH, 2018). SCOEL (2004) </w:t>
      </w:r>
      <w:r>
        <w:t xml:space="preserve">did </w:t>
      </w:r>
      <w:r w:rsidR="00020826">
        <w:t xml:space="preserve">not derive a </w:t>
      </w:r>
      <w:r w:rsidR="007679E1">
        <w:t>TWA but</w:t>
      </w:r>
      <w:r w:rsidR="00020826">
        <w:t xml:space="preserve"> recommend</w:t>
      </w:r>
      <w:r w:rsidR="006A544D">
        <w:t>ed</w:t>
      </w:r>
      <w:r w:rsidR="00020826">
        <w:t xml:space="preserve"> that occupational exposures should be maintained well below 5 ppm.</w:t>
      </w:r>
    </w:p>
    <w:p w14:paraId="0EBB85A8" w14:textId="6730E135" w:rsidR="00020826" w:rsidRPr="00020826" w:rsidRDefault="00020826" w:rsidP="00020826">
      <w:pPr>
        <w:rPr>
          <w:rFonts w:cs="Arial"/>
          <w:szCs w:val="20"/>
        </w:rPr>
      </w:pPr>
      <w:r w:rsidRPr="00020826">
        <w:rPr>
          <w:szCs w:val="20"/>
        </w:rPr>
        <w:t xml:space="preserve">A TWA of 1 </w:t>
      </w:r>
      <w:r>
        <w:rPr>
          <w:rFonts w:cs="Arial"/>
          <w:szCs w:val="20"/>
        </w:rPr>
        <w:t>ppm</w:t>
      </w:r>
      <w:r w:rsidRPr="00020826">
        <w:rPr>
          <w:szCs w:val="20"/>
        </w:rPr>
        <w:t xml:space="preserve"> by ACGIH (2018) </w:t>
      </w:r>
      <w:r w:rsidR="0010566C" w:rsidRPr="00020826">
        <w:rPr>
          <w:szCs w:val="20"/>
        </w:rPr>
        <w:t>is recommended</w:t>
      </w:r>
      <w:r w:rsidR="0010566C">
        <w:rPr>
          <w:szCs w:val="20"/>
        </w:rPr>
        <w:t>.</w:t>
      </w:r>
      <w:r w:rsidR="0010566C" w:rsidRPr="00020826">
        <w:rPr>
          <w:szCs w:val="20"/>
        </w:rPr>
        <w:t xml:space="preserve"> </w:t>
      </w:r>
      <w:r w:rsidRPr="00020826">
        <w:rPr>
          <w:szCs w:val="20"/>
        </w:rPr>
        <w:t>This TWA is expected to be protective of</w:t>
      </w:r>
      <w:r>
        <w:rPr>
          <w:szCs w:val="20"/>
        </w:rPr>
        <w:t xml:space="preserve"> irritation and</w:t>
      </w:r>
      <w:r w:rsidRPr="00020826">
        <w:rPr>
          <w:szCs w:val="20"/>
        </w:rPr>
        <w:t xml:space="preserve"> </w:t>
      </w:r>
      <w:r>
        <w:rPr>
          <w:szCs w:val="20"/>
        </w:rPr>
        <w:t>systemic effects</w:t>
      </w:r>
      <w:r w:rsidRPr="00020826">
        <w:rPr>
          <w:szCs w:val="20"/>
        </w:rPr>
        <w:t xml:space="preserve"> reported in animals</w:t>
      </w:r>
      <w:r>
        <w:rPr>
          <w:szCs w:val="20"/>
        </w:rPr>
        <w:t xml:space="preserve"> and humans</w:t>
      </w:r>
      <w:r w:rsidRPr="00020826">
        <w:rPr>
          <w:szCs w:val="20"/>
        </w:rPr>
        <w:t xml:space="preserve">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863B76" w:rsidRDefault="008E4F1F" w:rsidP="008E4F1F">
      <w:pPr>
        <w:rPr>
          <w:rFonts w:cs="Arial"/>
        </w:rPr>
      </w:pPr>
      <w:r w:rsidRPr="00863B76">
        <w:rPr>
          <w:rFonts w:cs="Arial"/>
        </w:rPr>
        <w:t>Not classified as a carcinogen according to the Globally Harmonized System of</w:t>
      </w:r>
      <w:r w:rsidR="00155999" w:rsidRPr="00863B76">
        <w:rPr>
          <w:rFonts w:cs="Arial"/>
        </w:rPr>
        <w:t xml:space="preserve"> Classification and Labelling of</w:t>
      </w:r>
      <w:r w:rsidRPr="00863B76">
        <w:rPr>
          <w:rFonts w:cs="Arial"/>
        </w:rPr>
        <w:t xml:space="preserve"> Chemicals (GHS). </w:t>
      </w:r>
    </w:p>
    <w:p w14:paraId="03916CCC" w14:textId="77777777" w:rsidR="008E4F1F" w:rsidRPr="00863B76" w:rsidRDefault="008E4F1F" w:rsidP="008E4F1F">
      <w:pPr>
        <w:rPr>
          <w:rFonts w:cs="Arial"/>
        </w:rPr>
      </w:pPr>
      <w:r w:rsidRPr="00863B76">
        <w:rPr>
          <w:rFonts w:cs="Arial"/>
        </w:rPr>
        <w:t xml:space="preserve">Not classified as a skin </w:t>
      </w:r>
      <w:r w:rsidR="00155999" w:rsidRPr="00863B76">
        <w:rPr>
          <w:rFonts w:cs="Arial"/>
        </w:rPr>
        <w:t xml:space="preserve">sensitiser </w:t>
      </w:r>
      <w:r w:rsidRPr="00863B76">
        <w:rPr>
          <w:rFonts w:cs="Arial"/>
        </w:rPr>
        <w:t>or respiratory sensitiser according to the GHS.</w:t>
      </w:r>
    </w:p>
    <w:p w14:paraId="21CA0B6A" w14:textId="0D07AF3B" w:rsidR="00113E84" w:rsidRDefault="00113E84" w:rsidP="00113E84">
      <w:pPr>
        <w:keepNext/>
        <w:rPr>
          <w:rFonts w:cs="Arial"/>
        </w:rPr>
      </w:pPr>
      <w:r>
        <w:rPr>
          <w:rFonts w:cs="Arial"/>
        </w:rPr>
        <w:lastRenderedPageBreak/>
        <w:t>A skin notation is recommended due to evidence of dermal absorption and contribution to adverse systemic effects in animals.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F778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F77831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1C5FDE9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9261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92617">
                  <w:t>TWA: 5 ppm (16 mg/m</w:t>
                </w:r>
                <w:r w:rsidR="00192617" w:rsidRPr="00192617">
                  <w:rPr>
                    <w:vertAlign w:val="superscript"/>
                  </w:rPr>
                  <w:t>3</w:t>
                </w:r>
                <w:r w:rsidR="00192617">
                  <w:t>)</w:t>
                </w:r>
              </w:sdtContent>
            </w:sdt>
          </w:p>
        </w:tc>
      </w:tr>
      <w:tr w:rsidR="00C978F0" w:rsidRPr="00DA352E" w14:paraId="26087DDB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65A49CCC" w:rsidR="00C978F0" w:rsidRPr="00DA352E" w:rsidRDefault="00B474BE" w:rsidP="003365A5">
            <w:pPr>
              <w:pStyle w:val="Tabletextprimarysource"/>
            </w:pPr>
            <w:r>
              <w:t>Adopted from ACGIH in 1991</w:t>
            </w:r>
            <w:r w:rsidR="00113E84">
              <w:t xml:space="preserve">. </w:t>
            </w:r>
          </w:p>
        </w:tc>
      </w:tr>
      <w:tr w:rsidR="00C978F0" w:rsidRPr="00DA352E" w14:paraId="24593221" w14:textId="77777777" w:rsidTr="00F7783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27E975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92617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92617">
                  <w:t>TLV-TWA: 1 ppm (3.1 mg/m</w:t>
                </w:r>
                <w:r w:rsidR="00192617" w:rsidRPr="00192617">
                  <w:rPr>
                    <w:vertAlign w:val="superscript"/>
                  </w:rPr>
                  <w:t>3</w:t>
                </w:r>
                <w:r w:rsidR="00192617">
                  <w:t>)</w:t>
                </w:r>
              </w:sdtContent>
            </w:sdt>
          </w:p>
        </w:tc>
      </w:tr>
      <w:tr w:rsidR="00C978F0" w:rsidRPr="00DA352E" w14:paraId="418D532D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709073D1" w14:textId="77777777" w:rsidR="00C978F0" w:rsidRDefault="00D556FB" w:rsidP="003365A5">
            <w:pPr>
              <w:pStyle w:val="Tabletextprimarysource"/>
            </w:pPr>
            <w:r>
              <w:t>TLV-TWA recommended to minimise irritation and systemic effects.</w:t>
            </w:r>
          </w:p>
          <w:p w14:paraId="73AD3EBA" w14:textId="4D07032C" w:rsidR="00D556FB" w:rsidRDefault="00D556FB" w:rsidP="003365A5">
            <w:pPr>
              <w:pStyle w:val="Tabletextprimarysource"/>
            </w:pPr>
            <w:r>
              <w:t>Summary of data:</w:t>
            </w:r>
          </w:p>
          <w:p w14:paraId="53CD8E39" w14:textId="0D1198D4" w:rsidR="00735293" w:rsidRDefault="00D556FB" w:rsidP="007679E1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Extremely malodorous</w:t>
            </w:r>
            <w:r w:rsidR="0059507A">
              <w:t xml:space="preserve">. </w:t>
            </w:r>
            <w:r w:rsidR="008E7933">
              <w:t xml:space="preserve">TWA </w:t>
            </w:r>
            <w:r w:rsidR="00735293">
              <w:t xml:space="preserve">based on </w:t>
            </w:r>
            <w:r w:rsidR="008E7933">
              <w:t xml:space="preserve">NOEL of 7 mg/kg/d in rats for liver and </w:t>
            </w:r>
            <w:r w:rsidR="00735293">
              <w:t>kidney</w:t>
            </w:r>
            <w:r w:rsidR="008E7933">
              <w:t xml:space="preserve"> effects;</w:t>
            </w:r>
            <w:r w:rsidR="0059507A">
              <w:t xml:space="preserve"> </w:t>
            </w:r>
            <w:r w:rsidR="00735293">
              <w:t>corresponds to an inhalation dose of 49 mg/m</w:t>
            </w:r>
            <w:r w:rsidR="00735293">
              <w:rPr>
                <w:vertAlign w:val="superscript"/>
              </w:rPr>
              <w:t>3</w:t>
            </w:r>
            <w:r w:rsidR="00735293">
              <w:rPr>
                <w:vertAlign w:val="subscript"/>
              </w:rPr>
              <w:t xml:space="preserve"> </w:t>
            </w:r>
            <w:r w:rsidR="00735293" w:rsidRPr="00735293">
              <w:t xml:space="preserve">(15 ppm) </w:t>
            </w:r>
            <w:r w:rsidR="00735293">
              <w:t>based on a 70 kg worker breathing 10 m</w:t>
            </w:r>
            <w:r w:rsidR="00735293">
              <w:rPr>
                <w:vertAlign w:val="superscript"/>
              </w:rPr>
              <w:t>3</w:t>
            </w:r>
            <w:r w:rsidR="00735293">
              <w:t xml:space="preserve"> per 8</w:t>
            </w:r>
            <w:r w:rsidR="006A544D">
              <w:t>-</w:t>
            </w:r>
            <w:r w:rsidR="00735293">
              <w:t>h shift</w:t>
            </w:r>
            <w:r w:rsidR="0059507A">
              <w:t>. I</w:t>
            </w:r>
            <w:r w:rsidR="00735293">
              <w:t>ntegrated with evidence of nasal tissue lesions in rats at 5 ppm</w:t>
            </w:r>
            <w:r w:rsidR="0059507A">
              <w:t xml:space="preserve"> </w:t>
            </w:r>
            <w:r w:rsidR="00B474BE">
              <w:t>1 ppm as a TWA should minimise the potential for adverse effects</w:t>
            </w:r>
            <w:r w:rsidR="00DE79D2">
              <w:t>.</w:t>
            </w:r>
          </w:p>
          <w:p w14:paraId="5F7871EE" w14:textId="77777777" w:rsidR="00D556FB" w:rsidRDefault="00D556FB" w:rsidP="003365A5">
            <w:pPr>
              <w:pStyle w:val="Tabletextprimarysource"/>
            </w:pPr>
            <w:r>
              <w:t>Human data:</w:t>
            </w:r>
          </w:p>
          <w:p w14:paraId="44782BB5" w14:textId="593CA769" w:rsidR="00D556FB" w:rsidRDefault="00222F93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Air samples at 6–12 ppm </w:t>
            </w:r>
            <w:r w:rsidR="00A60C16">
              <w:t xml:space="preserve">caused </w:t>
            </w:r>
            <w:r w:rsidR="00D556FB">
              <w:t>7 cases of mild, chronic poisoning in a chemical plant; headache, temporary vertigo, nervousness, sleeplessness, occasional digestive troubles particularly nausea and vomiting; no further details</w:t>
            </w:r>
          </w:p>
          <w:p w14:paraId="1BB4E76F" w14:textId="06EF5C56" w:rsidR="00D556FB" w:rsidRDefault="00D40414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5 </w:t>
            </w:r>
            <w:r w:rsidR="00A60C16">
              <w:t xml:space="preserve">people </w:t>
            </w:r>
            <w:r>
              <w:t>who received 1.8</w:t>
            </w:r>
            <w:r w:rsidR="00DE79D2">
              <w:t>–</w:t>
            </w:r>
            <w:r>
              <w:t xml:space="preserve">2.5 mL/d for up to 1 </w:t>
            </w:r>
            <w:proofErr w:type="spellStart"/>
            <w:r>
              <w:t>mo</w:t>
            </w:r>
            <w:proofErr w:type="spellEnd"/>
            <w:r>
              <w:t>; 2 subjects showed hepato-renal disease of which 1 died; no further details</w:t>
            </w:r>
          </w:p>
          <w:p w14:paraId="2A3AF2EE" w14:textId="61A3109E" w:rsidR="00D40414" w:rsidRDefault="00134080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study of 1 woman who inhaled vapours for 15</w:t>
            </w:r>
            <w:r w:rsidR="00DE79D2">
              <w:t>–</w:t>
            </w:r>
            <w:r>
              <w:t>20 min; no concentrations reported; symptoms included nervous system inhibition characteri</w:t>
            </w:r>
            <w:r w:rsidR="00113E84">
              <w:t>s</w:t>
            </w:r>
            <w:r>
              <w:t>ed by speech disorders and diffuse cortical affliction; irritation of upper respiratory tract was found; no further information</w:t>
            </w:r>
          </w:p>
          <w:p w14:paraId="5B96A839" w14:textId="15DD8715" w:rsidR="00134080" w:rsidRDefault="00134080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case of allergic contact dermatitis in a laboratory technician </w:t>
            </w:r>
            <w:r w:rsidR="00664A2B">
              <w:t>reported as likely</w:t>
            </w:r>
            <w:r>
              <w:t xml:space="preserve"> caused by pyridine</w:t>
            </w:r>
            <w:r w:rsidR="00DE79D2">
              <w:t>.</w:t>
            </w:r>
          </w:p>
          <w:p w14:paraId="5317D9C8" w14:textId="77777777" w:rsidR="00664A2B" w:rsidRDefault="00664A2B" w:rsidP="00664A2B">
            <w:pPr>
              <w:pStyle w:val="Tabletextprimarysource"/>
            </w:pPr>
            <w:r>
              <w:t>Animal data:</w:t>
            </w:r>
          </w:p>
          <w:p w14:paraId="3267358F" w14:textId="667D65B3" w:rsidR="00664A2B" w:rsidRDefault="00113E84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Dermal </w:t>
            </w:r>
            <w:r w:rsidR="00664A2B">
              <w:t>LD</w:t>
            </w:r>
            <w:r w:rsidR="00664A2B">
              <w:rPr>
                <w:vertAlign w:val="subscript"/>
              </w:rPr>
              <w:t>50</w:t>
            </w:r>
            <w:r>
              <w:t>:</w:t>
            </w:r>
            <w:r w:rsidR="00664A2B">
              <w:t xml:space="preserve"> 1,120 mg/kg </w:t>
            </w:r>
            <w:r>
              <w:t>(</w:t>
            </w:r>
            <w:r w:rsidR="00664A2B">
              <w:t>rabbit</w:t>
            </w:r>
            <w:r>
              <w:t>)</w:t>
            </w:r>
            <w:r w:rsidR="00664A2B">
              <w:t>; 1,000</w:t>
            </w:r>
            <w:r w:rsidR="00DE79D2">
              <w:t>–</w:t>
            </w:r>
            <w:r w:rsidR="00664A2B">
              <w:t xml:space="preserve">2,000 mg/kg </w:t>
            </w:r>
            <w:r>
              <w:t>(</w:t>
            </w:r>
            <w:r w:rsidR="00664A2B">
              <w:t>guinea pig</w:t>
            </w:r>
            <w:r>
              <w:t>)</w:t>
            </w:r>
          </w:p>
          <w:p w14:paraId="3190B792" w14:textId="77777777" w:rsidR="00664A2B" w:rsidRDefault="00664A2B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Olfactory epithelial damage in rats exposed at 5 ppm, 6 h/d for 4 d</w:t>
            </w:r>
            <w:r w:rsidR="008E7933">
              <w:t>; 444 ppm showed only slightly more severe lesions in the olfactory region</w:t>
            </w:r>
          </w:p>
          <w:p w14:paraId="638578DC" w14:textId="444A1221" w:rsidR="008E7933" w:rsidRDefault="008E7933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of 7 mg/kg/d in F344/N rat; &lt;8 mg/kg/d in Wistar rat; &lt;15 mg/kg/d in mice from 2</w:t>
            </w:r>
            <w:r w:rsidR="00DE79D2">
              <w:t> </w:t>
            </w:r>
            <w:proofErr w:type="spellStart"/>
            <w:r>
              <w:t>yr</w:t>
            </w:r>
            <w:proofErr w:type="spellEnd"/>
            <w:r>
              <w:t xml:space="preserve"> drinking water study; liver and kidney changes first sign of adverse effects</w:t>
            </w:r>
          </w:p>
          <w:p w14:paraId="5738C05F" w14:textId="58C1DE83" w:rsidR="00B474BE" w:rsidRDefault="00B474BE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Tumour development in rodents following extended and relatively high doses via drinking water</w:t>
            </w:r>
            <w:r w:rsidR="00DE79D2">
              <w:t>.</w:t>
            </w:r>
          </w:p>
          <w:p w14:paraId="7307E67B" w14:textId="77777777" w:rsidR="0059507A" w:rsidRDefault="0059507A" w:rsidP="00B474BE">
            <w:pPr>
              <w:pStyle w:val="Tabletextprimarysource"/>
            </w:pPr>
          </w:p>
          <w:p w14:paraId="0273D6F8" w14:textId="3380E618" w:rsidR="00B474BE" w:rsidRDefault="00B474BE" w:rsidP="00B474BE">
            <w:pPr>
              <w:pStyle w:val="Tabletextprimarysource"/>
            </w:pPr>
            <w:r>
              <w:t>Single sensitisation case insufficient to recommend a sensitiser notation</w:t>
            </w:r>
            <w:r w:rsidR="00DE79D2">
              <w:t>.</w:t>
            </w:r>
          </w:p>
          <w:p w14:paraId="7B6E9CCE" w14:textId="77777777" w:rsidR="00B474BE" w:rsidRDefault="00B474BE" w:rsidP="00B474BE">
            <w:pPr>
              <w:pStyle w:val="Tabletextprimarysource"/>
            </w:pPr>
            <w:r>
              <w:t>Insufficient data to recommend a STEL.</w:t>
            </w:r>
          </w:p>
          <w:p w14:paraId="0CE4D35D" w14:textId="0CCEFA8D" w:rsidR="0059507A" w:rsidRPr="00DA352E" w:rsidRDefault="0059507A" w:rsidP="00B474BE">
            <w:pPr>
              <w:pStyle w:val="Tabletextprimarysource"/>
            </w:pPr>
          </w:p>
        </w:tc>
      </w:tr>
      <w:tr w:rsidR="00C978F0" w:rsidRPr="00DA352E" w14:paraId="174F8B79" w14:textId="77777777" w:rsidTr="00F7783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3501845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92617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92617">
                  <w:t>Not assigned</w:t>
                </w:r>
              </w:sdtContent>
            </w:sdt>
          </w:p>
        </w:tc>
      </w:tr>
      <w:tr w:rsidR="00C978F0" w:rsidRPr="00DA352E" w14:paraId="4433014F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728EA96D" w14:textId="77777777" w:rsidR="00C978F0" w:rsidRDefault="00467A0D" w:rsidP="003365A5">
            <w:pPr>
              <w:pStyle w:val="Tabletextprimarysource"/>
            </w:pPr>
            <w:r>
              <w:t>Insufficient data to derive a MAK value.</w:t>
            </w:r>
          </w:p>
          <w:p w14:paraId="4258003B" w14:textId="77777777" w:rsidR="00467A0D" w:rsidRDefault="00467A0D" w:rsidP="003365A5">
            <w:pPr>
              <w:pStyle w:val="Tabletextprimarysource"/>
            </w:pPr>
            <w:r>
              <w:t>No additional data</w:t>
            </w:r>
            <w:r w:rsidR="00DE79D2">
              <w:t>.</w:t>
            </w:r>
          </w:p>
          <w:p w14:paraId="61A64F09" w14:textId="12B1996F" w:rsidR="002C20D8" w:rsidRPr="00DA352E" w:rsidRDefault="002C20D8" w:rsidP="003365A5">
            <w:pPr>
              <w:pStyle w:val="Tabletextprimarysource"/>
            </w:pPr>
          </w:p>
        </w:tc>
      </w:tr>
      <w:tr w:rsidR="00C978F0" w:rsidRPr="00DA352E" w14:paraId="0E6A0B2C" w14:textId="77777777" w:rsidTr="00F7783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FE5BBC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92617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90EBD">
                  <w:t>Not assigned</w:t>
                </w:r>
              </w:sdtContent>
            </w:sdt>
          </w:p>
        </w:tc>
      </w:tr>
      <w:tr w:rsidR="00C978F0" w:rsidRPr="00DA352E" w14:paraId="2008D281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1A007F10" w14:textId="14EE33ED" w:rsidR="00C978F0" w:rsidRDefault="00014278" w:rsidP="003365A5">
            <w:pPr>
              <w:pStyle w:val="Tabletextprimarysource"/>
            </w:pPr>
            <w:r>
              <w:t>A health-based OEL</w:t>
            </w:r>
            <w:r w:rsidR="00113E84">
              <w:t xml:space="preserve"> (HBROEL)</w:t>
            </w:r>
            <w:r>
              <w:t xml:space="preserve"> cannot be derived from the available data.</w:t>
            </w:r>
          </w:p>
          <w:p w14:paraId="61A2BB0A" w14:textId="77777777" w:rsidR="00014278" w:rsidRDefault="00014278" w:rsidP="003365A5">
            <w:pPr>
              <w:pStyle w:val="Tabletextprimarysource"/>
            </w:pPr>
            <w:r>
              <w:t>Summary of additional data:</w:t>
            </w:r>
          </w:p>
          <w:p w14:paraId="5F6DAB5C" w14:textId="5329F10C" w:rsidR="00D92C3E" w:rsidRPr="00D92C3E" w:rsidRDefault="00D92C3E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262626"/>
              </w:rPr>
              <w:t>A skin, eye and mucous membrane irritant in humans</w:t>
            </w:r>
          </w:p>
          <w:p w14:paraId="0B11330D" w14:textId="648A16CC" w:rsidR="00D92C3E" w:rsidRDefault="00D92C3E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262626"/>
              </w:rPr>
              <w:t xml:space="preserve">Low </w:t>
            </w:r>
            <w:r w:rsidRPr="00113E84">
              <w:t>skin</w:t>
            </w:r>
            <w:r>
              <w:rPr>
                <w:rFonts w:cs="Arial"/>
                <w:color w:val="262626"/>
              </w:rPr>
              <w:t xml:space="preserve"> sensitising agent in humans</w:t>
            </w:r>
          </w:p>
          <w:p w14:paraId="58D49DB4" w14:textId="457B8D97" w:rsidR="00014278" w:rsidRDefault="00014278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Evidence of carcinogenicity in mice; not considered genotoxic</w:t>
            </w:r>
          </w:p>
          <w:p w14:paraId="377BFC65" w14:textId="6AC4B835" w:rsidR="00014278" w:rsidRDefault="00014278" w:rsidP="00113E8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Based on nasal lesions in rats at 5 ppm (cited by ACGIH, 20</w:t>
            </w:r>
            <w:r w:rsidR="003B2037">
              <w:t>04</w:t>
            </w:r>
            <w:r>
              <w:t>) and adverse health effects in humans exposed to airborne concentrations reportedly in the range 6</w:t>
            </w:r>
            <w:r w:rsidR="00DE79D2">
              <w:t>–</w:t>
            </w:r>
            <w:r>
              <w:t>13 ppm (cited by ACGIH, 20</w:t>
            </w:r>
            <w:r w:rsidR="003B2037">
              <w:t>04</w:t>
            </w:r>
            <w:r>
              <w:t>) recommend occupational exposures be maintained well below 5</w:t>
            </w:r>
            <w:r w:rsidR="00DE79D2">
              <w:t> </w:t>
            </w:r>
            <w:r>
              <w:t>ppm.</w:t>
            </w:r>
          </w:p>
          <w:p w14:paraId="153B53C1" w14:textId="72B57CA7" w:rsidR="0059507A" w:rsidRPr="00DA352E" w:rsidRDefault="0059507A" w:rsidP="007679E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12BAB90D" w14:textId="77777777" w:rsidTr="00F7783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2BA571D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90E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D90EBD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1FD5C91D" w:rsidR="00DA352E" w:rsidRPr="00DA352E" w:rsidRDefault="00D90EBD" w:rsidP="003365A5">
            <w:pPr>
              <w:pStyle w:val="Tabletextprimarysource"/>
            </w:pPr>
            <w:r>
              <w:t>No report</w:t>
            </w:r>
            <w:r w:rsidR="00DE79D2">
              <w:t>.</w:t>
            </w:r>
          </w:p>
        </w:tc>
      </w:tr>
      <w:tr w:rsidR="00DA352E" w:rsidRPr="00DA352E" w14:paraId="605F758C" w14:textId="77777777" w:rsidTr="00F7783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995C8F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90E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D90EBD">
                  <w:t>NA</w:t>
                </w:r>
                <w:proofErr w:type="spellEnd"/>
              </w:sdtContent>
            </w:sdt>
          </w:p>
        </w:tc>
      </w:tr>
      <w:tr w:rsidR="00DA352E" w:rsidRPr="00DA352E" w14:paraId="7050CB3E" w14:textId="77777777" w:rsidTr="00F77831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67912FCE" w:rsidR="00DA352E" w:rsidRPr="00DA352E" w:rsidRDefault="00D90EBD" w:rsidP="003365A5">
            <w:pPr>
              <w:pStyle w:val="Tabletextprimarysource"/>
            </w:pPr>
            <w:r>
              <w:t>No report</w:t>
            </w:r>
            <w:r w:rsidR="00DE79D2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6AE89AB3" w14:textId="77777777" w:rsidTr="00F77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F77831">
        <w:trPr>
          <w:cantSplit/>
        </w:trPr>
        <w:tc>
          <w:tcPr>
            <w:tcW w:w="1492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0CC8E2E0" w:rsidR="004966BF" w:rsidRPr="00CE617F" w:rsidRDefault="00F7783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92C3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54D014B0" w:rsidR="004966BF" w:rsidRPr="004C23F4" w:rsidRDefault="00D92C3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0" w:type="dxa"/>
          </w:tcPr>
          <w:p w14:paraId="3A75E891" w14:textId="47DCB1A7" w:rsidR="004966BF" w:rsidRDefault="00D92C3E" w:rsidP="00113E8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113E84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  <w:vertAlign w:val="subscript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1,000 mg/kg </w:t>
            </w:r>
            <w:r w:rsidR="00113E84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rabbit</w:t>
            </w:r>
            <w:r w:rsidR="00113E84">
              <w:rPr>
                <w:rStyle w:val="checkbox"/>
                <w:rFonts w:ascii="Arial" w:hAnsi="Arial" w:cs="Arial"/>
              </w:rPr>
              <w:t>s, de</w:t>
            </w:r>
            <w:r w:rsidR="00113E84" w:rsidRPr="005F659E">
              <w:t>rmal</w:t>
            </w:r>
            <w:r w:rsidR="00113E84">
              <w:t>)</w:t>
            </w:r>
          </w:p>
          <w:p w14:paraId="0D6253B5" w14:textId="77777777" w:rsidR="00C113D7" w:rsidRDefault="00C113D7" w:rsidP="00113E8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Rats exposed at 10 or 50 ppm 7 h/d,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for 6 </w:t>
            </w:r>
            <w:proofErr w:type="spellStart"/>
            <w:r>
              <w:rPr>
                <w:rStyle w:val="checkbox"/>
                <w:rFonts w:ascii="Arial" w:hAnsi="Arial" w:cs="Arial"/>
              </w:rPr>
              <w:t>mo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; </w:t>
            </w:r>
            <w:r w:rsidRPr="00113E84">
              <w:t>increase</w:t>
            </w:r>
            <w:r>
              <w:rPr>
                <w:rStyle w:val="checkbox"/>
                <w:rFonts w:ascii="Arial" w:hAnsi="Arial" w:cs="Arial"/>
              </w:rPr>
              <w:t xml:space="preserve"> liver weights; assumed both doses</w:t>
            </w:r>
          </w:p>
          <w:p w14:paraId="21D9984B" w14:textId="77777777" w:rsidR="00C113D7" w:rsidRPr="00C113D7" w:rsidRDefault="00C113D7" w:rsidP="00113E84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Workers exposed at 125 ppm for 4 h/d for up to 2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113E84">
              <w:t>reported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Fonts w:cs="Arial"/>
                <w:color w:val="262626"/>
              </w:rPr>
              <w:t>headaches, dizziness, insomnia, nausea and anorexia</w:t>
            </w:r>
          </w:p>
          <w:p w14:paraId="0076C2F1" w14:textId="47E3DC9C" w:rsidR="00D92C3E" w:rsidRPr="004C23F4" w:rsidRDefault="00C113D7" w:rsidP="00113E8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 xml:space="preserve">Not considered to </w:t>
            </w:r>
            <w:r w:rsidRPr="00113E84">
              <w:t>be</w:t>
            </w:r>
            <w:r>
              <w:rPr>
                <w:rFonts w:cs="Arial"/>
                <w:color w:val="262626"/>
              </w:rPr>
              <w:t xml:space="preserve"> genotoxic</w:t>
            </w:r>
            <w:r w:rsidR="00DE79D2">
              <w:rPr>
                <w:rFonts w:cs="Arial"/>
                <w:color w:val="262626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020826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3DE06DE7" w:rsidR="002E0D61" w:rsidRDefault="0002082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02082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405209C3" w:rsidR="008A36CF" w:rsidRPr="006901A2" w:rsidRDefault="0002082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F77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F77831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3495538" w:rsidR="00687890" w:rsidRPr="00DD2F9B" w:rsidRDefault="00D90EBD" w:rsidP="00DD2F9B">
            <w:pPr>
              <w:pStyle w:val="Tablefont"/>
            </w:pPr>
            <w:r w:rsidRPr="00D90EBD">
              <w:t>—</w:t>
            </w:r>
          </w:p>
        </w:tc>
      </w:tr>
      <w:tr w:rsidR="007925F0" w:rsidRPr="004C23F4" w14:paraId="2A0C13EF" w14:textId="77777777" w:rsidTr="00F77831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52DBB648" w:rsidR="007925F0" w:rsidRPr="00DD2F9B" w:rsidRDefault="00D90EBD" w:rsidP="00DD2F9B">
            <w:pPr>
              <w:pStyle w:val="Tablefont"/>
            </w:pPr>
            <w:r w:rsidRPr="00D90EBD">
              <w:t>—</w:t>
            </w:r>
          </w:p>
        </w:tc>
      </w:tr>
      <w:tr w:rsidR="00AF483F" w:rsidRPr="004C23F4" w14:paraId="4C1044B3" w14:textId="77777777" w:rsidTr="00F77831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1C29517B" w:rsidR="00AF483F" w:rsidRPr="00DD2F9B" w:rsidRDefault="00D90EBD" w:rsidP="00DD2F9B">
            <w:pPr>
              <w:pStyle w:val="Tablefont"/>
            </w:pPr>
            <w:r w:rsidRPr="00D90EBD">
              <w:t>—</w:t>
            </w:r>
          </w:p>
        </w:tc>
      </w:tr>
      <w:tr w:rsidR="00687890" w:rsidRPr="004C23F4" w14:paraId="7812F0EC" w14:textId="77777777" w:rsidTr="00F77831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ED0E2CB" w:rsidR="00687890" w:rsidRPr="00DD2F9B" w:rsidRDefault="00D90EB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F77831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63C0B16" w:rsidR="00E41A26" w:rsidRPr="00DD2F9B" w:rsidRDefault="00D90EBD" w:rsidP="00DD2F9B">
            <w:pPr>
              <w:pStyle w:val="Tablefont"/>
            </w:pPr>
            <w:r w:rsidRPr="00D90EBD">
              <w:t>—</w:t>
            </w:r>
          </w:p>
        </w:tc>
      </w:tr>
      <w:tr w:rsidR="002E0D61" w:rsidRPr="004C23F4" w14:paraId="57A490EF" w14:textId="77777777" w:rsidTr="00F77831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326B747" w:rsidR="002E0D61" w:rsidRPr="00DD2F9B" w:rsidRDefault="00D90EBD" w:rsidP="00DD2F9B">
            <w:pPr>
              <w:pStyle w:val="Tablefont"/>
            </w:pPr>
            <w:r w:rsidRPr="00D90EBD">
              <w:t>Carcinogenicity – A3</w:t>
            </w:r>
          </w:p>
        </w:tc>
      </w:tr>
      <w:tr w:rsidR="002E0D61" w:rsidRPr="004C23F4" w14:paraId="43FA3590" w14:textId="77777777" w:rsidTr="00F77831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2A6A0F0B" w:rsidR="002E0D61" w:rsidRPr="00DD2F9B" w:rsidRDefault="00D427B6" w:rsidP="00DD2F9B">
            <w:pPr>
              <w:pStyle w:val="Tablefont"/>
            </w:pPr>
            <w:r w:rsidRPr="00D427B6">
              <w:t>Carcinogenicity – 3B</w:t>
            </w:r>
            <w:r>
              <w:t xml:space="preserve">, </w:t>
            </w:r>
            <w:r w:rsidRPr="00D427B6">
              <w:t>H (skin)</w:t>
            </w:r>
          </w:p>
        </w:tc>
      </w:tr>
      <w:tr w:rsidR="002E0D61" w:rsidRPr="004C23F4" w14:paraId="2AC7B866" w14:textId="77777777" w:rsidTr="00F77831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370736A2" w14:textId="2BF6585B" w:rsidR="002E0D61" w:rsidRPr="00DD2F9B" w:rsidRDefault="00D427B6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BE6EC07" w14:textId="77777777" w:rsidTr="00F77831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A6371C8" w:rsidR="002E0D61" w:rsidRPr="00DD2F9B" w:rsidRDefault="00D427B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F77831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63F0CBB8" w:rsidR="00386093" w:rsidRPr="00DD2F9B" w:rsidRDefault="00D427B6" w:rsidP="00DD2F9B">
            <w:pPr>
              <w:pStyle w:val="Tablefont"/>
            </w:pPr>
            <w:r w:rsidRPr="00D427B6">
              <w:t>Carcinogenicity – Group 2B</w:t>
            </w:r>
          </w:p>
        </w:tc>
      </w:tr>
      <w:tr w:rsidR="00386093" w:rsidRPr="004C23F4" w14:paraId="7461DB0E" w14:textId="77777777" w:rsidTr="00F77831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AFC596E" w:rsidR="00386093" w:rsidRPr="00DD2F9B" w:rsidRDefault="00D427B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206" w:type="dxa"/>
              <w:tblLook w:val="04A0" w:firstRow="1" w:lastRow="0" w:firstColumn="1" w:lastColumn="0" w:noHBand="0" w:noVBand="1"/>
            </w:tblPr>
            <w:tblGrid>
              <w:gridCol w:w="3580"/>
              <w:gridCol w:w="1061"/>
              <w:gridCol w:w="1061"/>
              <w:gridCol w:w="3108"/>
            </w:tblGrid>
            <w:tr w:rsidR="00020826" w:rsidRPr="00020826" w14:paraId="080A885B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572FD9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D3507B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C349F4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F8C781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3A2F548A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1DB6D2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9FB4CC2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BCB0B3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D3B765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4AF9709A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CB0A79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5DA3B7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5E8290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C3BB69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76A60BBF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61AC65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1F8079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907D5F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267010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79D57777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D9AFE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CFDED0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3918D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13ACB5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04EE4B97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54F6A9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877090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F5FC82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E4E9E8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20826" w:rsidRPr="00020826" w14:paraId="5A734500" w14:textId="77777777" w:rsidTr="00020826">
              <w:trPr>
                <w:trHeight w:val="349"/>
              </w:trPr>
              <w:tc>
                <w:tcPr>
                  <w:tcW w:w="3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D69F52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AAE0DB" w14:textId="77777777" w:rsidR="00020826" w:rsidRPr="00020826" w:rsidRDefault="00020826" w:rsidP="0002082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812A1E" w14:textId="77777777" w:rsidR="00020826" w:rsidRPr="00020826" w:rsidRDefault="00020826" w:rsidP="0002082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39A4C7" w14:textId="77777777" w:rsidR="00020826" w:rsidRPr="00020826" w:rsidRDefault="00020826" w:rsidP="0002082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2082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1CC55749" w:rsidR="00EB3D1B" w:rsidRDefault="00D427B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2957EBF" w:rsidR="001B79E5" w:rsidRDefault="00D427B6" w:rsidP="001B79E5">
                <w:pPr>
                  <w:pStyle w:val="Tablefont"/>
                </w:pPr>
                <w:r w:rsidRPr="00D427B6">
                  <w:t>79.1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4EB2E5B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427B6">
                  <w:t>3.1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427B6">
                  <w:t>0.323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F7783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DE79D2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016C4875" w14:textId="77777777" w:rsidR="007F1005" w:rsidRDefault="006650FE" w:rsidP="00113E84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3F78A90" w:rsidR="008E4F1F" w:rsidRDefault="008E4F1F" w:rsidP="00113E84">
      <w:pPr>
        <w:keepNext/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427B6">
        <w:t>2009</w:t>
      </w:r>
      <w:r>
        <w:t xml:space="preserve">) </w:t>
      </w:r>
      <w:proofErr w:type="spellStart"/>
      <w:r w:rsidR="00D427B6" w:rsidRPr="00D427B6">
        <w:t>Pyridin</w:t>
      </w:r>
      <w:proofErr w:type="spellEnd"/>
      <w:r>
        <w:t xml:space="preserve"> – MAK value documentation.</w:t>
      </w:r>
    </w:p>
    <w:p w14:paraId="3A4FF805" w14:textId="7452EC37" w:rsidR="008E4F1F" w:rsidRDefault="008E4F1F" w:rsidP="00113E84">
      <w:pPr>
        <w:keepNext/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F56DC7" w:rsidRPr="00F56DC7">
        <w:t>2004</w:t>
      </w:r>
      <w:r>
        <w:t xml:space="preserve">) Recommendation from the Scientific Committee on Occupational Exposure Limits for </w:t>
      </w:r>
      <w:proofErr w:type="spellStart"/>
      <w:r w:rsidR="00F56DC7" w:rsidRPr="00F56DC7">
        <w:t>Pyridin</w:t>
      </w:r>
      <w:proofErr w:type="spellEnd"/>
      <w:r>
        <w:t>. SCOEL/</w:t>
      </w:r>
      <w:r w:rsidR="00F56DC7" w:rsidRPr="00F56DC7">
        <w:t>SUM/106</w:t>
      </w:r>
      <w:r>
        <w:t>.</w:t>
      </w:r>
    </w:p>
    <w:p w14:paraId="4D7F094F" w14:textId="43EF62FB" w:rsidR="008E4F1F" w:rsidRDefault="008E4F1F" w:rsidP="00113E84">
      <w:pPr>
        <w:keepNext/>
        <w:rPr>
          <w:b/>
        </w:rPr>
      </w:pPr>
      <w:r w:rsidRPr="002022B6">
        <w:t>International Agency for Research on Cancer</w:t>
      </w:r>
      <w:r>
        <w:t xml:space="preserve"> (IARC) (</w:t>
      </w:r>
      <w:r w:rsidR="00F56DC7" w:rsidRPr="00F56DC7">
        <w:t>2019</w:t>
      </w:r>
      <w:r>
        <w:t xml:space="preserve">) </w:t>
      </w:r>
      <w:r w:rsidR="00F56DC7" w:rsidRPr="00F56DC7">
        <w:t>Pyridine</w:t>
      </w:r>
      <w:r>
        <w:t>. IARC Monographs on the evaluation of the carcinogenic risk to humans.</w:t>
      </w:r>
    </w:p>
    <w:p w14:paraId="1D94FE62" w14:textId="3D98DF6D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F56DC7" w:rsidRPr="00F56DC7">
        <w:t>2015</w:t>
      </w:r>
      <w:r>
        <w:t xml:space="preserve">) </w:t>
      </w:r>
      <w:r w:rsidR="00F56DC7" w:rsidRPr="00F56DC7">
        <w:t>Pyridine</w:t>
      </w:r>
      <w:r w:rsidRPr="0071660C">
        <w:t xml:space="preserve">: Human health </w:t>
      </w:r>
      <w:r w:rsidR="00F56DC7" w:rsidRPr="00F56DC7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77EFB18B" w14:textId="4D85E830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F56DC7" w:rsidRPr="00F56DC7">
        <w:t>1994</w:t>
      </w:r>
      <w:r>
        <w:t xml:space="preserve">) Immediately dangerous to life or health concentrations – </w:t>
      </w:r>
      <w:r w:rsidR="00F56DC7" w:rsidRPr="00F56DC7">
        <w:t>Pyridine</w:t>
      </w:r>
      <w:r>
        <w:t>.</w:t>
      </w:r>
    </w:p>
    <w:p w14:paraId="417B0753" w14:textId="594F71FE" w:rsidR="008E4F1F" w:rsidRPr="00351FE0" w:rsidRDefault="00113E84" w:rsidP="00113E84">
      <w:pPr>
        <w:tabs>
          <w:tab w:val="left" w:pos="7230"/>
        </w:tabs>
      </w:pPr>
      <w:r>
        <w:tab/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9B3F" w14:textId="77777777" w:rsidR="00814B90" w:rsidRDefault="00814B90" w:rsidP="00F43AD5">
      <w:pPr>
        <w:spacing w:after="0" w:line="240" w:lineRule="auto"/>
      </w:pPr>
      <w:r>
        <w:separator/>
      </w:r>
    </w:p>
  </w:endnote>
  <w:endnote w:type="continuationSeparator" w:id="0">
    <w:p w14:paraId="404833CF" w14:textId="77777777" w:rsidR="00814B90" w:rsidRDefault="00814B9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D7E7" w14:textId="77777777" w:rsidR="00E50F4E" w:rsidRDefault="00E50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38D3861" w:rsidR="008A36CF" w:rsidRDefault="00192617" w:rsidP="0034744C">
        <w:pPr>
          <w:pStyle w:val="Footer"/>
          <w:rPr>
            <w:sz w:val="18"/>
            <w:szCs w:val="18"/>
          </w:rPr>
        </w:pPr>
        <w:r w:rsidRPr="00192617">
          <w:rPr>
            <w:b/>
            <w:sz w:val="18"/>
            <w:szCs w:val="18"/>
          </w:rPr>
          <w:t>Pyridine</w:t>
        </w:r>
        <w:r w:rsidR="008A36CF">
          <w:rPr>
            <w:b/>
            <w:sz w:val="18"/>
            <w:szCs w:val="18"/>
          </w:rPr>
          <w:t xml:space="preserve"> (</w:t>
        </w:r>
        <w:r w:rsidR="004943FB" w:rsidRPr="004943FB">
          <w:rPr>
            <w:b/>
            <w:sz w:val="18"/>
            <w:szCs w:val="18"/>
          </w:rPr>
          <w:t>110-86-1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113E84">
          <w:rPr>
            <w:sz w:val="18"/>
            <w:szCs w:val="18"/>
          </w:rPr>
          <w:t>2020</w:t>
        </w:r>
      </w:p>
      <w:p w14:paraId="2D517F5E" w14:textId="1280597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C3A2B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1077" w14:textId="77777777" w:rsidR="00E50F4E" w:rsidRDefault="00E50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C7CF" w14:textId="77777777" w:rsidR="00814B90" w:rsidRDefault="00814B90" w:rsidP="00F43AD5">
      <w:pPr>
        <w:spacing w:after="0" w:line="240" w:lineRule="auto"/>
      </w:pPr>
      <w:r>
        <w:separator/>
      </w:r>
    </w:p>
  </w:footnote>
  <w:footnote w:type="continuationSeparator" w:id="0">
    <w:p w14:paraId="3D919228" w14:textId="77777777" w:rsidR="00814B90" w:rsidRDefault="00814B9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3017" w14:textId="77777777" w:rsidR="00E50F4E" w:rsidRDefault="00E50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0997" w14:textId="368DA83C" w:rsidR="00F77831" w:rsidRDefault="00F77831" w:rsidP="00F77831">
    <w:pPr>
      <w:pStyle w:val="Header"/>
      <w:jc w:val="right"/>
    </w:pPr>
    <w:r>
      <w:pict w14:anchorId="282A0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F10D84E" wp14:editId="2A4F12B6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60FB6A4D" w:rsidR="008A36CF" w:rsidRPr="00F77831" w:rsidRDefault="008A36CF" w:rsidP="00F77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FC94" w14:textId="77777777" w:rsidR="00E50F4E" w:rsidRDefault="00E50F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8578" w14:textId="4B1A6086" w:rsidR="00F77831" w:rsidRDefault="00F77831" w:rsidP="00F77831">
    <w:pPr>
      <w:pStyle w:val="Header"/>
      <w:jc w:val="right"/>
    </w:pPr>
    <w:r>
      <w:pict w14:anchorId="7AD75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2ED1EE8" wp14:editId="5EB46F30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77831">
    <w:pPr>
      <w:pStyle w:val="Header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F00D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3529F7"/>
    <w:multiLevelType w:val="hybridMultilevel"/>
    <w:tmpl w:val="465CB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278"/>
    <w:rsid w:val="00014C3F"/>
    <w:rsid w:val="0001728B"/>
    <w:rsid w:val="00017C82"/>
    <w:rsid w:val="00020826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566C"/>
    <w:rsid w:val="00106FAA"/>
    <w:rsid w:val="00113443"/>
    <w:rsid w:val="00113E84"/>
    <w:rsid w:val="001269A7"/>
    <w:rsid w:val="00131092"/>
    <w:rsid w:val="00134080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2617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2F93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1C7E"/>
    <w:rsid w:val="002B1A2C"/>
    <w:rsid w:val="002C20D8"/>
    <w:rsid w:val="002C34F2"/>
    <w:rsid w:val="002C58FF"/>
    <w:rsid w:val="002C7AFE"/>
    <w:rsid w:val="002D05D2"/>
    <w:rsid w:val="002E0D61"/>
    <w:rsid w:val="002E4C7B"/>
    <w:rsid w:val="002E6CB0"/>
    <w:rsid w:val="00305341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2037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A0D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43FB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507A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4A2B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544D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6EA"/>
    <w:rsid w:val="00717D45"/>
    <w:rsid w:val="007208F7"/>
    <w:rsid w:val="007218AF"/>
    <w:rsid w:val="00735293"/>
    <w:rsid w:val="007365D1"/>
    <w:rsid w:val="00740E0E"/>
    <w:rsid w:val="00750212"/>
    <w:rsid w:val="00754779"/>
    <w:rsid w:val="0075716D"/>
    <w:rsid w:val="00765F14"/>
    <w:rsid w:val="007679E1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3A2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4B90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3B76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933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0C16"/>
    <w:rsid w:val="00A633D4"/>
    <w:rsid w:val="00A6461A"/>
    <w:rsid w:val="00A84504"/>
    <w:rsid w:val="00A8672F"/>
    <w:rsid w:val="00A91EBA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4BE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13D7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0414"/>
    <w:rsid w:val="00D427B6"/>
    <w:rsid w:val="00D44C89"/>
    <w:rsid w:val="00D516CD"/>
    <w:rsid w:val="00D556FB"/>
    <w:rsid w:val="00D668E6"/>
    <w:rsid w:val="00D70670"/>
    <w:rsid w:val="00D74D80"/>
    <w:rsid w:val="00D76624"/>
    <w:rsid w:val="00D87570"/>
    <w:rsid w:val="00D90EBD"/>
    <w:rsid w:val="00D91CB9"/>
    <w:rsid w:val="00D92C3E"/>
    <w:rsid w:val="00D97989"/>
    <w:rsid w:val="00D97D8D"/>
    <w:rsid w:val="00DA352E"/>
    <w:rsid w:val="00DC7694"/>
    <w:rsid w:val="00DD1BF6"/>
    <w:rsid w:val="00DD2F9B"/>
    <w:rsid w:val="00DE2513"/>
    <w:rsid w:val="00DE26E8"/>
    <w:rsid w:val="00DE79D2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0F4E"/>
    <w:rsid w:val="00E51CAF"/>
    <w:rsid w:val="00E52E7A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37FB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C7"/>
    <w:rsid w:val="00F56DD0"/>
    <w:rsid w:val="00F6491C"/>
    <w:rsid w:val="00F67BBB"/>
    <w:rsid w:val="00F77831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D556FB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113E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03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03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03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C656D"/>
    <w:rsid w:val="00110D93"/>
    <w:rsid w:val="00347D16"/>
    <w:rsid w:val="003E0149"/>
    <w:rsid w:val="00755FBF"/>
    <w:rsid w:val="00CA72D3"/>
    <w:rsid w:val="00D21A9F"/>
    <w:rsid w:val="00F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411CB820F4914F86B7F3EF71D4B76973">
    <w:name w:val="411CB820F4914F86B7F3EF71D4B76973"/>
    <w:rsid w:val="000C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F1BB-BCBE-42C9-970D-FB91D71D581A}">
  <ds:schemaRefs>
    <ds:schemaRef ds:uri="http://www.w3.org/XML/1998/namespace"/>
    <ds:schemaRef ds:uri="http://purl.org/dc/dcmitype/"/>
    <ds:schemaRef ds:uri="http://schemas.microsoft.com/office/2006/metadata/properties"/>
    <ds:schemaRef ds:uri="bf54d604-3e62-4e70-ba33-9e9084b96a6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55D3E7-5F4B-4692-8016-28BD97B70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D4FF0-45EA-43F7-82CD-E4C92BCB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BE46F-20FD-491D-8FC4-38784BC3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2020-02-17T00:26:00Z</dcterms:created>
  <dcterms:modified xsi:type="dcterms:W3CDTF">2020-06-19T00:43:00Z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