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20BD0033" w:rsidR="00BD499F" w:rsidRPr="004C23F4" w:rsidRDefault="00A8701C" w:rsidP="00B40C60">
          <w:pPr>
            <w:pStyle w:val="Heading1"/>
            <w:jc w:val="center"/>
            <w:rPr>
              <w:rFonts w:ascii="Arial" w:hAnsi="Arial" w:cs="Arial"/>
            </w:rPr>
          </w:pPr>
          <w:r w:rsidRPr="00A8701C">
            <w:rPr>
              <w:rFonts w:ascii="Arial" w:hAnsi="Arial" w:cs="Arial"/>
            </w:rPr>
            <w:t>Quinone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189D6E38" w14:textId="77777777" w:rsidTr="00B76A41">
        <w:trPr>
          <w:cantSplit/>
          <w:tblHeader/>
        </w:trPr>
        <w:tc>
          <w:tcPr>
            <w:tcW w:w="407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EDBFD9E" w14:textId="63B32BA1" w:rsidR="00F43AD5" w:rsidRPr="00717D45" w:rsidRDefault="00ED3B18" w:rsidP="00B76A41">
            <w:pPr>
              <w:pStyle w:val="Tablefont"/>
            </w:pPr>
            <w:r w:rsidRPr="00ED3B18">
              <w:t>106-51-4</w:t>
            </w:r>
          </w:p>
        </w:tc>
      </w:tr>
      <w:tr w:rsidR="00F43AD5" w:rsidRPr="004C23F4" w14:paraId="562A9F51" w14:textId="77777777" w:rsidTr="00B76A41">
        <w:trPr>
          <w:cantSplit/>
        </w:trPr>
        <w:tc>
          <w:tcPr>
            <w:tcW w:w="407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2648AB9" w14:textId="11A1495D" w:rsidR="00F43AD5" w:rsidRPr="00717D45" w:rsidRDefault="00ED3B18" w:rsidP="00B76A41">
            <w:pPr>
              <w:pStyle w:val="Tablefont"/>
            </w:pPr>
            <w:r>
              <w:t>p-Benzoquinone, p-Quinone</w:t>
            </w:r>
          </w:p>
        </w:tc>
      </w:tr>
      <w:tr w:rsidR="00F43AD5" w:rsidRPr="004C23F4" w14:paraId="6EE54A08" w14:textId="77777777" w:rsidTr="00B76A41">
        <w:trPr>
          <w:cantSplit/>
        </w:trPr>
        <w:tc>
          <w:tcPr>
            <w:tcW w:w="407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9369B00" w14:textId="5FFE800B" w:rsidR="00F43AD5" w:rsidRPr="00717D45" w:rsidRDefault="00ED3B18" w:rsidP="00B76A41">
            <w:pPr>
              <w:pStyle w:val="Tablefont"/>
            </w:pPr>
            <w:r>
              <w:t>C</w:t>
            </w:r>
            <w:r w:rsidRPr="00ED3B18">
              <w:rPr>
                <w:vertAlign w:val="subscript"/>
              </w:rPr>
              <w:t>6</w:t>
            </w:r>
            <w:r>
              <w:t>H</w:t>
            </w:r>
            <w:r w:rsidRPr="00ED3B18">
              <w:rPr>
                <w:vertAlign w:val="subscript"/>
              </w:rPr>
              <w:t>4</w:t>
            </w:r>
            <w:r>
              <w:t>O</w:t>
            </w:r>
            <w:r w:rsidRPr="00ED3B18">
              <w:rPr>
                <w:vertAlign w:val="subscript"/>
              </w:rPr>
              <w:t>2</w:t>
            </w:r>
          </w:p>
        </w:tc>
      </w:tr>
      <w:tr w:rsidR="00F43AD5" w:rsidRPr="004C23F4" w14:paraId="7AD5A991" w14:textId="77777777" w:rsidTr="00B76A41">
        <w:trPr>
          <w:cantSplit/>
        </w:trPr>
        <w:tc>
          <w:tcPr>
            <w:tcW w:w="4077" w:type="dxa"/>
          </w:tcPr>
          <w:p w14:paraId="6D55F87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62A9653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1D72173" w14:textId="13AB9BA5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0D0D86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316BC44D" w:rsidR="002C7AFE" w:rsidRPr="00EB3D1B" w:rsidRDefault="0057627E" w:rsidP="00017C82">
            <w:pPr>
              <w:pStyle w:val="Tablefont"/>
              <w:rPr>
                <w:b/>
              </w:rPr>
            </w:pPr>
            <w:r w:rsidRPr="0057627E">
              <w:rPr>
                <w:b/>
              </w:rPr>
              <w:t>TWA: 0.1 ppm (0.44 mg/m</w:t>
            </w:r>
            <w:r w:rsidRPr="0057627E">
              <w:rPr>
                <w:b/>
                <w:vertAlign w:val="superscript"/>
              </w:rPr>
              <w:t>3</w:t>
            </w:r>
            <w:r w:rsidRPr="0057627E">
              <w:rPr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64B0CE5" w:rsidR="00037E52" w:rsidRPr="00EB3D1B" w:rsidRDefault="00ED3B18" w:rsidP="00037E52">
            <w:pPr>
              <w:pStyle w:val="Tablefont"/>
              <w:rPr>
                <w:b/>
              </w:rPr>
            </w:pPr>
            <w:r w:rsidRPr="00ED3B18">
              <w:rPr>
                <w:b/>
              </w:rPr>
              <w:t>100 mg/m</w:t>
            </w:r>
            <w:r w:rsidRPr="00ED3B18">
              <w:rPr>
                <w:b/>
                <w:vertAlign w:val="superscript"/>
              </w:rPr>
              <w:t>3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09999B26" w:rsidR="00155999" w:rsidRPr="00EB3D1B" w:rsidRDefault="00155999" w:rsidP="00037E52">
            <w:pPr>
              <w:pStyle w:val="Tablefont"/>
              <w:rPr>
                <w:b/>
              </w:rPr>
            </w:pPr>
            <w:r w:rsidRPr="009A1DAA">
              <w:rPr>
                <w:b/>
              </w:rPr>
              <w:t>Sampling and analysis:</w:t>
            </w:r>
            <w:r w:rsidRPr="009A1DAA">
              <w:rPr>
                <w:rStyle w:val="WESstatus"/>
                <w:b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8012A9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4F3968A" w14:textId="14C815BD" w:rsidR="005F39F2" w:rsidRDefault="005F39F2" w:rsidP="005F39F2">
      <w:pPr>
        <w:rPr>
          <w:rFonts w:cs="Arial"/>
        </w:rPr>
      </w:pPr>
      <w:r w:rsidRPr="00D078DB">
        <w:rPr>
          <w:rFonts w:cs="Arial"/>
        </w:rPr>
        <w:t xml:space="preserve">A TWA </w:t>
      </w:r>
      <w:r w:rsidRPr="005F39F2">
        <w:rPr>
          <w:rFonts w:cs="Arial"/>
        </w:rPr>
        <w:t xml:space="preserve">of </w:t>
      </w:r>
      <w:r w:rsidRPr="005F39F2">
        <w:t>0.1 ppm (0.44 mg/m</w:t>
      </w:r>
      <w:r w:rsidRPr="005F39F2">
        <w:rPr>
          <w:vertAlign w:val="superscript"/>
        </w:rPr>
        <w:t>3</w:t>
      </w:r>
      <w:r w:rsidRPr="005F39F2">
        <w:t>)</w:t>
      </w:r>
      <w:r>
        <w:t xml:space="preserve"> </w:t>
      </w:r>
      <w:r w:rsidRPr="00D078DB">
        <w:rPr>
          <w:rFonts w:cs="Arial"/>
        </w:rPr>
        <w:t xml:space="preserve">is </w:t>
      </w:r>
      <w:r>
        <w:rPr>
          <w:rFonts w:cs="Arial"/>
        </w:rPr>
        <w:t>recommended</w:t>
      </w:r>
      <w:r w:rsidRPr="00D078DB">
        <w:rPr>
          <w:rFonts w:cs="Arial"/>
        </w:rPr>
        <w:t xml:space="preserve"> to protect for </w:t>
      </w:r>
      <w:r>
        <w:t xml:space="preserve">eye irritation and </w:t>
      </w:r>
      <w:r w:rsidR="002A53C7">
        <w:t xml:space="preserve">visual </w:t>
      </w:r>
      <w:r>
        <w:t>disturbances</w:t>
      </w:r>
      <w:r w:rsidRPr="00D078DB">
        <w:rPr>
          <w:rFonts w:cs="Arial"/>
        </w:rPr>
        <w:t xml:space="preserve"> in exposed workers</w:t>
      </w:r>
      <w:r>
        <w:rPr>
          <w:rFonts w:cs="Arial"/>
        </w:rPr>
        <w:t>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364111B" w14:textId="77777777" w:rsidR="001F3E91" w:rsidRDefault="0057627E" w:rsidP="0057627E">
      <w:pPr>
        <w:rPr>
          <w:rFonts w:cs="Arial"/>
        </w:rPr>
      </w:pPr>
      <w:r w:rsidRPr="0057627E">
        <w:rPr>
          <w:rFonts w:cs="Arial"/>
        </w:rPr>
        <w:t xml:space="preserve">Quinone </w:t>
      </w:r>
      <w:r>
        <w:rPr>
          <w:rFonts w:cs="Arial"/>
        </w:rPr>
        <w:t xml:space="preserve">is primarily used as </w:t>
      </w:r>
      <w:r w:rsidRPr="008F50A2">
        <w:rPr>
          <w:rFonts w:cs="Arial"/>
        </w:rPr>
        <w:t xml:space="preserve">an intermediate in the production of </w:t>
      </w:r>
      <w:r>
        <w:rPr>
          <w:rFonts w:cs="Arial"/>
        </w:rPr>
        <w:t xml:space="preserve">hydroquinone, dyes, fungicides, as an oxidising agent and as a photographic chemical. </w:t>
      </w:r>
    </w:p>
    <w:p w14:paraId="3536D414" w14:textId="77777777" w:rsidR="00F96513" w:rsidRDefault="0057627E" w:rsidP="0057627E">
      <w:pPr>
        <w:rPr>
          <w:rFonts w:cs="Arial"/>
        </w:rPr>
      </w:pPr>
      <w:r>
        <w:rPr>
          <w:rFonts w:cs="Arial"/>
        </w:rPr>
        <w:t>C</w:t>
      </w:r>
      <w:r w:rsidRPr="00612AF7">
        <w:rPr>
          <w:rFonts w:cs="Arial"/>
        </w:rPr>
        <w:t xml:space="preserve">ritical effects </w:t>
      </w:r>
      <w:r w:rsidR="008012A9">
        <w:rPr>
          <w:rFonts w:cs="Arial"/>
        </w:rPr>
        <w:t xml:space="preserve">of exposure </w:t>
      </w:r>
      <w:r w:rsidRPr="00612AF7">
        <w:rPr>
          <w:rFonts w:cs="Arial"/>
        </w:rPr>
        <w:t xml:space="preserve">are </w:t>
      </w:r>
      <w:r w:rsidR="005F39F2">
        <w:t>eye irritation and disturbances in vision</w:t>
      </w:r>
      <w:r w:rsidRPr="006B6FB8">
        <w:rPr>
          <w:rFonts w:cs="Arial"/>
        </w:rPr>
        <w:t>.</w:t>
      </w:r>
      <w:r w:rsidR="001F3E91">
        <w:rPr>
          <w:rFonts w:cs="Arial"/>
        </w:rPr>
        <w:t xml:space="preserve"> </w:t>
      </w:r>
    </w:p>
    <w:p w14:paraId="0B16CB95" w14:textId="4E2EC51F" w:rsidR="005F39F2" w:rsidRDefault="00F96513" w:rsidP="0057627E">
      <w:r>
        <w:t xml:space="preserve">No chronic exposure data are available. </w:t>
      </w:r>
      <w:r w:rsidR="005F39F2">
        <w:t>ACGIH (2018) set a TLV-TWA of 0.1 ppm b</w:t>
      </w:r>
      <w:r w:rsidR="005F39F2" w:rsidRPr="005F39F2">
        <w:t xml:space="preserve">ased on </w:t>
      </w:r>
      <w:r w:rsidR="005F39F2">
        <w:t>multiple clinical and environmental</w:t>
      </w:r>
      <w:r w:rsidR="005F39F2" w:rsidRPr="005F39F2">
        <w:t xml:space="preserve"> studies</w:t>
      </w:r>
      <w:r w:rsidR="005F39F2">
        <w:t xml:space="preserve"> </w:t>
      </w:r>
      <w:r w:rsidR="008012A9">
        <w:t xml:space="preserve">(limited detail) </w:t>
      </w:r>
      <w:r w:rsidR="005F39F2">
        <w:t>with</w:t>
      </w:r>
      <w:r w:rsidR="005F39F2" w:rsidRPr="005F39F2">
        <w:t xml:space="preserve"> no systemic effects aris</w:t>
      </w:r>
      <w:r w:rsidR="005F39F2">
        <w:t>ing</w:t>
      </w:r>
      <w:r w:rsidR="005F39F2" w:rsidRPr="005F39F2">
        <w:t xml:space="preserve"> from inhalation exposure at 0.1 ppm</w:t>
      </w:r>
      <w:r w:rsidR="001F3E91">
        <w:t>.</w:t>
      </w:r>
      <w:r w:rsidR="005F39F2" w:rsidRPr="005F39F2">
        <w:t xml:space="preserve"> </w:t>
      </w:r>
      <w:r w:rsidR="001F3E91">
        <w:t>L</w:t>
      </w:r>
      <w:r w:rsidR="005F39F2" w:rsidRPr="005F39F2">
        <w:t>ocalised effects</w:t>
      </w:r>
      <w:r w:rsidR="005F39F2">
        <w:t xml:space="preserve"> are</w:t>
      </w:r>
      <w:r w:rsidR="005F39F2" w:rsidRPr="005F39F2">
        <w:t xml:space="preserve"> limited to mild ocular irritation</w:t>
      </w:r>
      <w:r w:rsidR="005F39F2">
        <w:t xml:space="preserve">. </w:t>
      </w:r>
      <w:r w:rsidR="005F39F2" w:rsidRPr="005F39F2">
        <w:t xml:space="preserve">Exposure </w:t>
      </w:r>
      <w:r w:rsidR="001F3E91">
        <w:t xml:space="preserve">of rats </w:t>
      </w:r>
      <w:r w:rsidR="005F39F2" w:rsidRPr="005F39F2">
        <w:t>at 0.6</w:t>
      </w:r>
      <w:r w:rsidR="005F39F2">
        <w:t xml:space="preserve"> to 0</w:t>
      </w:r>
      <w:r w:rsidR="005F39F2" w:rsidRPr="005F39F2">
        <w:t xml:space="preserve">.8 ppm </w:t>
      </w:r>
      <w:r w:rsidR="005F39F2">
        <w:t xml:space="preserve">for four hours a day over four months resulted in </w:t>
      </w:r>
      <w:r w:rsidR="005F39F2" w:rsidRPr="005F39F2">
        <w:t>weight loss, fatigue, transient anaemia and thrombopenia</w:t>
      </w:r>
      <w:r w:rsidR="005F39F2">
        <w:t xml:space="preserve"> (DFG</w:t>
      </w:r>
      <w:r w:rsidR="00972F67">
        <w:t>,</w:t>
      </w:r>
      <w:r w:rsidR="005F39F2">
        <w:t xml:space="preserve"> 2000).</w:t>
      </w:r>
      <w:r w:rsidR="00D402FB">
        <w:t xml:space="preserve"> </w:t>
      </w:r>
    </w:p>
    <w:p w14:paraId="7B08F961" w14:textId="06AB5CA6" w:rsidR="0057627E" w:rsidRPr="004C23F4" w:rsidRDefault="000D0D86" w:rsidP="0057627E">
      <w:pPr>
        <w:rPr>
          <w:rFonts w:cs="Arial"/>
        </w:rPr>
      </w:pPr>
      <w:r>
        <w:rPr>
          <w:rFonts w:cs="Arial"/>
        </w:rPr>
        <w:t>T</w:t>
      </w:r>
      <w:r w:rsidR="0057627E" w:rsidRPr="00D261A4">
        <w:rPr>
          <w:rFonts w:cs="Arial"/>
        </w:rPr>
        <w:t xml:space="preserve">he </w:t>
      </w:r>
      <w:r w:rsidR="00F96513">
        <w:rPr>
          <w:rFonts w:cs="Arial"/>
        </w:rPr>
        <w:t xml:space="preserve">SWA </w:t>
      </w:r>
      <w:r w:rsidR="0057627E" w:rsidRPr="00D261A4">
        <w:rPr>
          <w:rFonts w:cs="Arial"/>
        </w:rPr>
        <w:t xml:space="preserve">TWA of </w:t>
      </w:r>
      <w:r w:rsidR="005F39F2">
        <w:rPr>
          <w:rFonts w:cs="Arial"/>
        </w:rPr>
        <w:t>0.1</w:t>
      </w:r>
      <w:r w:rsidR="0057627E" w:rsidRPr="00D261A4">
        <w:rPr>
          <w:rFonts w:cs="Arial"/>
        </w:rPr>
        <w:t xml:space="preserve"> </w:t>
      </w:r>
      <w:r w:rsidR="0057627E" w:rsidRPr="000D0D86">
        <w:rPr>
          <w:rFonts w:cs="Arial"/>
        </w:rPr>
        <w:t>ppm</w:t>
      </w:r>
      <w:r w:rsidRPr="00D402FB">
        <w:rPr>
          <w:rFonts w:cs="Arial"/>
        </w:rPr>
        <w:t xml:space="preserve"> </w:t>
      </w:r>
      <w:r w:rsidR="0057627E" w:rsidRPr="000D0D86">
        <w:rPr>
          <w:rFonts w:cs="Arial"/>
        </w:rPr>
        <w:t>is</w:t>
      </w:r>
      <w:r w:rsidR="0057627E" w:rsidRPr="00D261A4">
        <w:rPr>
          <w:rFonts w:cs="Arial"/>
        </w:rPr>
        <w:t xml:space="preserve"> recommended to be retained</w:t>
      </w:r>
      <w:r w:rsidR="00F96513">
        <w:rPr>
          <w:rFonts w:cs="Arial"/>
        </w:rPr>
        <w:t>,</w:t>
      </w:r>
      <w:r w:rsidR="00D402FB">
        <w:rPr>
          <w:rFonts w:cs="Arial"/>
        </w:rPr>
        <w:t xml:space="preserve"> as</w:t>
      </w:r>
      <w:r w:rsidR="0057627E" w:rsidRPr="00D261A4">
        <w:rPr>
          <w:rFonts w:cs="Arial"/>
        </w:rPr>
        <w:t xml:space="preserve"> </w:t>
      </w:r>
      <w:r w:rsidR="00F96513">
        <w:rPr>
          <w:rFonts w:cs="Arial"/>
        </w:rPr>
        <w:t>assigned</w:t>
      </w:r>
      <w:r w:rsidR="00D402FB" w:rsidRPr="00D261A4">
        <w:rPr>
          <w:rFonts w:cs="Arial"/>
        </w:rPr>
        <w:t xml:space="preserve"> by ACGIH</w:t>
      </w:r>
      <w:r w:rsidR="00D402FB">
        <w:rPr>
          <w:rFonts w:cs="Arial"/>
        </w:rPr>
        <w:t xml:space="preserve"> (2018)</w:t>
      </w:r>
      <w:r w:rsidR="00F96513">
        <w:rPr>
          <w:rFonts w:cs="Arial"/>
        </w:rPr>
        <w:t>. The recommended TWA</w:t>
      </w:r>
      <w:r w:rsidR="00D402FB">
        <w:rPr>
          <w:rFonts w:cs="Arial"/>
        </w:rPr>
        <w:t xml:space="preserve"> is considered </w:t>
      </w:r>
      <w:r w:rsidR="00F96513">
        <w:rPr>
          <w:rFonts w:cs="Arial"/>
        </w:rPr>
        <w:t xml:space="preserve">to </w:t>
      </w:r>
      <w:r w:rsidR="00D402FB">
        <w:rPr>
          <w:rFonts w:cs="Arial"/>
        </w:rPr>
        <w:t xml:space="preserve">protect for </w:t>
      </w:r>
      <w:r w:rsidR="00D402FB">
        <w:t>eye irritation and visual disturbances</w:t>
      </w:r>
      <w:r w:rsidR="00D402FB">
        <w:rPr>
          <w:rFonts w:cs="Arial"/>
        </w:rPr>
        <w:t xml:space="preserve">. 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57627E" w:rsidRDefault="008E4F1F" w:rsidP="008E4F1F">
      <w:pPr>
        <w:rPr>
          <w:rFonts w:cs="Arial"/>
        </w:rPr>
      </w:pPr>
      <w:r w:rsidRPr="0057627E">
        <w:rPr>
          <w:rFonts w:cs="Arial"/>
        </w:rPr>
        <w:t>Not classified as a carcinogen according to the Globally Harmonized System of</w:t>
      </w:r>
      <w:r w:rsidR="00155999" w:rsidRPr="0057627E">
        <w:rPr>
          <w:rFonts w:cs="Arial"/>
        </w:rPr>
        <w:t xml:space="preserve"> Classification and Labelling of</w:t>
      </w:r>
      <w:r w:rsidRPr="0057627E">
        <w:rPr>
          <w:rFonts w:cs="Arial"/>
        </w:rPr>
        <w:t xml:space="preserve"> Chemicals (GHS). </w:t>
      </w:r>
    </w:p>
    <w:p w14:paraId="03916CCC" w14:textId="77777777" w:rsidR="008E4F1F" w:rsidRPr="0057627E" w:rsidRDefault="008E4F1F" w:rsidP="008E4F1F">
      <w:pPr>
        <w:rPr>
          <w:rFonts w:cs="Arial"/>
        </w:rPr>
      </w:pPr>
      <w:r w:rsidRPr="0057627E">
        <w:rPr>
          <w:rFonts w:cs="Arial"/>
        </w:rPr>
        <w:t xml:space="preserve">Not classified as a skin </w:t>
      </w:r>
      <w:r w:rsidR="00155999" w:rsidRPr="0057627E">
        <w:rPr>
          <w:rFonts w:cs="Arial"/>
        </w:rPr>
        <w:t xml:space="preserve">sensitiser </w:t>
      </w:r>
      <w:r w:rsidRPr="0057627E">
        <w:rPr>
          <w:rFonts w:cs="Arial"/>
        </w:rPr>
        <w:t>or respiratory sensitiser according to the GHS.</w:t>
      </w:r>
    </w:p>
    <w:p w14:paraId="7D0772D2" w14:textId="1510F03B" w:rsidR="004529F0" w:rsidRPr="004C23F4" w:rsidRDefault="008012A9" w:rsidP="008E4F1F">
      <w:pPr>
        <w:rPr>
          <w:rFonts w:cs="Arial"/>
        </w:rPr>
      </w:pPr>
      <w:r>
        <w:rPr>
          <w:rFonts w:cs="Arial"/>
        </w:rPr>
        <w:t>There are i</w:t>
      </w:r>
      <w:r w:rsidR="008E4F1F" w:rsidRPr="0057627E">
        <w:rPr>
          <w:rFonts w:cs="Arial"/>
        </w:rPr>
        <w:t xml:space="preserve">nsufficient </w:t>
      </w:r>
      <w:r>
        <w:rPr>
          <w:rFonts w:cs="Arial"/>
        </w:rPr>
        <w:t>data</w:t>
      </w:r>
      <w:r w:rsidRPr="0057627E">
        <w:rPr>
          <w:rFonts w:cs="Arial"/>
        </w:rPr>
        <w:t xml:space="preserve"> </w:t>
      </w:r>
      <w:r w:rsidR="008E4F1F" w:rsidRPr="0057627E">
        <w:rPr>
          <w:rFonts w:cs="Arial"/>
        </w:rPr>
        <w:t>to recommend a skin notation.</w:t>
      </w:r>
    </w:p>
    <w:p w14:paraId="21CCE2A5" w14:textId="77777777" w:rsidR="0025734A" w:rsidRPr="004C23F4" w:rsidRDefault="0025734A">
      <w:pPr>
        <w:rPr>
          <w:rFonts w:cs="Arial"/>
        </w:rPr>
      </w:pP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2950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2950AF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79D5FF39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D3B18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D3B18">
                  <w:t>TWA: 0.1 ppm (0.44 mg/m</w:t>
                </w:r>
                <w:r w:rsidR="00ED3B18" w:rsidRPr="00ED3B18">
                  <w:rPr>
                    <w:vertAlign w:val="superscript"/>
                  </w:rPr>
                  <w:t>3</w:t>
                </w:r>
                <w:r w:rsidR="00ED3B18">
                  <w:t>)</w:t>
                </w:r>
              </w:sdtContent>
            </w:sdt>
          </w:p>
        </w:tc>
      </w:tr>
      <w:tr w:rsidR="00C978F0" w:rsidRPr="00DA352E" w14:paraId="26087DDB" w14:textId="77777777" w:rsidTr="002950AF">
        <w:trPr>
          <w:gridAfter w:val="1"/>
          <w:wAfter w:w="8" w:type="pct"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2950A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6D15E67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D3B1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ED3B18">
                  <w:t>TLV-TWA: 0.1 ppm (0.44 mg/m</w:t>
                </w:r>
                <w:r w:rsidR="00ED3B18" w:rsidRPr="00ED3B18">
                  <w:rPr>
                    <w:vertAlign w:val="superscript"/>
                  </w:rPr>
                  <w:t>3</w:t>
                </w:r>
                <w:r w:rsidR="00ED3B18">
                  <w:t>)</w:t>
                </w:r>
              </w:sdtContent>
            </w:sdt>
          </w:p>
        </w:tc>
      </w:tr>
      <w:tr w:rsidR="00C978F0" w:rsidRPr="00DA352E" w14:paraId="418D532D" w14:textId="77777777" w:rsidTr="002950AF">
        <w:trPr>
          <w:gridAfter w:val="1"/>
          <w:wAfter w:w="8" w:type="pct"/>
        </w:trPr>
        <w:tc>
          <w:tcPr>
            <w:tcW w:w="4992" w:type="pct"/>
          </w:tcPr>
          <w:p w14:paraId="25DC1394" w14:textId="7DBE3FE1" w:rsidR="00E947B4" w:rsidRDefault="00E947B4" w:rsidP="00E947B4">
            <w:pPr>
              <w:pStyle w:val="Tabletextprimarysource"/>
            </w:pPr>
            <w:r>
              <w:t>TLV-TWA recommended to minimise the risk of eye irritation and disturbances in vision in exposed workers.</w:t>
            </w:r>
          </w:p>
          <w:p w14:paraId="06E7CB2B" w14:textId="77777777" w:rsidR="00E947B4" w:rsidRDefault="00E947B4" w:rsidP="00E947B4">
            <w:pPr>
              <w:pStyle w:val="Tabletextprimarysource"/>
            </w:pPr>
            <w:r>
              <w:t>Summary of data:</w:t>
            </w:r>
          </w:p>
          <w:p w14:paraId="578DE6F1" w14:textId="3FB8575C" w:rsidR="0057627E" w:rsidRPr="008F50A2" w:rsidRDefault="0057627E" w:rsidP="00E947B4">
            <w:pPr>
              <w:pStyle w:val="Tabletextprimarysource"/>
            </w:pPr>
            <w:r>
              <w:rPr>
                <w:rFonts w:cs="Arial"/>
              </w:rPr>
              <w:t>TLV-TWA is based on multiple studies with no systemic effects at 0.1 ppm</w:t>
            </w:r>
            <w:r w:rsidR="008012A9">
              <w:rPr>
                <w:rFonts w:cs="Arial"/>
              </w:rPr>
              <w:t xml:space="preserve"> (no further detail).</w:t>
            </w:r>
          </w:p>
          <w:p w14:paraId="49A2AD4A" w14:textId="77777777" w:rsidR="00E947B4" w:rsidRDefault="00E947B4" w:rsidP="00E947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7FDFF3C5" w14:textId="1DFC3FE9" w:rsidR="00E947B4" w:rsidRDefault="00E947B4" w:rsidP="00FF412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Occupational exposure to vapour combined with </w:t>
            </w:r>
            <w:r>
              <w:rPr>
                <w:rFonts w:cs="Arial"/>
              </w:rPr>
              <w:t>hydroquinone dust resulted in ocular injury from exposure durations greater than 5 yr, no systemic effects observed (no concentration noted)</w:t>
            </w:r>
          </w:p>
          <w:p w14:paraId="5C7DB61D" w14:textId="712C9F2A" w:rsidR="00E947B4" w:rsidRDefault="001F3E91" w:rsidP="00FF412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Skin</w:t>
            </w:r>
            <w:r w:rsidR="00E947B4">
              <w:t xml:space="preserve"> exposure symptoms include </w:t>
            </w:r>
            <w:r w:rsidR="00A7655A">
              <w:t>discoloration, severe irritation, erythema, swelling, papules and vesicle formation and necrosis</w:t>
            </w:r>
          </w:p>
          <w:p w14:paraId="486065B3" w14:textId="57E30013" w:rsidR="00E947B4" w:rsidRDefault="00A7655A" w:rsidP="00FF412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Vapour condensing on the eyes produces serious visual disturbance </w:t>
            </w:r>
            <w:r w:rsidR="001F3E91">
              <w:t>that</w:t>
            </w:r>
            <w:r>
              <w:t xml:space="preserve"> subside </w:t>
            </w:r>
            <w:r w:rsidR="009A1DAA">
              <w:t>upon</w:t>
            </w:r>
            <w:r>
              <w:t xml:space="preserve"> removal from exposure</w:t>
            </w:r>
          </w:p>
          <w:p w14:paraId="7E608AB4" w14:textId="3A86AF72" w:rsidR="00E947B4" w:rsidRDefault="00A7655A" w:rsidP="00FF412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Based on </w:t>
            </w:r>
            <w:r w:rsidR="005F39F2">
              <w:t>clinical and environmental</w:t>
            </w:r>
            <w:r>
              <w:t xml:space="preserve"> studies no systemic effects arise from inhalation exposure at 0.1 ppm</w:t>
            </w:r>
            <w:r w:rsidR="00EC3A2D">
              <w:t xml:space="preserve">, localised effects limited to mild ocular irritation </w:t>
            </w:r>
            <w:r>
              <w:t>(</w:t>
            </w:r>
            <w:r w:rsidR="008012A9">
              <w:t>no further information</w:t>
            </w:r>
            <w:r>
              <w:t>)</w:t>
            </w:r>
            <w:r w:rsidR="009A1DAA">
              <w:t>.</w:t>
            </w:r>
          </w:p>
          <w:p w14:paraId="58B60FC1" w14:textId="77777777" w:rsidR="00E947B4" w:rsidRDefault="00E947B4" w:rsidP="00E947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23AA6672" w14:textId="6F5A39BF" w:rsidR="00E947B4" w:rsidRDefault="00A7655A" w:rsidP="00FF412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57627E">
              <w:rPr>
                <w:vertAlign w:val="subscript"/>
              </w:rPr>
              <w:t>50</w:t>
            </w:r>
            <w:r>
              <w:t>: 130 mg/kg (rats, oral)</w:t>
            </w:r>
          </w:p>
          <w:p w14:paraId="7F7A3ABE" w14:textId="10BF7C8B" w:rsidR="00E947B4" w:rsidRDefault="007C3246" w:rsidP="00FF412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Oral and subcutaneous administration resulted in </w:t>
            </w:r>
            <w:r w:rsidR="00A7655A">
              <w:t>local irritation, clonic convulsions, respi</w:t>
            </w:r>
            <w:r>
              <w:t>ra</w:t>
            </w:r>
            <w:r w:rsidR="00A7655A">
              <w:t xml:space="preserve">tory difficulties, </w:t>
            </w:r>
            <w:r>
              <w:t>decreased blood pressure and death from medullary centre paralysis (unknown concentration and duration)</w:t>
            </w:r>
          </w:p>
          <w:p w14:paraId="1D198896" w14:textId="2C449CFA" w:rsidR="007C3246" w:rsidRDefault="007C3246" w:rsidP="00FF412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Chronic carcinogenicity studies </w:t>
            </w:r>
            <w:r w:rsidR="001074B2" w:rsidRPr="001F4D02">
              <w:rPr>
                <w:iCs/>
              </w:rPr>
              <w:t>by</w:t>
            </w:r>
            <w:r w:rsidR="001074B2">
              <w:t xml:space="preserve"> </w:t>
            </w:r>
            <w:r>
              <w:t>inhalation, dermal and subcutaneous routes insufficient to confirm carcinogenicity</w:t>
            </w:r>
            <w:r w:rsidR="009A1DAA">
              <w:t>.</w:t>
            </w:r>
          </w:p>
          <w:p w14:paraId="1FDA85B1" w14:textId="77777777" w:rsidR="000B6036" w:rsidRDefault="000B6036" w:rsidP="008400C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00890CF3" w14:textId="77777777" w:rsidR="00C978F0" w:rsidRDefault="008400CB" w:rsidP="008400C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Insufficient data to recommend a skin, sensitiser or carcinogen notation.</w:t>
            </w:r>
          </w:p>
          <w:p w14:paraId="0CE4D35D" w14:textId="3D79B106" w:rsidR="000B6036" w:rsidRPr="00DA352E" w:rsidRDefault="000B6036" w:rsidP="008400C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174F8B79" w14:textId="77777777" w:rsidTr="002950A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5D830A1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000B0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ED3B18">
                  <w:t>Not assigned</w:t>
                </w:r>
              </w:sdtContent>
            </w:sdt>
          </w:p>
        </w:tc>
      </w:tr>
      <w:tr w:rsidR="00C978F0" w:rsidRPr="00DA352E" w14:paraId="4433014F" w14:textId="77777777" w:rsidTr="002950AF">
        <w:trPr>
          <w:gridAfter w:val="1"/>
          <w:wAfter w:w="8" w:type="pct"/>
        </w:trPr>
        <w:tc>
          <w:tcPr>
            <w:tcW w:w="4992" w:type="pct"/>
          </w:tcPr>
          <w:p w14:paraId="651CC927" w14:textId="3F8A746A" w:rsidR="00C978F0" w:rsidRDefault="00EC3A2D" w:rsidP="003365A5">
            <w:pPr>
              <w:pStyle w:val="Tabletextprimarysource"/>
            </w:pPr>
            <w:r>
              <w:rPr>
                <w:rFonts w:cs="Arial"/>
                <w:color w:val="1C1D1E"/>
                <w:shd w:val="clear" w:color="auto" w:fill="FFFFFF"/>
              </w:rPr>
              <w:t>The previous MAK is suspended (no justification given)</w:t>
            </w:r>
            <w:r w:rsidR="008012A9">
              <w:rPr>
                <w:rFonts w:cs="Arial"/>
                <w:color w:val="1C1D1E"/>
                <w:shd w:val="clear" w:color="auto" w:fill="FFFFFF"/>
              </w:rPr>
              <w:t>.</w:t>
            </w:r>
          </w:p>
          <w:p w14:paraId="716DEBA7" w14:textId="65C478FB" w:rsidR="00632FE4" w:rsidRDefault="00632FE4" w:rsidP="00FF412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 w:rsidRPr="00632FE4">
              <w:rPr>
                <w:vertAlign w:val="subscript"/>
              </w:rPr>
              <w:t>50</w:t>
            </w:r>
            <w:r>
              <w:t>: 250 ppm (mice</w:t>
            </w:r>
            <w:r w:rsidR="001F3E91">
              <w:t>,</w:t>
            </w:r>
            <w:r>
              <w:t xml:space="preserve"> 2</w:t>
            </w:r>
            <w:r w:rsidR="009A1DAA">
              <w:t xml:space="preserve"> </w:t>
            </w:r>
            <w:r>
              <w:t>h</w:t>
            </w:r>
            <w:r w:rsidR="008012A9">
              <w:t>, inhalation</w:t>
            </w:r>
            <w:r>
              <w:t>)</w:t>
            </w:r>
          </w:p>
          <w:p w14:paraId="06B4781A" w14:textId="5934F6DD" w:rsidR="00632FE4" w:rsidRDefault="00632FE4" w:rsidP="00FF412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at 0.6</w:t>
            </w:r>
            <w:r w:rsidR="009A1DAA">
              <w:t>–</w:t>
            </w:r>
            <w:r>
              <w:t>0.8 ppm (rats, 4 h/d, 4 mo, inhalation) symptoms included w</w:t>
            </w:r>
            <w:r w:rsidRPr="00632FE4">
              <w:t>eight loss, fatigue, transient anaemia and thrombopenia</w:t>
            </w:r>
          </w:p>
          <w:p w14:paraId="338219B8" w14:textId="52260093" w:rsidR="001F3E91" w:rsidRDefault="00D641D4" w:rsidP="00FF412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at 2 mg/kg</w:t>
            </w:r>
            <w:r w:rsidR="001F3E91">
              <w:t>/d</w:t>
            </w:r>
            <w:r>
              <w:t xml:space="preserve"> (mice, 6 d/wk, 6 wk, oral) </w:t>
            </w:r>
            <w:r w:rsidR="00E41A27">
              <w:t xml:space="preserve">blood levels of erythrocytes and haemoglobin </w:t>
            </w:r>
            <w:r w:rsidR="00E41A27" w:rsidRPr="00D641D4">
              <w:t>significantly reduced</w:t>
            </w:r>
            <w:r w:rsidR="00F96513">
              <w:t>:</w:t>
            </w:r>
          </w:p>
          <w:p w14:paraId="5B3363AC" w14:textId="5FEF6063" w:rsidR="001F3E91" w:rsidRDefault="001F3E91" w:rsidP="00A41F31">
            <w:pPr>
              <w:pStyle w:val="ListBullet"/>
              <w:numPr>
                <w:ilvl w:val="0"/>
                <w:numId w:val="18"/>
              </w:numPr>
              <w:spacing w:before="60" w:after="60"/>
              <w:contextualSpacing w:val="0"/>
            </w:pPr>
            <w:r>
              <w:t>l</w:t>
            </w:r>
            <w:r w:rsidR="00E41A27">
              <w:rPr>
                <w:rFonts w:cs="Arial"/>
                <w:color w:val="1C1D1E"/>
                <w:shd w:val="clear" w:color="auto" w:fill="FFFFFF"/>
              </w:rPr>
              <w:t xml:space="preserve">ymphocytes, bone marrow cells </w:t>
            </w:r>
            <w:r w:rsidR="00D641D4" w:rsidRPr="00D641D4">
              <w:t>reduced</w:t>
            </w:r>
          </w:p>
          <w:p w14:paraId="0592DA53" w14:textId="7D51A993" w:rsidR="001F3E91" w:rsidRPr="00A41F31" w:rsidRDefault="001F3E91" w:rsidP="00A41F31">
            <w:pPr>
              <w:pStyle w:val="ListBullet"/>
              <w:numPr>
                <w:ilvl w:val="0"/>
                <w:numId w:val="18"/>
              </w:numPr>
              <w:spacing w:before="60" w:after="60"/>
              <w:contextualSpacing w:val="0"/>
            </w:pPr>
            <w:r>
              <w:t>g</w:t>
            </w:r>
            <w:r w:rsidR="00E41A27">
              <w:rPr>
                <w:rFonts w:cs="Arial"/>
                <w:color w:val="1C1D1E"/>
                <w:shd w:val="clear" w:color="auto" w:fill="FFFFFF"/>
              </w:rPr>
              <w:t>ranulocytes</w:t>
            </w:r>
            <w:r w:rsidR="001A0C75">
              <w:rPr>
                <w:rFonts w:cs="Arial"/>
                <w:color w:val="1C1D1E"/>
                <w:shd w:val="clear" w:color="auto" w:fill="FFFFFF"/>
              </w:rPr>
              <w:t>,</w:t>
            </w:r>
            <w:r w:rsidR="00E41A27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D641D4" w:rsidRPr="00E41A27">
              <w:rPr>
                <w:rFonts w:cs="Arial"/>
                <w:color w:val="1C1D1E"/>
                <w:shd w:val="clear" w:color="auto" w:fill="FFFFFF"/>
              </w:rPr>
              <w:t>relative organ weight</w:t>
            </w:r>
            <w:r w:rsidR="00E41A27">
              <w:rPr>
                <w:rFonts w:cs="Arial"/>
                <w:color w:val="1C1D1E"/>
                <w:shd w:val="clear" w:color="auto" w:fill="FFFFFF"/>
              </w:rPr>
              <w:t xml:space="preserve">s </w:t>
            </w:r>
            <w:r w:rsidR="00D641D4" w:rsidRPr="00E41A27">
              <w:rPr>
                <w:rFonts w:cs="Arial"/>
                <w:color w:val="1C1D1E"/>
                <w:shd w:val="clear" w:color="auto" w:fill="FFFFFF"/>
              </w:rPr>
              <w:t xml:space="preserve">of the spleen, </w:t>
            </w:r>
            <w:r w:rsidR="00E41A27">
              <w:rPr>
                <w:rFonts w:cs="Arial"/>
                <w:color w:val="1C1D1E"/>
                <w:shd w:val="clear" w:color="auto" w:fill="FFFFFF"/>
              </w:rPr>
              <w:t>abdominal,</w:t>
            </w:r>
            <w:r w:rsidR="00D641D4" w:rsidRPr="00E41A27">
              <w:rPr>
                <w:rFonts w:cs="Arial"/>
                <w:color w:val="1C1D1E"/>
                <w:shd w:val="clear" w:color="auto" w:fill="FFFFFF"/>
              </w:rPr>
              <w:t xml:space="preserve"> thoracic</w:t>
            </w:r>
            <w:r w:rsidR="00E41A27">
              <w:rPr>
                <w:rFonts w:cs="Arial"/>
                <w:color w:val="1C1D1E"/>
                <w:shd w:val="clear" w:color="auto" w:fill="FFFFFF"/>
              </w:rPr>
              <w:t>,</w:t>
            </w:r>
            <w:r w:rsidR="00D641D4" w:rsidRPr="00E41A27">
              <w:rPr>
                <w:rFonts w:cs="Arial"/>
                <w:color w:val="1C1D1E"/>
                <w:shd w:val="clear" w:color="auto" w:fill="FFFFFF"/>
              </w:rPr>
              <w:t xml:space="preserve"> lymph nodes significantly increased, thymus significantly reduced</w:t>
            </w:r>
          </w:p>
          <w:p w14:paraId="733B0CD7" w14:textId="40E37705" w:rsidR="001F3E91" w:rsidRPr="00A41F31" w:rsidRDefault="001F3E91" w:rsidP="00A41F31">
            <w:pPr>
              <w:pStyle w:val="ListBullet"/>
              <w:numPr>
                <w:ilvl w:val="0"/>
                <w:numId w:val="18"/>
              </w:numPr>
              <w:spacing w:before="60" w:after="60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h</w:t>
            </w:r>
            <w:r w:rsidR="00D641D4" w:rsidRPr="00E41A27">
              <w:rPr>
                <w:rFonts w:cs="Arial"/>
                <w:color w:val="1C1D1E"/>
                <w:shd w:val="clear" w:color="auto" w:fill="FFFFFF"/>
              </w:rPr>
              <w:t>istologically there was a loss of the cytoplasmic details of the hepatocytes in the liver, decrease in the size of the lymph follicles in the spleen and the lobules in the thyroid gland</w:t>
            </w:r>
          </w:p>
          <w:p w14:paraId="6C69CB65" w14:textId="7159D627" w:rsidR="001F3E91" w:rsidRPr="00A41F31" w:rsidRDefault="001F3E91" w:rsidP="00A41F31">
            <w:pPr>
              <w:pStyle w:val="ListBullet"/>
              <w:numPr>
                <w:ilvl w:val="0"/>
                <w:numId w:val="18"/>
              </w:numPr>
              <w:spacing w:before="60" w:after="60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h</w:t>
            </w:r>
            <w:r w:rsidR="00D641D4" w:rsidRPr="00E41A27">
              <w:rPr>
                <w:rFonts w:cs="Arial"/>
                <w:color w:val="1C1D1E"/>
                <w:shd w:val="clear" w:color="auto" w:fill="FFFFFF"/>
              </w:rPr>
              <w:t xml:space="preserve">yperplasia of the reticular cells particularly evident in the popliteal lymph </w:t>
            </w:r>
            <w:r w:rsidR="00D641D4" w:rsidRPr="00FF4128">
              <w:t>nodes</w:t>
            </w:r>
          </w:p>
          <w:p w14:paraId="0CDEE91A" w14:textId="2385A6AE" w:rsidR="00D641D4" w:rsidRPr="00E41A27" w:rsidRDefault="00D641D4" w:rsidP="00A41F31">
            <w:pPr>
              <w:pStyle w:val="ListBullet"/>
              <w:numPr>
                <w:ilvl w:val="0"/>
                <w:numId w:val="18"/>
              </w:numPr>
              <w:spacing w:before="60" w:after="60"/>
              <w:contextualSpacing w:val="0"/>
            </w:pPr>
            <w:r w:rsidRPr="00E41A27">
              <w:rPr>
                <w:rFonts w:cs="Arial"/>
                <w:color w:val="1C1D1E"/>
                <w:shd w:val="clear" w:color="auto" w:fill="FFFFFF"/>
              </w:rPr>
              <w:lastRenderedPageBreak/>
              <w:t>effects show similarities to those of benzene</w:t>
            </w:r>
          </w:p>
          <w:p w14:paraId="42A75E6A" w14:textId="59582B04" w:rsidR="00E41A27" w:rsidRPr="00E41A27" w:rsidRDefault="00E41A27" w:rsidP="00FF4128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Mutations, micronuclei formation, </w:t>
            </w:r>
            <w:r w:rsidR="001F3E91">
              <w:rPr>
                <w:rFonts w:cs="Arial"/>
                <w:color w:val="1C1D1E"/>
                <w:shd w:val="clear" w:color="auto" w:fill="FFFFFF"/>
              </w:rPr>
              <w:t>SCE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, DNA damage and DNA </w:t>
            </w:r>
            <w:r w:rsidRPr="00FF4128">
              <w:t>adducts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detected in mammalian cells </w:t>
            </w:r>
            <w:r w:rsidRPr="00A41F31">
              <w:rPr>
                <w:rFonts w:cs="Arial"/>
                <w:i/>
                <w:color w:val="1C1D1E"/>
                <w:shd w:val="clear" w:color="auto" w:fill="FFFFFF"/>
              </w:rPr>
              <w:t>in vitro</w:t>
            </w:r>
          </w:p>
          <w:p w14:paraId="0706B9DA" w14:textId="03D06FA5" w:rsidR="00E41A27" w:rsidRPr="00E41A27" w:rsidRDefault="00E41A27" w:rsidP="00FF4128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DNA adducts seen after </w:t>
            </w:r>
            <w:r w:rsidRPr="00FF4128">
              <w:rPr>
                <w:rFonts w:cs="Arial"/>
                <w:i/>
                <w:iCs/>
                <w:color w:val="1C1D1E"/>
                <w:shd w:val="clear" w:color="auto" w:fill="FFFFFF"/>
              </w:rPr>
              <w:t>in vitro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incubation in human bone marrow and in rat </w:t>
            </w:r>
            <w:r w:rsidRPr="00FF4128">
              <w:t>cymbals</w:t>
            </w:r>
          </w:p>
          <w:p w14:paraId="5B174370" w14:textId="5F47008E" w:rsidR="00E41A27" w:rsidRPr="00E41A27" w:rsidRDefault="00E41A27" w:rsidP="00FF4128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Inhibition of DNA and mRNA synthesis as well as </w:t>
            </w:r>
            <w:r w:rsidR="001074B2">
              <w:rPr>
                <w:rFonts w:cs="Arial"/>
                <w:color w:val="1C1D1E"/>
                <w:shd w:val="clear" w:color="auto" w:fill="FFFFFF"/>
              </w:rPr>
              <w:t>topoisomerase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II activity demonstrated </w:t>
            </w:r>
            <w:r w:rsidRPr="00FF4128">
              <w:rPr>
                <w:rFonts w:cs="Arial"/>
                <w:i/>
                <w:iCs/>
                <w:color w:val="1C1D1E"/>
                <w:shd w:val="clear" w:color="auto" w:fill="FFFFFF"/>
              </w:rPr>
              <w:t>in</w:t>
            </w:r>
            <w:r w:rsidR="00972F67">
              <w:rPr>
                <w:rFonts w:cs="Arial"/>
                <w:i/>
                <w:iCs/>
                <w:color w:val="1C1D1E"/>
                <w:shd w:val="clear" w:color="auto" w:fill="FFFFFF"/>
              </w:rPr>
              <w:t> </w:t>
            </w:r>
            <w:r w:rsidRPr="00FF4128">
              <w:rPr>
                <w:rFonts w:cs="Arial"/>
                <w:i/>
                <w:iCs/>
                <w:color w:val="1C1D1E"/>
                <w:shd w:val="clear" w:color="auto" w:fill="FFFFFF"/>
              </w:rPr>
              <w:t>vitro</w:t>
            </w:r>
          </w:p>
          <w:p w14:paraId="719BDBAA" w14:textId="77777777" w:rsidR="00E41A27" w:rsidRPr="00A41F31" w:rsidRDefault="00E41A27" w:rsidP="00FF4128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Increased </w:t>
            </w:r>
            <w:r w:rsidRPr="00FF4128">
              <w:t>micronuclei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formation in polychromatic bone marrow erythrocytes observed in mice.</w:t>
            </w:r>
          </w:p>
          <w:p w14:paraId="61A64F09" w14:textId="24371E8D" w:rsidR="000B6036" w:rsidRPr="00DA352E" w:rsidRDefault="000B6036" w:rsidP="00A41F31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0E6A0B2C" w14:textId="77777777" w:rsidTr="002950A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54D0F50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ED3B1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ED3B18">
                  <w:t>NA</w:t>
                </w:r>
              </w:sdtContent>
            </w:sdt>
          </w:p>
        </w:tc>
      </w:tr>
      <w:tr w:rsidR="00C978F0" w:rsidRPr="00DA352E" w14:paraId="2008D281" w14:textId="77777777" w:rsidTr="002950AF">
        <w:trPr>
          <w:gridAfter w:val="1"/>
          <w:wAfter w:w="8" w:type="pct"/>
        </w:trPr>
        <w:tc>
          <w:tcPr>
            <w:tcW w:w="4992" w:type="pct"/>
          </w:tcPr>
          <w:p w14:paraId="153B53C1" w14:textId="1F1E30B2" w:rsidR="00C978F0" w:rsidRPr="00DA352E" w:rsidRDefault="00ED3B18" w:rsidP="003365A5">
            <w:pPr>
              <w:pStyle w:val="Tabletextprimarysource"/>
            </w:pPr>
            <w:r>
              <w:t>No report</w:t>
            </w:r>
            <w:r w:rsidR="009A1DAA">
              <w:t>.</w:t>
            </w:r>
          </w:p>
        </w:tc>
      </w:tr>
      <w:tr w:rsidR="00DA352E" w:rsidRPr="00DA352E" w14:paraId="12BAB90D" w14:textId="77777777" w:rsidTr="002950A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1E6E71C4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ED3B1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ED3B18">
                  <w:t>NA</w:t>
                </w:r>
              </w:sdtContent>
            </w:sdt>
          </w:p>
        </w:tc>
      </w:tr>
      <w:tr w:rsidR="00DA352E" w:rsidRPr="00DA352E" w14:paraId="33AAF4A6" w14:textId="77777777" w:rsidTr="002950AF">
        <w:trPr>
          <w:gridAfter w:val="1"/>
          <w:wAfter w:w="8" w:type="pct"/>
        </w:trPr>
        <w:tc>
          <w:tcPr>
            <w:tcW w:w="4992" w:type="pct"/>
          </w:tcPr>
          <w:p w14:paraId="2059E4CB" w14:textId="6C47F210" w:rsidR="00DA352E" w:rsidRPr="00DA352E" w:rsidRDefault="00ED3B18" w:rsidP="003365A5">
            <w:pPr>
              <w:pStyle w:val="Tabletextprimarysource"/>
            </w:pPr>
            <w:r>
              <w:t>No report</w:t>
            </w:r>
            <w:r w:rsidR="009A1DAA">
              <w:t>.</w:t>
            </w:r>
          </w:p>
        </w:tc>
      </w:tr>
      <w:tr w:rsidR="00DA352E" w:rsidRPr="00DA352E" w14:paraId="605F758C" w14:textId="77777777" w:rsidTr="002950A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0FE1B98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D3B1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ED3B18">
                  <w:t>NA</w:t>
                </w:r>
              </w:sdtContent>
            </w:sdt>
          </w:p>
        </w:tc>
      </w:tr>
      <w:tr w:rsidR="00DA352E" w:rsidRPr="00DA352E" w14:paraId="7050CB3E" w14:textId="77777777" w:rsidTr="002950AF">
        <w:trPr>
          <w:gridAfter w:val="1"/>
          <w:wAfter w:w="8" w:type="pct"/>
        </w:trPr>
        <w:tc>
          <w:tcPr>
            <w:tcW w:w="4992" w:type="pct"/>
          </w:tcPr>
          <w:p w14:paraId="492D7791" w14:textId="68D2710D" w:rsidR="00DA352E" w:rsidRPr="00DA352E" w:rsidRDefault="00ED3B18" w:rsidP="003365A5">
            <w:pPr>
              <w:pStyle w:val="Tabletextprimarysource"/>
            </w:pPr>
            <w:r>
              <w:t>No report</w:t>
            </w:r>
            <w:r w:rsidR="009A1DAA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6AE89AB3" w14:textId="77777777" w:rsidTr="00295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1B5CF9D" w14:textId="77777777" w:rsidTr="002950AF">
        <w:trPr>
          <w:cantSplit/>
        </w:trPr>
        <w:tc>
          <w:tcPr>
            <w:tcW w:w="1498" w:type="dxa"/>
          </w:tcPr>
          <w:p w14:paraId="3021C8F4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1B271840" w14:textId="44F14B19" w:rsidR="004966BF" w:rsidRPr="00CE617F" w:rsidRDefault="0068779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7627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45DA2066" w14:textId="42A678DC" w:rsidR="004966BF" w:rsidRPr="004C23F4" w:rsidRDefault="0057627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54" w:type="dxa"/>
          </w:tcPr>
          <w:p w14:paraId="0865D11C" w14:textId="49C23E10" w:rsidR="00972F67" w:rsidRPr="001074B2" w:rsidRDefault="0085582E" w:rsidP="00FF412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1074B2">
              <w:rPr>
                <w:rStyle w:val="checkbox"/>
                <w:rFonts w:ascii="Arial" w:hAnsi="Arial" w:cs="Arial"/>
                <w:i/>
                <w:iCs/>
              </w:rPr>
              <w:t>In vitro</w:t>
            </w:r>
            <w:r w:rsidRPr="001074B2">
              <w:rPr>
                <w:rStyle w:val="checkbox"/>
                <w:rFonts w:ascii="Arial" w:hAnsi="Arial" w:cs="Arial"/>
              </w:rPr>
              <w:t xml:space="preserve">: </w:t>
            </w:r>
            <w:r w:rsidRPr="001074B2">
              <w:rPr>
                <w:rStyle w:val="checkbox"/>
                <w:rFonts w:ascii="Arial" w:hAnsi="Arial" w:cs="Arial"/>
                <w:i/>
              </w:rPr>
              <w:t xml:space="preserve">In </w:t>
            </w:r>
            <w:r w:rsidR="00972F67" w:rsidRPr="001074B2">
              <w:rPr>
                <w:color w:val="1C1D1E"/>
                <w:shd w:val="clear" w:color="auto" w:fill="FFFFFF"/>
              </w:rPr>
              <w:t>c</w:t>
            </w:r>
            <w:r w:rsidRPr="001074B2">
              <w:rPr>
                <w:i/>
                <w:color w:val="1C1D1E"/>
                <w:shd w:val="clear" w:color="auto" w:fill="FFFFFF"/>
              </w:rPr>
              <w:t>hemico</w:t>
            </w:r>
            <w:r w:rsidRPr="001074B2">
              <w:rPr>
                <w:rStyle w:val="checkbox"/>
                <w:rFonts w:ascii="Arial" w:hAnsi="Arial" w:cs="Arial"/>
              </w:rPr>
              <w:t xml:space="preserve"> </w:t>
            </w:r>
            <w:r w:rsidR="00972F67" w:rsidRPr="001074B2">
              <w:rPr>
                <w:rStyle w:val="checkbox"/>
                <w:rFonts w:ascii="Arial" w:hAnsi="Arial" w:cs="Arial"/>
              </w:rPr>
              <w:t>s</w:t>
            </w:r>
            <w:r w:rsidRPr="001074B2">
              <w:rPr>
                <w:rStyle w:val="checkbox"/>
                <w:rFonts w:ascii="Arial" w:hAnsi="Arial" w:cs="Arial"/>
              </w:rPr>
              <w:t xml:space="preserve">kin </w:t>
            </w:r>
            <w:r w:rsidR="00972F67" w:rsidRPr="001074B2">
              <w:rPr>
                <w:rStyle w:val="checkbox"/>
                <w:rFonts w:ascii="Arial" w:hAnsi="Arial" w:cs="Arial"/>
              </w:rPr>
              <w:t>s</w:t>
            </w:r>
            <w:r w:rsidRPr="001074B2">
              <w:rPr>
                <w:rStyle w:val="checkbox"/>
                <w:rFonts w:ascii="Arial" w:hAnsi="Arial" w:cs="Arial"/>
              </w:rPr>
              <w:t xml:space="preserve">ensitisation </w:t>
            </w:r>
          </w:p>
          <w:p w14:paraId="5C19B807" w14:textId="4CAC487D" w:rsidR="004966BF" w:rsidRPr="004C23F4" w:rsidRDefault="0085582E" w:rsidP="00FF412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85582E">
              <w:rPr>
                <w:rStyle w:val="checkbox"/>
                <w:rFonts w:ascii="Arial" w:hAnsi="Arial" w:cs="Arial"/>
              </w:rPr>
              <w:t>Direct Peptide Reactivity Assay</w:t>
            </w:r>
            <w:r>
              <w:rPr>
                <w:rStyle w:val="checkbox"/>
                <w:rFonts w:ascii="Arial" w:hAnsi="Arial" w:cs="Arial"/>
              </w:rPr>
              <w:t xml:space="preserve"> yielded positive </w:t>
            </w:r>
            <w:r w:rsidRPr="00FF4128">
              <w:t>results</w:t>
            </w:r>
            <w:r w:rsidR="009A1DAA">
              <w:t>.</w:t>
            </w:r>
          </w:p>
        </w:tc>
      </w:tr>
      <w:tr w:rsidR="004966BF" w:rsidRPr="004C23F4" w14:paraId="20C4323A" w14:textId="77777777" w:rsidTr="002950AF">
        <w:trPr>
          <w:cantSplit/>
        </w:trPr>
        <w:tc>
          <w:tcPr>
            <w:tcW w:w="1498" w:type="dxa"/>
          </w:tcPr>
          <w:p w14:paraId="76D0E357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4" w:type="dxa"/>
          </w:tcPr>
          <w:p w14:paraId="46AE65C2" w14:textId="3C86E584" w:rsidR="004966BF" w:rsidRDefault="0068779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7627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2B82A5B6" w14:textId="16420EAA" w:rsidR="004966BF" w:rsidRPr="004C23F4" w:rsidRDefault="0057627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4" w:type="dxa"/>
          </w:tcPr>
          <w:p w14:paraId="4E1BEF9D" w14:textId="7832BCF3" w:rsidR="004966BF" w:rsidRPr="004C23F4" w:rsidRDefault="0057627E" w:rsidP="00FF412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additional </w:t>
            </w:r>
            <w:r w:rsidRPr="00FF4128">
              <w:t>information</w:t>
            </w:r>
            <w:r w:rsidR="009A1DAA">
              <w:t>.</w:t>
            </w:r>
          </w:p>
        </w:tc>
      </w:tr>
    </w:tbl>
    <w:p w14:paraId="21C7ACE5" w14:textId="77777777" w:rsidR="007E2A4B" w:rsidRDefault="007E2A4B"/>
    <w:bookmarkEnd w:id="0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EC3A2D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7771548D" w:rsidR="002E0D61" w:rsidRDefault="00E41A27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2618A4C0" w14:textId="77777777" w:rsidTr="00EC3A2D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2FF20E8C" w:rsidR="008A36CF" w:rsidRDefault="00E41A27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1F3E91" w14:paraId="4D6DDFA3" w14:textId="77777777" w:rsidTr="00F146AD">
        <w:trPr>
          <w:trHeight w:val="454"/>
        </w:trPr>
        <w:sdt>
          <w:sdtPr>
            <w:rPr>
              <w:b/>
            </w:rPr>
            <w:id w:val="1830936485"/>
            <w:placeholder>
              <w:docPart w:val="0C472807382148BA8742EA4FE44A1295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8F36B73" w14:textId="0462BB4E" w:rsidR="001F3E91" w:rsidRDefault="001F3E91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295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2950AF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12E250ED" w:rsidR="00687890" w:rsidRPr="00DD2F9B" w:rsidRDefault="00F81A43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A0C13EF" w14:textId="77777777" w:rsidTr="002950AF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55FE43FF" w:rsidR="007925F0" w:rsidRPr="00DD2F9B" w:rsidRDefault="00F81A43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C1044B3" w14:textId="77777777" w:rsidTr="002950AF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1075138D" w:rsidR="00AF483F" w:rsidRPr="00DD2F9B" w:rsidRDefault="00F81A43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2950AF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32E7C74A" w:rsidR="00687890" w:rsidRPr="00DD2F9B" w:rsidRDefault="00F81A43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2950AF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376C5874" w:rsidR="00E41A26" w:rsidRPr="00DD2F9B" w:rsidRDefault="00F81A43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7A490EF" w14:textId="77777777" w:rsidTr="002950AF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162D59D1" w:rsidR="002E0D61" w:rsidRPr="00DD2F9B" w:rsidRDefault="00F81A43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3FA3590" w14:textId="77777777" w:rsidTr="002950AF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lastRenderedPageBreak/>
              <w:t>DFG</w:t>
            </w:r>
          </w:p>
        </w:tc>
        <w:tc>
          <w:tcPr>
            <w:tcW w:w="6015" w:type="dxa"/>
          </w:tcPr>
          <w:p w14:paraId="76555DBE" w14:textId="15DB5B22" w:rsidR="002E0D61" w:rsidRPr="00DD2F9B" w:rsidRDefault="00F81A43" w:rsidP="00DD2F9B">
            <w:pPr>
              <w:pStyle w:val="Tablefont"/>
            </w:pPr>
            <w:r w:rsidRPr="00F81A43">
              <w:t>Carcinogenicity – 3B</w:t>
            </w:r>
            <w:r>
              <w:t xml:space="preserve">, </w:t>
            </w:r>
            <w:proofErr w:type="spellStart"/>
            <w:r w:rsidRPr="00F81A43">
              <w:t>Sh</w:t>
            </w:r>
            <w:proofErr w:type="spellEnd"/>
            <w:r w:rsidRPr="00F81A43">
              <w:t xml:space="preserve"> (dermal sensitiser)</w:t>
            </w:r>
          </w:p>
        </w:tc>
      </w:tr>
      <w:tr w:rsidR="002E0D61" w:rsidRPr="004C23F4" w14:paraId="2AC7B866" w14:textId="77777777" w:rsidTr="002950AF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6A2D9633" w:rsidR="002E0D61" w:rsidRPr="00DD2F9B" w:rsidRDefault="00ED4F9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2950AF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1FD0895F" w:rsidR="002E0D61" w:rsidRPr="00DD2F9B" w:rsidRDefault="00ED4F9F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2950AF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19A29F6B" w:rsidR="00386093" w:rsidRPr="00DD2F9B" w:rsidRDefault="00ED4F9F" w:rsidP="00DD2F9B">
            <w:pPr>
              <w:pStyle w:val="Tablefont"/>
            </w:pPr>
            <w:r w:rsidRPr="00ED4F9F">
              <w:t>Carcinogenicity – Group 3</w:t>
            </w:r>
          </w:p>
        </w:tc>
      </w:tr>
      <w:tr w:rsidR="00386093" w:rsidRPr="004C23F4" w14:paraId="7461DB0E" w14:textId="77777777" w:rsidTr="002950AF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71AA4F3D" w:rsidR="00386093" w:rsidRPr="00DD2F9B" w:rsidRDefault="00ED4F9F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65C3ABC9" w:rsidR="00474E33" w:rsidRDefault="00474E33" w:rsidP="00474E33">
      <w:pPr>
        <w:pStyle w:val="Heading3"/>
      </w:pPr>
      <w:r>
        <w:t>Skin notation assessment</w:t>
      </w:r>
    </w:p>
    <w:p w14:paraId="567369C0" w14:textId="186C1476" w:rsidR="0057627E" w:rsidRPr="00BC261B" w:rsidRDefault="0057627E" w:rsidP="0057627E">
      <w:pPr>
        <w:rPr>
          <w:lang w:eastAsia="en-AU"/>
        </w:rPr>
      </w:pPr>
      <w:r w:rsidRPr="00EA0DA8">
        <w:t>Insufficient data to assign a skin notation</w:t>
      </w:r>
      <w:r w:rsidR="001F3E91">
        <w:t>.</w:t>
      </w:r>
    </w:p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5B493EE8" w:rsidR="00EB3D1B" w:rsidRDefault="00ED4F9F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35E52F93" w:rsidR="001B79E5" w:rsidRDefault="00ED4F9F" w:rsidP="001B79E5">
                <w:pPr>
                  <w:pStyle w:val="Tablefont"/>
                </w:pPr>
                <w:r w:rsidRPr="00ED4F9F">
                  <w:t>108.09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4A903634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ED4F9F">
                  <w:t>4.42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ED4F9F">
                  <w:t>0.226</w:t>
                </w:r>
              </w:sdtContent>
            </w:sdt>
            <w:r w:rsidRPr="00ED4F9F">
              <w:t xml:space="preserve"> </w:t>
            </w:r>
            <w:r>
              <w:t>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68779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3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3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0D736651" w:rsidR="008E4F1F" w:rsidRDefault="008E4F1F" w:rsidP="008E4F1F">
      <w:r w:rsidRPr="002022B6">
        <w:t>Deutsche Forschungsgemeinschaft (DFG)</w:t>
      </w:r>
      <w:r>
        <w:t xml:space="preserve"> (</w:t>
      </w:r>
      <w:r w:rsidR="00B000B0">
        <w:t>2000</w:t>
      </w:r>
      <w:r>
        <w:t xml:space="preserve">) </w:t>
      </w:r>
      <w:r w:rsidR="00B000B0" w:rsidRPr="00B000B0">
        <w:t>1,4</w:t>
      </w:r>
      <w:r w:rsidR="00B000B0" w:rsidRPr="00B000B0">
        <w:rPr>
          <w:rFonts w:ascii="Cambria Math" w:hAnsi="Cambria Math" w:cs="Cambria Math"/>
        </w:rPr>
        <w:t>‐</w:t>
      </w:r>
      <w:r w:rsidR="00B000B0" w:rsidRPr="00B000B0">
        <w:t>Benzochinon</w:t>
      </w:r>
      <w:r>
        <w:t xml:space="preserve"> – MAK value documentation.</w:t>
      </w:r>
    </w:p>
    <w:p w14:paraId="1F28F5EA" w14:textId="49119E11" w:rsidR="0057627E" w:rsidRDefault="0057627E" w:rsidP="0057627E">
      <w:pPr>
        <w:rPr>
          <w:b/>
        </w:rPr>
      </w:pPr>
      <w:r>
        <w:t>European Chemicals Agency (ECHA) (2018)</w:t>
      </w:r>
      <w:r w:rsidR="009A1DAA">
        <w:t xml:space="preserve"> </w:t>
      </w:r>
      <w:r>
        <w:t>p-benzoquinone – REACH assessment.</w:t>
      </w:r>
    </w:p>
    <w:p w14:paraId="4D7F094F" w14:textId="7A6CF0D2" w:rsidR="008E4F1F" w:rsidRDefault="008E4F1F" w:rsidP="00ED4F9F">
      <w:pPr>
        <w:rPr>
          <w:b/>
        </w:rPr>
      </w:pPr>
      <w:r w:rsidRPr="002022B6">
        <w:t>International Agency for Research on Cancer</w:t>
      </w:r>
      <w:r>
        <w:t xml:space="preserve"> (IARC) (</w:t>
      </w:r>
      <w:r w:rsidR="00ED4F9F" w:rsidRPr="00ED4F9F">
        <w:t>1999</w:t>
      </w:r>
      <w:r>
        <w:t>)</w:t>
      </w:r>
      <w:r w:rsidR="009A1DAA">
        <w:t xml:space="preserve"> </w:t>
      </w:r>
      <w:r w:rsidR="00ED4F9F">
        <w:t>Quinone</w:t>
      </w:r>
      <w:r>
        <w:t>. IARC Monographs on the evaluation of the carcinogenic risk to humans.</w:t>
      </w:r>
    </w:p>
    <w:p w14:paraId="77EFB18B" w14:textId="3EE0D08E" w:rsidR="008E4F1F" w:rsidRDefault="008E4F1F" w:rsidP="008E4F1F">
      <w:pPr>
        <w:rPr>
          <w:b/>
        </w:rPr>
      </w:pPr>
      <w:r w:rsidRPr="00D86E03">
        <w:lastRenderedPageBreak/>
        <w:t>US National Institute for Occupational Safety and Health (NIOSH)</w:t>
      </w:r>
      <w:r>
        <w:t xml:space="preserve"> (</w:t>
      </w:r>
      <w:r w:rsidR="00ED4F9F" w:rsidRPr="00ED4F9F">
        <w:t>1994</w:t>
      </w:r>
      <w:r>
        <w:t xml:space="preserve">) Immediately dangerous to life or health concentrations – </w:t>
      </w:r>
      <w:r w:rsidR="00ED4F9F" w:rsidRPr="00ED4F9F">
        <w:t>Quinone</w:t>
      </w:r>
      <w:r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DBFD0" w14:textId="77777777" w:rsidR="00BE69BB" w:rsidRDefault="00BE69BB" w:rsidP="00F43AD5">
      <w:pPr>
        <w:spacing w:after="0" w:line="240" w:lineRule="auto"/>
      </w:pPr>
      <w:r>
        <w:separator/>
      </w:r>
    </w:p>
  </w:endnote>
  <w:endnote w:type="continuationSeparator" w:id="0">
    <w:p w14:paraId="7C631469" w14:textId="77777777" w:rsidR="00BE69BB" w:rsidRDefault="00BE69BB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D8AF5" w14:textId="77777777" w:rsidR="004B065E" w:rsidRDefault="004B0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26E0AB6" w14:textId="77777777" w:rsidR="00ED3B18" w:rsidRPr="00ED3B18" w:rsidRDefault="00ED3B18" w:rsidP="00ED3B18">
        <w:pPr>
          <w:pStyle w:val="Footer"/>
          <w:rPr>
            <w:b/>
            <w:sz w:val="18"/>
            <w:szCs w:val="18"/>
          </w:rPr>
        </w:pPr>
      </w:p>
      <w:p w14:paraId="39026E62" w14:textId="247FACB1" w:rsidR="008A36CF" w:rsidRDefault="00ED3B18" w:rsidP="00ED3B18">
        <w:pPr>
          <w:pStyle w:val="Footer"/>
          <w:rPr>
            <w:sz w:val="18"/>
            <w:szCs w:val="18"/>
          </w:rPr>
        </w:pPr>
        <w:r w:rsidRPr="00ED3B18">
          <w:rPr>
            <w:b/>
            <w:sz w:val="18"/>
            <w:szCs w:val="18"/>
          </w:rPr>
          <w:t>Quinone</w:t>
        </w:r>
        <w:r w:rsidR="008A36CF">
          <w:rPr>
            <w:b/>
            <w:sz w:val="18"/>
            <w:szCs w:val="18"/>
          </w:rPr>
          <w:t xml:space="preserve"> (</w:t>
        </w:r>
        <w:r w:rsidRPr="00ED3B18">
          <w:rPr>
            <w:b/>
            <w:sz w:val="18"/>
            <w:szCs w:val="18"/>
          </w:rPr>
          <w:t>106-51-4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8012A9" w:rsidRPr="00F43AD5">
          <w:rPr>
            <w:sz w:val="18"/>
            <w:szCs w:val="18"/>
          </w:rPr>
          <w:t>20</w:t>
        </w:r>
        <w:r w:rsidR="008012A9">
          <w:rPr>
            <w:sz w:val="18"/>
            <w:szCs w:val="18"/>
          </w:rPr>
          <w:t>20</w:t>
        </w:r>
      </w:p>
      <w:p w14:paraId="2D517F5E" w14:textId="33FAD20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4B065E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D8ECB" w14:textId="77777777" w:rsidR="004B065E" w:rsidRDefault="004B0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3DAC3" w14:textId="77777777" w:rsidR="00BE69BB" w:rsidRDefault="00BE69BB" w:rsidP="00F43AD5">
      <w:pPr>
        <w:spacing w:after="0" w:line="240" w:lineRule="auto"/>
      </w:pPr>
      <w:r>
        <w:separator/>
      </w:r>
    </w:p>
  </w:footnote>
  <w:footnote w:type="continuationSeparator" w:id="0">
    <w:p w14:paraId="39DEDC4D" w14:textId="77777777" w:rsidR="00BE69BB" w:rsidRDefault="00BE69BB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E182A" w14:textId="77777777" w:rsidR="004B065E" w:rsidRDefault="004B0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8792" w14:textId="14247C9F" w:rsidR="008A36CF" w:rsidRPr="00687793" w:rsidRDefault="00687793" w:rsidP="00687793">
    <w:pPr>
      <w:pStyle w:val="Header"/>
      <w:jc w:val="right"/>
    </w:pPr>
    <w:r>
      <w:pict w14:anchorId="335ACC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0241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3D71DF60" wp14:editId="63B2D99C">
          <wp:extent cx="2943225" cy="600075"/>
          <wp:effectExtent l="0" t="0" r="9525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A49FE" w14:textId="77777777" w:rsidR="004B065E" w:rsidRDefault="004B06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69E3E" w14:textId="7CA610DD" w:rsidR="00687793" w:rsidRDefault="00687793" w:rsidP="00687793">
    <w:pPr>
      <w:pStyle w:val="Header"/>
      <w:jc w:val="right"/>
    </w:pPr>
    <w:r>
      <w:pict w14:anchorId="7ED9A9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F50FC93" wp14:editId="4868EF03">
          <wp:extent cx="2943225" cy="600075"/>
          <wp:effectExtent l="0" t="0" r="9525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687793">
    <w:pPr>
      <w:pStyle w:val="Header"/>
    </w:pPr>
    <w:bookmarkStart w:id="4" w:name="_GoBack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1486F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3313A5"/>
    <w:multiLevelType w:val="hybridMultilevel"/>
    <w:tmpl w:val="B4C6A4CC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6036"/>
    <w:rsid w:val="000B7B48"/>
    <w:rsid w:val="000C096D"/>
    <w:rsid w:val="000C139A"/>
    <w:rsid w:val="000C2053"/>
    <w:rsid w:val="000C248C"/>
    <w:rsid w:val="000D0643"/>
    <w:rsid w:val="000D0D86"/>
    <w:rsid w:val="000D291C"/>
    <w:rsid w:val="000E5A54"/>
    <w:rsid w:val="000E63D3"/>
    <w:rsid w:val="000E67CF"/>
    <w:rsid w:val="0010461E"/>
    <w:rsid w:val="00106FAA"/>
    <w:rsid w:val="001074B2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0C75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3E91"/>
    <w:rsid w:val="001F4B6C"/>
    <w:rsid w:val="001F4D02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1D9E"/>
    <w:rsid w:val="0025734A"/>
    <w:rsid w:val="00263255"/>
    <w:rsid w:val="00276494"/>
    <w:rsid w:val="00277B0C"/>
    <w:rsid w:val="002950AF"/>
    <w:rsid w:val="002A53C7"/>
    <w:rsid w:val="002B1A2C"/>
    <w:rsid w:val="002C34F2"/>
    <w:rsid w:val="002C58FF"/>
    <w:rsid w:val="002C7AFE"/>
    <w:rsid w:val="002D05D2"/>
    <w:rsid w:val="002E0D61"/>
    <w:rsid w:val="002E4C7B"/>
    <w:rsid w:val="00302396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065E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7627E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F39F2"/>
    <w:rsid w:val="006013C1"/>
    <w:rsid w:val="0060669E"/>
    <w:rsid w:val="00610F2E"/>
    <w:rsid w:val="00611399"/>
    <w:rsid w:val="00624C4E"/>
    <w:rsid w:val="00625200"/>
    <w:rsid w:val="00632FE4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79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C3246"/>
    <w:rsid w:val="007E063C"/>
    <w:rsid w:val="007E2A4B"/>
    <w:rsid w:val="007E307D"/>
    <w:rsid w:val="007E6A4E"/>
    <w:rsid w:val="007E6C94"/>
    <w:rsid w:val="007F1005"/>
    <w:rsid w:val="007F25E0"/>
    <w:rsid w:val="007F5328"/>
    <w:rsid w:val="008012A9"/>
    <w:rsid w:val="00804F5A"/>
    <w:rsid w:val="00810C6D"/>
    <w:rsid w:val="00812887"/>
    <w:rsid w:val="00826F21"/>
    <w:rsid w:val="00834CC8"/>
    <w:rsid w:val="00835E00"/>
    <w:rsid w:val="00837113"/>
    <w:rsid w:val="008400CB"/>
    <w:rsid w:val="008414E4"/>
    <w:rsid w:val="00843E21"/>
    <w:rsid w:val="0084508E"/>
    <w:rsid w:val="0085582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046A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2F67"/>
    <w:rsid w:val="00974F2D"/>
    <w:rsid w:val="00977524"/>
    <w:rsid w:val="00977E88"/>
    <w:rsid w:val="00984920"/>
    <w:rsid w:val="0099303A"/>
    <w:rsid w:val="009971C2"/>
    <w:rsid w:val="009A1254"/>
    <w:rsid w:val="009A1DAA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1F31"/>
    <w:rsid w:val="00A53681"/>
    <w:rsid w:val="00A633D4"/>
    <w:rsid w:val="00A6461A"/>
    <w:rsid w:val="00A7655A"/>
    <w:rsid w:val="00A84504"/>
    <w:rsid w:val="00A8672F"/>
    <w:rsid w:val="00A8701C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0B0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6675"/>
    <w:rsid w:val="00BE69BB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02FB"/>
    <w:rsid w:val="00D44C89"/>
    <w:rsid w:val="00D516CD"/>
    <w:rsid w:val="00D641D4"/>
    <w:rsid w:val="00D668E6"/>
    <w:rsid w:val="00D70670"/>
    <w:rsid w:val="00D74D80"/>
    <w:rsid w:val="00D76624"/>
    <w:rsid w:val="00D77F8D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1A27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7B4"/>
    <w:rsid w:val="00E949AF"/>
    <w:rsid w:val="00E96077"/>
    <w:rsid w:val="00EA0A06"/>
    <w:rsid w:val="00EA4572"/>
    <w:rsid w:val="00EA6243"/>
    <w:rsid w:val="00EA74AB"/>
    <w:rsid w:val="00EB3D1B"/>
    <w:rsid w:val="00EC3A2D"/>
    <w:rsid w:val="00ED1D89"/>
    <w:rsid w:val="00ED3B18"/>
    <w:rsid w:val="00ED4F9F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1A43"/>
    <w:rsid w:val="00F87D92"/>
    <w:rsid w:val="00F90AA7"/>
    <w:rsid w:val="00F92498"/>
    <w:rsid w:val="00F9496B"/>
    <w:rsid w:val="00F96513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4128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1D60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E947B4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4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7B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7B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03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C472807382148BA8742EA4FE44A1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4C5D2-20CC-4C3A-9083-640B7475BBAD}"/>
      </w:docPartPr>
      <w:docPartBody>
        <w:p w:rsidR="00CC41E2" w:rsidRDefault="00B34571" w:rsidP="00B34571">
          <w:pPr>
            <w:pStyle w:val="0C472807382148BA8742EA4FE44A1295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1273DD"/>
    <w:rsid w:val="002C5678"/>
    <w:rsid w:val="00347D16"/>
    <w:rsid w:val="003E0149"/>
    <w:rsid w:val="00755FBF"/>
    <w:rsid w:val="00B34571"/>
    <w:rsid w:val="00CA72D3"/>
    <w:rsid w:val="00CC41E2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571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DA5601ABCCF8438B8B8FFB8F99F4C307">
    <w:name w:val="DA5601ABCCF8438B8B8FFB8F99F4C307"/>
    <w:rsid w:val="002C5678"/>
    <w:rPr>
      <w:lang w:val="en-US" w:eastAsia="en-US"/>
    </w:rPr>
  </w:style>
  <w:style w:type="paragraph" w:customStyle="1" w:styleId="36E99891A2294E099818BD78ED0A9044">
    <w:name w:val="36E99891A2294E099818BD78ED0A9044"/>
    <w:rsid w:val="002C5678"/>
    <w:rPr>
      <w:lang w:val="en-US" w:eastAsia="en-US"/>
    </w:rPr>
  </w:style>
  <w:style w:type="paragraph" w:customStyle="1" w:styleId="8878C550DB11409F888E22D6F3E05D80">
    <w:name w:val="8878C550DB11409F888E22D6F3E05D80"/>
    <w:rsid w:val="002C5678"/>
    <w:rPr>
      <w:lang w:val="en-US" w:eastAsia="en-US"/>
    </w:rPr>
  </w:style>
  <w:style w:type="paragraph" w:customStyle="1" w:styleId="0C472807382148BA8742EA4FE44A1295">
    <w:name w:val="0C472807382148BA8742EA4FE44A1295"/>
    <w:rsid w:val="00B34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29A2-360C-4C86-9CF2-E476C9AEE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59DF8-F10D-4AC1-90BE-30556D60C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1414A-CD97-4F25-80EA-58ED29E6C0CB}">
  <ds:schemaRefs>
    <ds:schemaRef ds:uri="bf54d604-3e62-4e70-ba33-9e9084b96a6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0285A77-470F-4DFD-95D2-B44B2240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2020-02-17T00:26:00Z</dcterms:created>
  <dcterms:modified xsi:type="dcterms:W3CDTF">2020-06-19T01:00:00Z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