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7D9B9C57" w:rsidR="00BD499F" w:rsidRPr="004C23F4" w:rsidRDefault="0098158E" w:rsidP="00B40C60">
          <w:pPr>
            <w:pStyle w:val="Heading1"/>
            <w:jc w:val="center"/>
            <w:rPr>
              <w:rFonts w:ascii="Arial" w:hAnsi="Arial" w:cs="Arial"/>
            </w:rPr>
          </w:pPr>
          <w:r w:rsidRPr="0098158E">
            <w:rPr>
              <w:rFonts w:ascii="Arial" w:hAnsi="Arial" w:cs="Arial"/>
            </w:rPr>
            <w:t>Resorcinol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9"/>
        <w:gridCol w:w="5047"/>
      </w:tblGrid>
      <w:tr w:rsidR="00F43AD5" w:rsidRPr="004C23F4" w14:paraId="189D6E38" w14:textId="77777777" w:rsidTr="006276E2">
        <w:trPr>
          <w:cantSplit/>
          <w:tblHeader/>
        </w:trPr>
        <w:tc>
          <w:tcPr>
            <w:tcW w:w="3979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7" w:type="dxa"/>
          </w:tcPr>
          <w:p w14:paraId="3EDBFD9E" w14:textId="5EBDF8D0" w:rsidR="00F43AD5" w:rsidRPr="00717D45" w:rsidRDefault="001D71CE" w:rsidP="00B76A41">
            <w:pPr>
              <w:pStyle w:val="Tablefont"/>
            </w:pPr>
            <w:r w:rsidRPr="001D71CE">
              <w:t>108-46-3</w:t>
            </w:r>
          </w:p>
        </w:tc>
      </w:tr>
      <w:tr w:rsidR="00F43AD5" w:rsidRPr="004C23F4" w14:paraId="562A9F51" w14:textId="77777777" w:rsidTr="006276E2">
        <w:trPr>
          <w:cantSplit/>
        </w:trPr>
        <w:tc>
          <w:tcPr>
            <w:tcW w:w="3979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7" w:type="dxa"/>
          </w:tcPr>
          <w:p w14:paraId="32648AB9" w14:textId="41056281" w:rsidR="00F43AD5" w:rsidRPr="00717D45" w:rsidRDefault="001D71CE" w:rsidP="00B76A41">
            <w:pPr>
              <w:pStyle w:val="Tablefont"/>
            </w:pPr>
            <w:r>
              <w:t>1,3-Benzenediol, m-</w:t>
            </w:r>
            <w:proofErr w:type="spellStart"/>
            <w:r>
              <w:t>dihydroxybenzene</w:t>
            </w:r>
            <w:proofErr w:type="spellEnd"/>
          </w:p>
        </w:tc>
      </w:tr>
      <w:tr w:rsidR="00F43AD5" w:rsidRPr="004C23F4" w14:paraId="6EE54A08" w14:textId="77777777" w:rsidTr="006276E2">
        <w:trPr>
          <w:cantSplit/>
        </w:trPr>
        <w:tc>
          <w:tcPr>
            <w:tcW w:w="3979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7" w:type="dxa"/>
          </w:tcPr>
          <w:p w14:paraId="69369B00" w14:textId="14A3E7DD" w:rsidR="00F43AD5" w:rsidRPr="00717D45" w:rsidRDefault="001D71CE" w:rsidP="00B76A41">
            <w:pPr>
              <w:pStyle w:val="Tablefont"/>
            </w:pPr>
            <w:r>
              <w:t>C</w:t>
            </w:r>
            <w:r w:rsidRPr="001D71CE">
              <w:rPr>
                <w:vertAlign w:val="subscript"/>
              </w:rPr>
              <w:t>6</w:t>
            </w:r>
            <w:r>
              <w:t>H</w:t>
            </w:r>
            <w:r w:rsidRPr="001D71CE">
              <w:rPr>
                <w:vertAlign w:val="subscript"/>
              </w:rPr>
              <w:t>6</w:t>
            </w:r>
            <w:r>
              <w:t>O</w:t>
            </w:r>
            <w:r w:rsidRPr="001D71CE">
              <w:rPr>
                <w:vertAlign w:val="subscript"/>
              </w:rPr>
              <w:t>2</w:t>
            </w:r>
          </w:p>
        </w:tc>
      </w:tr>
    </w:tbl>
    <w:p w14:paraId="71D72173" w14:textId="02FBCA1C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E23FE5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6B3CA363" w:rsidR="002C7AFE" w:rsidRPr="00F01DDD" w:rsidRDefault="00F01DD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10 ppm (45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67E87943" w:rsidR="00037E52" w:rsidRPr="00EB3D1B" w:rsidRDefault="005935E7" w:rsidP="00037E52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Sk., </w:t>
            </w:r>
            <w:r w:rsidR="00F01DDD">
              <w:rPr>
                <w:b/>
              </w:rPr>
              <w:t>DSEN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4AF4A810" w:rsidR="00155999" w:rsidRPr="00EB3D1B" w:rsidRDefault="00155999" w:rsidP="00037E52">
            <w:pPr>
              <w:pStyle w:val="Tablefont"/>
              <w:rPr>
                <w:b/>
              </w:rPr>
            </w:pPr>
            <w:r w:rsidRPr="005935E7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6C3450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0199E44E" w:rsidR="006639B4" w:rsidRDefault="00F01DDD" w:rsidP="000C139A">
      <w:r>
        <w:rPr>
          <w:rFonts w:cs="Arial"/>
        </w:rPr>
        <w:t>A</w:t>
      </w:r>
      <w:r w:rsidRPr="00F01DDD">
        <w:rPr>
          <w:rFonts w:cs="Arial"/>
        </w:rPr>
        <w:t xml:space="preserve"> TWA of </w:t>
      </w:r>
      <w:r>
        <w:rPr>
          <w:rFonts w:cs="Arial"/>
        </w:rPr>
        <w:t>10</w:t>
      </w:r>
      <w:r w:rsidRPr="00F01DDD">
        <w:rPr>
          <w:rFonts w:cs="Arial"/>
        </w:rPr>
        <w:t xml:space="preserve"> ppm</w:t>
      </w:r>
      <w:r>
        <w:rPr>
          <w:rFonts w:cs="Arial"/>
        </w:rPr>
        <w:t xml:space="preserve"> (45 mg/m</w:t>
      </w:r>
      <w:r>
        <w:rPr>
          <w:rFonts w:cs="Arial"/>
          <w:vertAlign w:val="superscript"/>
        </w:rPr>
        <w:t>3</w:t>
      </w:r>
      <w:r>
        <w:rPr>
          <w:rFonts w:cs="Arial"/>
        </w:rPr>
        <w:t>)</w:t>
      </w:r>
      <w:r w:rsidRPr="00F01DDD">
        <w:rPr>
          <w:rFonts w:cs="Arial"/>
        </w:rPr>
        <w:t xml:space="preserve"> is recommended to </w:t>
      </w:r>
      <w:r>
        <w:rPr>
          <w:rFonts w:cs="Arial"/>
        </w:rPr>
        <w:t xml:space="preserve">protect for </w:t>
      </w:r>
      <w:r>
        <w:t>eye and skin irritation and dermatitis in exposed workers.</w:t>
      </w:r>
    </w:p>
    <w:p w14:paraId="07D8441B" w14:textId="1AEFCE34" w:rsidR="00911E2E" w:rsidRPr="004C23F4" w:rsidRDefault="00911E2E" w:rsidP="000C139A">
      <w:pPr>
        <w:rPr>
          <w:rFonts w:cs="Arial"/>
        </w:rPr>
      </w:pPr>
      <w:r w:rsidRPr="00911E2E">
        <w:rPr>
          <w:rFonts w:cs="Arial"/>
        </w:rPr>
        <w:t>The previous STEL is recommended to be withdrawn as there is a lack of evidence for immediate acute toxicity within ten times of the recommended TWA</w:t>
      </w:r>
      <w:r>
        <w:rPr>
          <w:rFonts w:cs="Arial"/>
        </w:rPr>
        <w:t>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8A5BABF" w14:textId="77777777" w:rsidR="006276E2" w:rsidRDefault="0001483F" w:rsidP="006639B4">
      <w:pPr>
        <w:rPr>
          <w:rFonts w:cs="Arial"/>
          <w:color w:val="262626"/>
        </w:rPr>
      </w:pPr>
      <w:r>
        <w:rPr>
          <w:rFonts w:cs="Arial"/>
        </w:rPr>
        <w:t xml:space="preserve">Resorcinol is </w:t>
      </w:r>
      <w:r>
        <w:rPr>
          <w:rFonts w:cs="Arial"/>
          <w:color w:val="262626"/>
        </w:rPr>
        <w:t xml:space="preserve">used as a dye in permanent and semi-permanent hair dyes and as a colour additive and colourant in personal care </w:t>
      </w:r>
      <w:r w:rsidR="00FB2FCE">
        <w:rPr>
          <w:rFonts w:cs="Arial"/>
          <w:color w:val="262626"/>
        </w:rPr>
        <w:t xml:space="preserve">products. </w:t>
      </w:r>
    </w:p>
    <w:p w14:paraId="7E8DE491" w14:textId="77777777" w:rsidR="00A114B0" w:rsidRDefault="00FB2FCE" w:rsidP="00AA1DE2">
      <w:r>
        <w:rPr>
          <w:rFonts w:cs="Arial"/>
          <w:color w:val="262626"/>
        </w:rPr>
        <w:t xml:space="preserve">Critical effects of </w:t>
      </w:r>
      <w:r w:rsidR="0001483F">
        <w:rPr>
          <w:rFonts w:cs="Arial"/>
          <w:color w:val="262626"/>
        </w:rPr>
        <w:t xml:space="preserve">exposure are </w:t>
      </w:r>
      <w:r w:rsidR="0001483F">
        <w:t>eye and skin irritation and dermatitis.</w:t>
      </w:r>
      <w:r w:rsidR="006276E2">
        <w:t xml:space="preserve"> </w:t>
      </w:r>
    </w:p>
    <w:p w14:paraId="4016DBD1" w14:textId="5768DE01" w:rsidR="00AA1DE2" w:rsidRDefault="0001483F" w:rsidP="00AA1DE2">
      <w:r>
        <w:rPr>
          <w:rFonts w:cs="Arial"/>
        </w:rPr>
        <w:t xml:space="preserve">Toxicological data </w:t>
      </w:r>
      <w:r w:rsidR="004430EB">
        <w:rPr>
          <w:rFonts w:cs="Arial"/>
        </w:rPr>
        <w:t>a</w:t>
      </w:r>
      <w:r>
        <w:rPr>
          <w:rFonts w:cs="Arial"/>
        </w:rPr>
        <w:t>re limited.</w:t>
      </w:r>
      <w:r w:rsidR="00674560">
        <w:rPr>
          <w:rFonts w:cs="Arial"/>
        </w:rPr>
        <w:t xml:space="preserve"> </w:t>
      </w:r>
      <w:r w:rsidR="00AA1DE2">
        <w:rPr>
          <w:rFonts w:cs="Arial"/>
        </w:rPr>
        <w:t xml:space="preserve">No complaints </w:t>
      </w:r>
      <w:r w:rsidR="006276E2">
        <w:t>of irritation or discomfort a</w:t>
      </w:r>
      <w:r w:rsidR="00AA1DE2">
        <w:t>re noted in a</w:t>
      </w:r>
      <w:r>
        <w:t xml:space="preserve"> survey of 180</w:t>
      </w:r>
      <w:r w:rsidR="00A114B0">
        <w:t> </w:t>
      </w:r>
      <w:r>
        <w:t xml:space="preserve">workers </w:t>
      </w:r>
      <w:r w:rsidR="00AA1DE2">
        <w:t>exposed</w:t>
      </w:r>
      <w:r>
        <w:t xml:space="preserve"> at 10 ppm</w:t>
      </w:r>
      <w:r w:rsidR="00AA1DE2">
        <w:t xml:space="preserve"> (45</w:t>
      </w:r>
      <w:r w:rsidR="006276E2">
        <w:t> </w:t>
      </w:r>
      <w:r w:rsidR="00AA1DE2">
        <w:t>mg/m</w:t>
      </w:r>
      <w:r w:rsidR="00AA1DE2">
        <w:rPr>
          <w:vertAlign w:val="superscript"/>
        </w:rPr>
        <w:t>3</w:t>
      </w:r>
      <w:r w:rsidR="00AA1DE2">
        <w:t>)</w:t>
      </w:r>
      <w:r w:rsidR="00F62D5D">
        <w:t>. No</w:t>
      </w:r>
      <w:r w:rsidR="00AA1DE2">
        <w:t xml:space="preserve"> further information </w:t>
      </w:r>
      <w:r w:rsidR="00DF56CA">
        <w:t xml:space="preserve">regarding this study </w:t>
      </w:r>
      <w:r w:rsidR="00AA1DE2">
        <w:t xml:space="preserve">is provided. In humans, dermal exposure </w:t>
      </w:r>
      <w:r w:rsidR="006276E2">
        <w:t>is</w:t>
      </w:r>
      <w:r w:rsidR="00AA1DE2">
        <w:t xml:space="preserve"> reported to cause dermatitis, hyperaemia and pruritus. Oral ingestion may cause </w:t>
      </w:r>
      <w:r w:rsidR="00A114B0">
        <w:t>methaemoglobinaemia</w:t>
      </w:r>
      <w:r w:rsidR="00AA1DE2">
        <w:t xml:space="preserve">, cyanosis and convulsions. </w:t>
      </w:r>
      <w:r w:rsidR="006276E2">
        <w:t>No toxic effects a</w:t>
      </w:r>
      <w:r w:rsidR="004430EB">
        <w:t xml:space="preserve">re observed in rats, guinea pigs and rabbits exposed </w:t>
      </w:r>
      <w:r w:rsidR="00911E2E">
        <w:t xml:space="preserve">at </w:t>
      </w:r>
      <w:r w:rsidR="004430EB">
        <w:t>8 ppm (34 mg/m</w:t>
      </w:r>
      <w:r w:rsidR="004430EB">
        <w:rPr>
          <w:vertAlign w:val="superscript"/>
        </w:rPr>
        <w:t>3</w:t>
      </w:r>
      <w:r w:rsidR="004430EB">
        <w:t xml:space="preserve">) for </w:t>
      </w:r>
      <w:r w:rsidR="006C3450">
        <w:t xml:space="preserve">two </w:t>
      </w:r>
      <w:r w:rsidR="004430EB">
        <w:t xml:space="preserve">weeks (ACGIH, 2018). </w:t>
      </w:r>
      <w:r w:rsidR="00911E2E">
        <w:t>There is e</w:t>
      </w:r>
      <w:r w:rsidR="004430EB">
        <w:t xml:space="preserve">vidence for skin sensitisation in animals and </w:t>
      </w:r>
      <w:r w:rsidR="00911E2E">
        <w:t xml:space="preserve">it </w:t>
      </w:r>
      <w:r w:rsidR="006276E2">
        <w:t xml:space="preserve">is supported by evidence of </w:t>
      </w:r>
      <w:r w:rsidR="004430EB">
        <w:t xml:space="preserve">contact dermatitis </w:t>
      </w:r>
      <w:r w:rsidR="006C3450">
        <w:t xml:space="preserve">in </w:t>
      </w:r>
      <w:r w:rsidR="004430EB">
        <w:t>humans (NICNAS, 2016).</w:t>
      </w:r>
    </w:p>
    <w:p w14:paraId="4627A3BE" w14:textId="1B6B6BAF" w:rsidR="006276E2" w:rsidRDefault="00F01DDD" w:rsidP="006639B4">
      <w:pPr>
        <w:rPr>
          <w:rFonts w:cs="Arial"/>
        </w:rPr>
      </w:pPr>
      <w:r w:rsidRPr="00F01DDD">
        <w:rPr>
          <w:rFonts w:cs="Arial"/>
        </w:rPr>
        <w:t xml:space="preserve">Given the limited available data, the TWA of </w:t>
      </w:r>
      <w:r>
        <w:rPr>
          <w:rFonts w:cs="Arial"/>
        </w:rPr>
        <w:t>10</w:t>
      </w:r>
      <w:r w:rsidRPr="00F01DDD">
        <w:rPr>
          <w:rFonts w:cs="Arial"/>
        </w:rPr>
        <w:t xml:space="preserve"> ppm</w:t>
      </w:r>
      <w:r>
        <w:rPr>
          <w:rFonts w:cs="Arial"/>
        </w:rPr>
        <w:t xml:space="preserve"> (45 mg/m</w:t>
      </w:r>
      <w:r>
        <w:rPr>
          <w:rFonts w:cs="Arial"/>
          <w:vertAlign w:val="superscript"/>
        </w:rPr>
        <w:t>3</w:t>
      </w:r>
      <w:r>
        <w:rPr>
          <w:rFonts w:cs="Arial"/>
        </w:rPr>
        <w:t>)</w:t>
      </w:r>
      <w:r w:rsidRPr="00F01DDD">
        <w:rPr>
          <w:rFonts w:cs="Arial"/>
        </w:rPr>
        <w:t xml:space="preserve"> </w:t>
      </w:r>
      <w:r w:rsidR="00193600" w:rsidRPr="00F01DDD">
        <w:rPr>
          <w:rFonts w:cs="Arial"/>
        </w:rPr>
        <w:t xml:space="preserve">by </w:t>
      </w:r>
      <w:r w:rsidR="00193600">
        <w:rPr>
          <w:rFonts w:cs="Arial"/>
        </w:rPr>
        <w:t xml:space="preserve">SWA and </w:t>
      </w:r>
      <w:r w:rsidR="00193600" w:rsidRPr="00F01DDD">
        <w:rPr>
          <w:rFonts w:cs="Arial"/>
        </w:rPr>
        <w:t>ACGIH</w:t>
      </w:r>
      <w:r w:rsidR="00193600">
        <w:rPr>
          <w:rFonts w:cs="Arial"/>
        </w:rPr>
        <w:t xml:space="preserve"> (2018) </w:t>
      </w:r>
      <w:r w:rsidRPr="00F01DDD">
        <w:rPr>
          <w:rFonts w:cs="Arial"/>
        </w:rPr>
        <w:t>is recommended to be retained to limit irritant effects</w:t>
      </w:r>
      <w:r>
        <w:rPr>
          <w:rFonts w:cs="Arial"/>
        </w:rPr>
        <w:t xml:space="preserve">. </w:t>
      </w:r>
    </w:p>
    <w:p w14:paraId="402CF6A4" w14:textId="3300F0EE" w:rsidR="0001483F" w:rsidRPr="00AA1DE2" w:rsidRDefault="00F01DDD" w:rsidP="006639B4">
      <w:pPr>
        <w:rPr>
          <w:rFonts w:cs="Arial"/>
        </w:rPr>
      </w:pPr>
      <w:r>
        <w:rPr>
          <w:rFonts w:cs="Arial"/>
        </w:rPr>
        <w:t>Insufficient data are available to recommend a STEL.</w:t>
      </w:r>
    </w:p>
    <w:p w14:paraId="273B44AD" w14:textId="77777777" w:rsidR="004529F0" w:rsidRPr="004C23F4" w:rsidRDefault="004529F0" w:rsidP="00A63E25">
      <w:pPr>
        <w:pStyle w:val="Heading2"/>
        <w:pageBreakBefore/>
      </w:pPr>
      <w:r>
        <w:lastRenderedPageBreak/>
        <w:t>Recommendation for notations</w:t>
      </w:r>
    </w:p>
    <w:p w14:paraId="27C6755E" w14:textId="77777777" w:rsidR="008E4F1F" w:rsidRPr="00F01DDD" w:rsidRDefault="008E4F1F" w:rsidP="008E4F1F">
      <w:pPr>
        <w:rPr>
          <w:rFonts w:cs="Arial"/>
        </w:rPr>
      </w:pPr>
      <w:r w:rsidRPr="00F01DDD">
        <w:rPr>
          <w:rFonts w:cs="Arial"/>
        </w:rPr>
        <w:t>Not classified as a carcinogen according to the Globally Harmonized System of</w:t>
      </w:r>
      <w:r w:rsidR="00155999" w:rsidRPr="00F01DDD">
        <w:rPr>
          <w:rFonts w:cs="Arial"/>
        </w:rPr>
        <w:t xml:space="preserve"> Classification and Labelling of</w:t>
      </w:r>
      <w:r w:rsidRPr="00F01DDD">
        <w:rPr>
          <w:rFonts w:cs="Arial"/>
        </w:rPr>
        <w:t xml:space="preserve"> Chemicals (GHS). </w:t>
      </w:r>
    </w:p>
    <w:p w14:paraId="03916CCC" w14:textId="7B3EBFFD" w:rsidR="008E4F1F" w:rsidRPr="00F01DDD" w:rsidRDefault="00F01DDD" w:rsidP="008E4F1F">
      <w:pPr>
        <w:rPr>
          <w:rFonts w:cs="Arial"/>
        </w:rPr>
      </w:pPr>
      <w:r>
        <w:rPr>
          <w:rFonts w:cs="Arial"/>
        </w:rPr>
        <w:t>C</w:t>
      </w:r>
      <w:r w:rsidR="008E4F1F" w:rsidRPr="00F01DDD">
        <w:rPr>
          <w:rFonts w:cs="Arial"/>
        </w:rPr>
        <w:t xml:space="preserve">lassified as a skin </w:t>
      </w:r>
      <w:r w:rsidR="00155999" w:rsidRPr="00F01DDD">
        <w:rPr>
          <w:rFonts w:cs="Arial"/>
        </w:rPr>
        <w:t xml:space="preserve">sensitiser </w:t>
      </w:r>
      <w:r>
        <w:rPr>
          <w:rFonts w:cs="Arial"/>
        </w:rPr>
        <w:t>but not a</w:t>
      </w:r>
      <w:r w:rsidR="008E4F1F" w:rsidRPr="00F01DDD">
        <w:rPr>
          <w:rFonts w:cs="Arial"/>
        </w:rPr>
        <w:t xml:space="preserve"> respiratory sensitiser according to the GHS.</w:t>
      </w:r>
    </w:p>
    <w:p w14:paraId="7BC729D1" w14:textId="0B176D8C" w:rsidR="00680D26" w:rsidRDefault="005935E7" w:rsidP="00680D26">
      <w:pPr>
        <w:rPr>
          <w:rFonts w:cs="Arial"/>
        </w:rPr>
      </w:pPr>
      <w:r w:rsidRPr="00116575">
        <w:rPr>
          <w:rFonts w:cs="Arial"/>
        </w:rPr>
        <w:t xml:space="preserve">A skin notation is warranted as evidence indicates </w:t>
      </w:r>
      <w:r>
        <w:rPr>
          <w:rFonts w:cs="Arial"/>
        </w:rPr>
        <w:t>contact dermatitis in humans</w:t>
      </w:r>
      <w:r w:rsidRPr="00116575">
        <w:rPr>
          <w:rFonts w:cs="Arial"/>
        </w:rPr>
        <w:t xml:space="preserve"> and reports of </w:t>
      </w:r>
      <w:r>
        <w:rPr>
          <w:rFonts w:cs="Arial"/>
        </w:rPr>
        <w:t xml:space="preserve">systemic effects </w:t>
      </w:r>
      <w:bookmarkStart w:id="0" w:name="_GoBack"/>
      <w:bookmarkEnd w:id="0"/>
      <w:r>
        <w:rPr>
          <w:rFonts w:cs="Arial"/>
        </w:rPr>
        <w:t>in animals</w:t>
      </w:r>
      <w:r w:rsidRPr="00116575">
        <w:rPr>
          <w:rFonts w:cs="Arial"/>
        </w:rPr>
        <w:t>.</w:t>
      </w:r>
    </w:p>
    <w:p w14:paraId="4059CB85" w14:textId="3C0D719E" w:rsidR="005E6979" w:rsidRPr="00680D26" w:rsidRDefault="005E6979" w:rsidP="00680D26">
      <w:pPr>
        <w:rPr>
          <w:rFonts w:cs="Arial"/>
        </w:rPr>
        <w:sectPr w:rsidR="005E6979" w:rsidRPr="00680D26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511B4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511B44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0D39E4DD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C46392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C46392">
                  <w:t>TWA: 10 ppm (45 mg/m</w:t>
                </w:r>
                <w:r w:rsidR="00C46392" w:rsidRPr="00C46392">
                  <w:rPr>
                    <w:vertAlign w:val="superscript"/>
                  </w:rPr>
                  <w:t>3</w:t>
                </w:r>
                <w:r w:rsidR="00C46392">
                  <w:t>); STEL: 20 ppm (90 mg/m</w:t>
                </w:r>
                <w:r w:rsidR="00C46392" w:rsidRPr="00C46392">
                  <w:rPr>
                    <w:vertAlign w:val="superscript"/>
                  </w:rPr>
                  <w:t>3</w:t>
                </w:r>
                <w:r w:rsidR="00C46392">
                  <w:t>)</w:t>
                </w:r>
              </w:sdtContent>
            </w:sdt>
          </w:p>
        </w:tc>
      </w:tr>
      <w:tr w:rsidR="00C978F0" w:rsidRPr="00DA352E" w14:paraId="26087DDB" w14:textId="77777777" w:rsidTr="00511B44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511B4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20E40F6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C46392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C46392">
                  <w:t>TLV-TWA: 10 ppm (45 mg/m</w:t>
                </w:r>
                <w:r w:rsidR="00C46392" w:rsidRPr="00C46392">
                  <w:rPr>
                    <w:vertAlign w:val="superscript"/>
                  </w:rPr>
                  <w:t>3</w:t>
                </w:r>
                <w:r w:rsidR="00C46392">
                  <w:t>); TLV-STEL: 20 ppm (90 mg/m</w:t>
                </w:r>
                <w:r w:rsidR="00C46392" w:rsidRPr="00C46392">
                  <w:rPr>
                    <w:vertAlign w:val="superscript"/>
                  </w:rPr>
                  <w:t>3</w:t>
                </w:r>
                <w:r w:rsidR="00C46392">
                  <w:t>)</w:t>
                </w:r>
              </w:sdtContent>
            </w:sdt>
          </w:p>
        </w:tc>
      </w:tr>
      <w:tr w:rsidR="00C978F0" w:rsidRPr="00DA352E" w14:paraId="418D532D" w14:textId="77777777" w:rsidTr="00511B44">
        <w:trPr>
          <w:gridAfter w:val="1"/>
          <w:wAfter w:w="8" w:type="pct"/>
          <w:cantSplit/>
        </w:trPr>
        <w:tc>
          <w:tcPr>
            <w:tcW w:w="4992" w:type="pct"/>
          </w:tcPr>
          <w:p w14:paraId="4A91F390" w14:textId="77777777" w:rsidR="00C978F0" w:rsidRDefault="008C3C76" w:rsidP="00674560">
            <w:pPr>
              <w:pStyle w:val="Tabletextprimarysource"/>
            </w:pPr>
            <w:r>
              <w:t>TLV-TWA and TLV-STEL recommended to minimise the potential for eye and skin irritation and dermatitis.</w:t>
            </w:r>
          </w:p>
          <w:p w14:paraId="4B97F435" w14:textId="4BC1F587" w:rsidR="008C3C76" w:rsidRDefault="008C3C76" w:rsidP="00674560">
            <w:pPr>
              <w:pStyle w:val="Tabletextprimarysource"/>
            </w:pPr>
            <w:r>
              <w:t>Summary of data:</w:t>
            </w:r>
          </w:p>
          <w:p w14:paraId="4DE54D80" w14:textId="1B7BC7F2" w:rsidR="008C3C76" w:rsidRDefault="008C3C76" w:rsidP="006276E2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t>TLV-TWA and TLV-STEL are based on industrial experience and by analogy with TLVs for</w:t>
            </w:r>
            <w:r w:rsidR="00680D26">
              <w:t xml:space="preserve">: </w:t>
            </w:r>
            <w:r w:rsidR="005935E7">
              <w:t>p</w:t>
            </w:r>
            <w:r>
              <w:t>henol</w:t>
            </w:r>
            <w:r w:rsidR="00680D26">
              <w:t xml:space="preserve"> </w:t>
            </w:r>
            <w:r>
              <w:t>– TLV-TWA of 5 ppm (19 mg/m</w:t>
            </w:r>
            <w:r>
              <w:rPr>
                <w:vertAlign w:val="superscript"/>
              </w:rPr>
              <w:t>3</w:t>
            </w:r>
            <w:r>
              <w:t>)</w:t>
            </w:r>
            <w:r w:rsidR="00680D26">
              <w:t xml:space="preserve"> and </w:t>
            </w:r>
            <w:r w:rsidR="005935E7">
              <w:t>c</w:t>
            </w:r>
            <w:r>
              <w:t>atechol – TLV-TWA of 5 ppm (23 mg/m</w:t>
            </w:r>
            <w:r>
              <w:rPr>
                <w:vertAlign w:val="superscript"/>
              </w:rPr>
              <w:t>3</w:t>
            </w:r>
            <w:r>
              <w:t>)</w:t>
            </w:r>
            <w:r w:rsidR="00674560">
              <w:t>.</w:t>
            </w:r>
          </w:p>
          <w:p w14:paraId="261AEF3A" w14:textId="77777777" w:rsidR="008C3C76" w:rsidRDefault="008C3C76" w:rsidP="00674560">
            <w:pPr>
              <w:pStyle w:val="Tabletextprimarysource"/>
            </w:pPr>
            <w:r>
              <w:t>Human data:</w:t>
            </w:r>
          </w:p>
          <w:p w14:paraId="0E10A82E" w14:textId="3B6627F0" w:rsidR="008C3C76" w:rsidRDefault="00A114B0" w:rsidP="005935E7">
            <w:pPr>
              <w:pStyle w:val="ListBullet"/>
              <w:spacing w:before="60" w:after="60"/>
              <w:ind w:left="720"/>
              <w:contextualSpacing w:val="0"/>
            </w:pPr>
            <w:r>
              <w:t>I</w:t>
            </w:r>
            <w:r w:rsidR="008C3C76">
              <w:t xml:space="preserve">ngestion may cause </w:t>
            </w:r>
            <w:r w:rsidR="006276E2">
              <w:t>methaemoglobinaemia</w:t>
            </w:r>
            <w:r w:rsidR="008C3C76">
              <w:t>, cyanosis, and convulsions</w:t>
            </w:r>
            <w:r>
              <w:t>,</w:t>
            </w:r>
            <w:r w:rsidR="008C3C76">
              <w:t xml:space="preserve"> no further details</w:t>
            </w:r>
          </w:p>
          <w:p w14:paraId="79EB0000" w14:textId="66E00D81" w:rsidR="008C3C76" w:rsidRDefault="006276E2" w:rsidP="005935E7">
            <w:pPr>
              <w:pStyle w:val="ListBullet"/>
              <w:spacing w:before="60" w:after="60"/>
              <w:ind w:left="720"/>
              <w:contextualSpacing w:val="0"/>
            </w:pPr>
            <w:r>
              <w:t>Dermal exposure</w:t>
            </w:r>
            <w:r w:rsidR="008C3C76">
              <w:t xml:space="preserve"> reported to cause dermatitis, hyperaemia and pruritus</w:t>
            </w:r>
          </w:p>
          <w:p w14:paraId="463D0B96" w14:textId="3FEC3B35" w:rsidR="008C3C76" w:rsidRDefault="001A40DD" w:rsidP="005935E7">
            <w:pPr>
              <w:pStyle w:val="ListBullet"/>
              <w:spacing w:before="60" w:after="60"/>
              <w:ind w:left="720"/>
              <w:contextualSpacing w:val="0"/>
            </w:pPr>
            <w:r>
              <w:t>A survey of 180 workers reported no complaints of irritation or discomfort at 10 ppm</w:t>
            </w:r>
            <w:r w:rsidR="00A114B0">
              <w:t xml:space="preserve">, </w:t>
            </w:r>
            <w:r>
              <w:t>no further information</w:t>
            </w:r>
            <w:r w:rsidR="00674560">
              <w:t>.</w:t>
            </w:r>
          </w:p>
          <w:p w14:paraId="7A7A242E" w14:textId="77777777" w:rsidR="001A40DD" w:rsidRDefault="001A40DD" w:rsidP="00674560">
            <w:pPr>
              <w:pStyle w:val="Tabletextprimarysource"/>
            </w:pPr>
            <w:r>
              <w:t>Animal data:</w:t>
            </w:r>
          </w:p>
          <w:p w14:paraId="028A7F7B" w14:textId="77777777" w:rsidR="001A40DD" w:rsidRDefault="00B548AD" w:rsidP="005935E7">
            <w:pPr>
              <w:pStyle w:val="ListBullet"/>
              <w:spacing w:before="60" w:after="60"/>
              <w:ind w:left="720"/>
              <w:contextualSpacing w:val="0"/>
            </w:pPr>
            <w:r>
              <w:t>Reported to be less toxic than phenol or catechol by ingestion or skin penetration</w:t>
            </w:r>
          </w:p>
          <w:p w14:paraId="1C6325D4" w14:textId="5405A7F7" w:rsidR="00B548AD" w:rsidRDefault="00B548AD" w:rsidP="005935E7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5935E7">
              <w:t>:</w:t>
            </w:r>
            <w:r>
              <w:t xml:space="preserve"> 3.66 g/kg </w:t>
            </w:r>
            <w:r w:rsidR="005935E7">
              <w:t>(</w:t>
            </w:r>
            <w:r>
              <w:t>rabbits</w:t>
            </w:r>
            <w:r w:rsidR="005935E7">
              <w:t>, dermal)</w:t>
            </w:r>
          </w:p>
          <w:p w14:paraId="3E05AD8D" w14:textId="0B5D625E" w:rsidR="00B548AD" w:rsidRDefault="00B548AD" w:rsidP="005935E7">
            <w:pPr>
              <w:pStyle w:val="ListBullet"/>
              <w:spacing w:before="60" w:after="60"/>
              <w:ind w:left="720"/>
              <w:contextualSpacing w:val="0"/>
            </w:pPr>
            <w:r>
              <w:t>Inhalation exposure at 1,733 ppm for 1 h or 625 ppm for 8 h</w:t>
            </w:r>
            <w:r w:rsidR="00E23FE5">
              <w:t xml:space="preserve"> did not</w:t>
            </w:r>
            <w:r>
              <w:t xml:space="preserve"> cause deaths or lesions attributable to inhalation</w:t>
            </w:r>
            <w:r w:rsidR="00A114B0">
              <w:t xml:space="preserve">, </w:t>
            </w:r>
            <w:r>
              <w:t xml:space="preserve">no </w:t>
            </w:r>
            <w:r w:rsidR="00911E2E">
              <w:t xml:space="preserve">information on </w:t>
            </w:r>
            <w:r>
              <w:t>species provided</w:t>
            </w:r>
          </w:p>
          <w:p w14:paraId="45084D8E" w14:textId="357A51DA" w:rsidR="00B548AD" w:rsidRDefault="00B548AD" w:rsidP="005935E7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Application of 0.1 g into the eyes of rabbits caused discomfort, </w:t>
            </w:r>
            <w:r w:rsidR="006276E2">
              <w:t>conjunctivitis</w:t>
            </w:r>
            <w:r>
              <w:t xml:space="preserve"> and corneal ulcerations that were not reversible</w:t>
            </w:r>
          </w:p>
          <w:p w14:paraId="7E702E4F" w14:textId="6C1F233D" w:rsidR="00B548AD" w:rsidRDefault="00B548AD" w:rsidP="005935E7">
            <w:pPr>
              <w:pStyle w:val="ListBullet"/>
              <w:spacing w:before="60" w:after="60"/>
              <w:ind w:left="720"/>
              <w:contextualSpacing w:val="0"/>
            </w:pPr>
            <w:r>
              <w:t>No toxic effects observed in rats, guinea pigs and rabbits exposed at 8 ppm (34 mg/m</w:t>
            </w:r>
            <w:r>
              <w:rPr>
                <w:vertAlign w:val="superscript"/>
              </w:rPr>
              <w:t>3</w:t>
            </w:r>
            <w:r>
              <w:t>) for 6 h/d for 2 wk</w:t>
            </w:r>
            <w:r w:rsidR="00E23FE5">
              <w:t>.</w:t>
            </w:r>
            <w:r>
              <w:t xml:space="preserve"> </w:t>
            </w:r>
            <w:r w:rsidR="00E23FE5">
              <w:t xml:space="preserve">No </w:t>
            </w:r>
            <w:r>
              <w:t>further information</w:t>
            </w:r>
          </w:p>
          <w:p w14:paraId="58BB55D2" w14:textId="13BEA3DD" w:rsidR="00B548AD" w:rsidRDefault="00B548AD" w:rsidP="005935E7">
            <w:pPr>
              <w:pStyle w:val="ListBullet"/>
              <w:spacing w:before="60" w:after="60"/>
              <w:ind w:left="720"/>
              <w:contextualSpacing w:val="0"/>
            </w:pPr>
            <w:r>
              <w:t>Evidence of carcinogenicity in animal bioassays is negative or inadequate</w:t>
            </w:r>
            <w:r w:rsidR="00674560">
              <w:t>.</w:t>
            </w:r>
          </w:p>
          <w:p w14:paraId="5DAFC547" w14:textId="77777777" w:rsidR="00680D26" w:rsidRDefault="00680D26" w:rsidP="00674560">
            <w:pPr>
              <w:pStyle w:val="Tabletextprimarysource"/>
              <w:contextualSpacing/>
            </w:pPr>
          </w:p>
          <w:p w14:paraId="6583CBEF" w14:textId="77777777" w:rsidR="00B548AD" w:rsidRDefault="00B548AD" w:rsidP="00674560">
            <w:pPr>
              <w:pStyle w:val="Tabletextprimarysource"/>
            </w:pPr>
            <w:r>
              <w:t>Insufficient data to recommend a skin or sensitiser notation.</w:t>
            </w:r>
          </w:p>
          <w:p w14:paraId="0CE4D35D" w14:textId="21D43862" w:rsidR="00680D26" w:rsidRPr="00DA352E" w:rsidRDefault="00680D26" w:rsidP="00674560">
            <w:pPr>
              <w:pStyle w:val="Tabletextprimarysource"/>
            </w:pPr>
          </w:p>
        </w:tc>
      </w:tr>
      <w:tr w:rsidR="00C978F0" w:rsidRPr="00DA352E" w14:paraId="174F8B79" w14:textId="77777777" w:rsidTr="00511B4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417DCED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E6223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9E6223">
                  <w:t>Not assigned</w:t>
                </w:r>
              </w:sdtContent>
            </w:sdt>
          </w:p>
        </w:tc>
      </w:tr>
      <w:tr w:rsidR="00C978F0" w:rsidRPr="00DA352E" w14:paraId="4433014F" w14:textId="77777777" w:rsidTr="00511B44">
        <w:trPr>
          <w:gridAfter w:val="1"/>
          <w:wAfter w:w="8" w:type="pct"/>
          <w:cantSplit/>
        </w:trPr>
        <w:tc>
          <w:tcPr>
            <w:tcW w:w="4992" w:type="pct"/>
          </w:tcPr>
          <w:p w14:paraId="02597EB9" w14:textId="23587D3A" w:rsidR="00C978F0" w:rsidRDefault="00803AAD" w:rsidP="003365A5">
            <w:pPr>
              <w:pStyle w:val="Tabletextprimarysource"/>
            </w:pPr>
            <w:r>
              <w:t>MAK not yet established due to lack of appropriate studies in humans and animals.</w:t>
            </w:r>
          </w:p>
          <w:p w14:paraId="1C718B3C" w14:textId="77777777" w:rsidR="00803AAD" w:rsidRDefault="00803AAD" w:rsidP="003365A5">
            <w:pPr>
              <w:pStyle w:val="Tabletextprimarysource"/>
            </w:pPr>
            <w:r>
              <w:t>No additional data.</w:t>
            </w:r>
          </w:p>
          <w:p w14:paraId="61A64F09" w14:textId="65C39D2C" w:rsidR="00680D26" w:rsidRPr="00DA352E" w:rsidRDefault="00680D26" w:rsidP="003365A5">
            <w:pPr>
              <w:pStyle w:val="Tabletextprimarysource"/>
              <w:contextualSpacing/>
            </w:pPr>
          </w:p>
        </w:tc>
      </w:tr>
      <w:tr w:rsidR="00C978F0" w:rsidRPr="00DA352E" w14:paraId="0E6A0B2C" w14:textId="77777777" w:rsidTr="00511B4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614FF0A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9E622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9E6223">
                  <w:t>NA</w:t>
                </w:r>
                <w:proofErr w:type="spellEnd"/>
              </w:sdtContent>
            </w:sdt>
          </w:p>
        </w:tc>
      </w:tr>
      <w:tr w:rsidR="00C978F0" w:rsidRPr="00DA352E" w14:paraId="2008D281" w14:textId="77777777" w:rsidTr="00511B44">
        <w:trPr>
          <w:gridAfter w:val="1"/>
          <w:wAfter w:w="8" w:type="pct"/>
          <w:cantSplit/>
        </w:trPr>
        <w:tc>
          <w:tcPr>
            <w:tcW w:w="4992" w:type="pct"/>
          </w:tcPr>
          <w:p w14:paraId="153B53C1" w14:textId="277788DF" w:rsidR="00C978F0" w:rsidRPr="00DA352E" w:rsidRDefault="009E6223" w:rsidP="003365A5">
            <w:pPr>
              <w:pStyle w:val="Tabletextprimarysource"/>
            </w:pPr>
            <w:r>
              <w:t>No report</w:t>
            </w:r>
            <w:r w:rsidR="00674560">
              <w:t>.</w:t>
            </w:r>
          </w:p>
        </w:tc>
      </w:tr>
      <w:tr w:rsidR="00DA352E" w:rsidRPr="00DA352E" w14:paraId="12BAB90D" w14:textId="77777777" w:rsidTr="00511B4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00B1C016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9E622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9E6223">
                  <w:t>NA</w:t>
                </w:r>
                <w:proofErr w:type="spellEnd"/>
              </w:sdtContent>
            </w:sdt>
          </w:p>
        </w:tc>
      </w:tr>
      <w:tr w:rsidR="00DA352E" w:rsidRPr="00DA352E" w14:paraId="33AAF4A6" w14:textId="77777777" w:rsidTr="00511B44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2FCA95C6" w:rsidR="00DA352E" w:rsidRPr="00DA352E" w:rsidRDefault="009E6223" w:rsidP="003365A5">
            <w:pPr>
              <w:pStyle w:val="Tabletextprimarysource"/>
            </w:pPr>
            <w:r>
              <w:t>No report</w:t>
            </w:r>
            <w:r w:rsidR="00674560">
              <w:t>.</w:t>
            </w:r>
          </w:p>
        </w:tc>
      </w:tr>
      <w:tr w:rsidR="00DA352E" w:rsidRPr="00DA352E" w14:paraId="605F758C" w14:textId="77777777" w:rsidTr="00511B44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0DCF8159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9E6223" w:rsidRPr="009E6223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9E6223">
                  <w:t>TWA: 10 ppm (45 mg/m</w:t>
                </w:r>
                <w:r w:rsidR="009E6223" w:rsidRPr="009E6223">
                  <w:rPr>
                    <w:vertAlign w:val="superscript"/>
                  </w:rPr>
                  <w:t>3</w:t>
                </w:r>
                <w:r w:rsidR="009E6223">
                  <w:t>)</w:t>
                </w:r>
              </w:sdtContent>
            </w:sdt>
          </w:p>
        </w:tc>
      </w:tr>
      <w:tr w:rsidR="00DA352E" w:rsidRPr="00DA352E" w14:paraId="7050CB3E" w14:textId="77777777" w:rsidTr="00511B44">
        <w:trPr>
          <w:gridAfter w:val="1"/>
          <w:wAfter w:w="8" w:type="pct"/>
          <w:cantSplit/>
        </w:trPr>
        <w:tc>
          <w:tcPr>
            <w:tcW w:w="4992" w:type="pct"/>
          </w:tcPr>
          <w:p w14:paraId="4A84527C" w14:textId="09E0A0B4" w:rsidR="00BE6473" w:rsidRDefault="00BE6473" w:rsidP="00674560">
            <w:pPr>
              <w:pStyle w:val="Tabletextprimarysource"/>
            </w:pPr>
            <w:r>
              <w:t>Administrative OEL</w:t>
            </w:r>
            <w:r w:rsidR="00674560">
              <w:t>.</w:t>
            </w:r>
          </w:p>
          <w:p w14:paraId="37DBE23C" w14:textId="7100E5FF" w:rsidR="00DA352E" w:rsidRDefault="00BE6473">
            <w:pPr>
              <w:pStyle w:val="Tabletextprimarysource"/>
            </w:pPr>
            <w:r>
              <w:t>Summary of additional data:</w:t>
            </w:r>
          </w:p>
          <w:p w14:paraId="576FA76A" w14:textId="0197D2D3" w:rsidR="00033E15" w:rsidRDefault="00033E15" w:rsidP="005935E7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Although the administrative </w:t>
            </w:r>
            <w:r w:rsidR="00E23FE5">
              <w:t xml:space="preserve">TWA </w:t>
            </w:r>
            <w:r>
              <w:t>is the existing guideline value the following provides information and derivation relating to a recommended health</w:t>
            </w:r>
            <w:r>
              <w:noBreakHyphen/>
              <w:t>based OEL (HBROEL) (which is not legally enacted)</w:t>
            </w:r>
          </w:p>
          <w:p w14:paraId="788F0D3E" w14:textId="387F9F47" w:rsidR="00BE6473" w:rsidRDefault="00BE6473" w:rsidP="005935E7">
            <w:pPr>
              <w:pStyle w:val="ListBullet"/>
              <w:spacing w:before="60" w:after="60"/>
              <w:ind w:left="720"/>
              <w:contextualSpacing w:val="0"/>
            </w:pPr>
            <w:r>
              <w:t>The chronic NOAEL of 50 mg/kg/d based on ataxia, prostration, salivation and tremors observed in a long-term rat gavage study</w:t>
            </w:r>
            <w:r w:rsidR="00E23FE5">
              <w:t xml:space="preserve"> was u</w:t>
            </w:r>
            <w:r w:rsidR="00A114B0">
              <w:t xml:space="preserve">sed </w:t>
            </w:r>
            <w:r>
              <w:t xml:space="preserve">as the starting point for deriving the </w:t>
            </w:r>
            <w:r w:rsidR="00C61012">
              <w:t>HBROEL</w:t>
            </w:r>
            <w:r w:rsidR="004314AA">
              <w:t xml:space="preserve"> of 10 mg/m</w:t>
            </w:r>
            <w:r w:rsidR="004314AA" w:rsidRPr="00BE6473">
              <w:rPr>
                <w:vertAlign w:val="superscript"/>
              </w:rPr>
              <w:t>3</w:t>
            </w:r>
            <w:r w:rsidR="004314AA">
              <w:t xml:space="preserve"> TWA</w:t>
            </w:r>
            <w:r w:rsidR="00680D26">
              <w:t>:</w:t>
            </w:r>
          </w:p>
          <w:p w14:paraId="13447589" w14:textId="52728F1D" w:rsidR="00BE6473" w:rsidRDefault="003D0703" w:rsidP="006276E2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t</w:t>
            </w:r>
            <w:r w:rsidR="004314AA">
              <w:t xml:space="preserve">he NOAEL is divided by an UF </w:t>
            </w:r>
            <w:r w:rsidR="00BE6473">
              <w:t xml:space="preserve">of 4 applied for allometric scaling from rats to humans based on caloric demand and an </w:t>
            </w:r>
            <w:r w:rsidR="004314AA">
              <w:t xml:space="preserve">UF </w:t>
            </w:r>
            <w:r w:rsidR="00BE6473">
              <w:t xml:space="preserve">factor of 9 </w:t>
            </w:r>
            <w:r w:rsidR="007F13B7">
              <w:t xml:space="preserve">to </w:t>
            </w:r>
            <w:r w:rsidR="004314AA">
              <w:t xml:space="preserve">account for </w:t>
            </w:r>
            <w:r w:rsidR="00BE6473">
              <w:t>intra- and interspecies variation</w:t>
            </w:r>
            <w:r w:rsidR="004314AA">
              <w:t xml:space="preserve"> to </w:t>
            </w:r>
            <w:r w:rsidR="007F13B7">
              <w:t>calculate</w:t>
            </w:r>
            <w:r w:rsidR="004314AA">
              <w:t xml:space="preserve"> </w:t>
            </w:r>
            <w:r w:rsidR="00BE6473">
              <w:t xml:space="preserve">a </w:t>
            </w:r>
            <w:r w:rsidR="007F13B7">
              <w:t xml:space="preserve">human </w:t>
            </w:r>
            <w:r w:rsidR="004314AA">
              <w:t>NOAEL</w:t>
            </w:r>
            <w:r w:rsidR="004314AA" w:rsidDel="004314AA">
              <w:t xml:space="preserve"> </w:t>
            </w:r>
            <w:r w:rsidR="00BE6473">
              <w:t>of 1.4 mg/kg/d</w:t>
            </w:r>
          </w:p>
          <w:p w14:paraId="1875430E" w14:textId="0B6E3132" w:rsidR="007F13B7" w:rsidRDefault="003D0703" w:rsidP="006276E2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t</w:t>
            </w:r>
            <w:r w:rsidR="007F13B7">
              <w:t xml:space="preserve">he </w:t>
            </w:r>
            <w:r w:rsidR="004314AA">
              <w:t>NOAEL</w:t>
            </w:r>
            <w:r w:rsidR="004314AA" w:rsidDel="004314AA">
              <w:t xml:space="preserve"> </w:t>
            </w:r>
            <w:r w:rsidR="004314AA">
              <w:t xml:space="preserve">in humans of 1.4 mg/kg/d is extrapolated to an equivalent inhalational NOAEC </w:t>
            </w:r>
            <w:r w:rsidR="007F13B7">
              <w:t xml:space="preserve">of </w:t>
            </w:r>
            <w:r w:rsidR="00B336BB">
              <w:t>9.72</w:t>
            </w:r>
            <w:r w:rsidR="007F13B7">
              <w:t xml:space="preserve"> mg/m</w:t>
            </w:r>
            <w:r w:rsidR="007F13B7" w:rsidRPr="00C61012">
              <w:rPr>
                <w:vertAlign w:val="superscript"/>
              </w:rPr>
              <w:t>3</w:t>
            </w:r>
            <w:r w:rsidR="007F13B7">
              <w:t xml:space="preserve"> assuming</w:t>
            </w:r>
            <w:r w:rsidR="004314AA">
              <w:t xml:space="preserve"> </w:t>
            </w:r>
            <w:r w:rsidR="00BE6473">
              <w:t>a 70</w:t>
            </w:r>
            <w:r w:rsidR="00674560">
              <w:t xml:space="preserve"> </w:t>
            </w:r>
            <w:r w:rsidR="00BE6473">
              <w:t>kg worker inhales 10 m</w:t>
            </w:r>
            <w:r w:rsidR="00BE6473" w:rsidRPr="005935E7">
              <w:rPr>
                <w:vertAlign w:val="superscript"/>
              </w:rPr>
              <w:t>3</w:t>
            </w:r>
            <w:r w:rsidR="00BE6473">
              <w:t xml:space="preserve"> during an 8</w:t>
            </w:r>
            <w:r w:rsidR="004314AA">
              <w:t xml:space="preserve"> </w:t>
            </w:r>
            <w:r w:rsidR="00BE6473">
              <w:t xml:space="preserve">h working day and </w:t>
            </w:r>
            <w:r w:rsidR="007F13B7">
              <w:t xml:space="preserve">the </w:t>
            </w:r>
            <w:r w:rsidR="004314AA">
              <w:t xml:space="preserve">inhalational bioavailability </w:t>
            </w:r>
            <w:r w:rsidR="007F13B7">
              <w:t xml:space="preserve">is </w:t>
            </w:r>
            <w:r w:rsidR="00BE6473">
              <w:t>100%</w:t>
            </w:r>
          </w:p>
          <w:p w14:paraId="7561352C" w14:textId="53620F9D" w:rsidR="00BE6473" w:rsidRDefault="003D0703" w:rsidP="006276E2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t</w:t>
            </w:r>
            <w:r w:rsidR="004314AA">
              <w:t xml:space="preserve">he </w:t>
            </w:r>
            <w:r w:rsidR="007F13B7">
              <w:t xml:space="preserve">health-based </w:t>
            </w:r>
            <w:r w:rsidR="004314AA">
              <w:t>TWA OEL</w:t>
            </w:r>
            <w:r w:rsidR="007F13B7">
              <w:t xml:space="preserve"> of</w:t>
            </w:r>
            <w:r w:rsidR="004314AA">
              <w:t xml:space="preserve"> </w:t>
            </w:r>
            <w:r w:rsidR="007F13B7">
              <w:t>10 mg/m</w:t>
            </w:r>
            <w:r w:rsidR="007F13B7">
              <w:rPr>
                <w:vertAlign w:val="superscript"/>
              </w:rPr>
              <w:t>3</w:t>
            </w:r>
            <w:r w:rsidR="007F13B7">
              <w:t xml:space="preserve"> </w:t>
            </w:r>
            <w:r w:rsidR="004314AA">
              <w:t xml:space="preserve">is </w:t>
            </w:r>
            <w:r w:rsidR="00B336BB">
              <w:t>rounded up of the NOAEC</w:t>
            </w:r>
            <w:r w:rsidR="00BE6473">
              <w:t xml:space="preserve"> </w:t>
            </w:r>
            <w:r w:rsidR="007F13B7">
              <w:t xml:space="preserve">according to </w:t>
            </w:r>
            <w:r w:rsidR="00A03E90">
              <w:t>HCOTN</w:t>
            </w:r>
            <w:r w:rsidR="007F13B7">
              <w:t xml:space="preserve"> </w:t>
            </w:r>
            <w:r w:rsidR="004260FC">
              <w:t>methodology</w:t>
            </w:r>
          </w:p>
          <w:p w14:paraId="4DE08032" w14:textId="33B8C861" w:rsidR="00BE6473" w:rsidRDefault="005935E7" w:rsidP="006276E2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r</w:t>
            </w:r>
            <w:r w:rsidR="00BE6473">
              <w:t>ecommended OEL of 10 mg/m</w:t>
            </w:r>
            <w:r w:rsidR="00BE6473">
              <w:rPr>
                <w:vertAlign w:val="superscript"/>
              </w:rPr>
              <w:t>3</w:t>
            </w:r>
            <w:r w:rsidR="00BE6473">
              <w:t xml:space="preserve"> considered sufficiently low to protect for irritation</w:t>
            </w:r>
          </w:p>
          <w:p w14:paraId="25867B2F" w14:textId="77777777" w:rsidR="00BE6473" w:rsidRDefault="00BE6473" w:rsidP="005935E7">
            <w:pPr>
              <w:pStyle w:val="ListBullet"/>
              <w:spacing w:before="60" w:after="60"/>
              <w:ind w:left="720"/>
              <w:contextualSpacing w:val="0"/>
            </w:pPr>
            <w:r>
              <w:t>A skin notation is not warranted.</w:t>
            </w:r>
          </w:p>
          <w:p w14:paraId="492D7791" w14:textId="01D362EB" w:rsidR="00680D26" w:rsidRPr="00DA352E" w:rsidRDefault="00680D26" w:rsidP="006276E2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1"/>
        <w:gridCol w:w="423"/>
        <w:gridCol w:w="661"/>
        <w:gridCol w:w="6451"/>
      </w:tblGrid>
      <w:tr w:rsidR="004966BF" w:rsidRPr="00263255" w14:paraId="6AE89AB3" w14:textId="77777777" w:rsidTr="00511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1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7214C13" w14:textId="77777777" w:rsidTr="00511B44">
        <w:trPr>
          <w:cantSplit/>
        </w:trPr>
        <w:tc>
          <w:tcPr>
            <w:tcW w:w="1491" w:type="dxa"/>
          </w:tcPr>
          <w:p w14:paraId="4B3B2A83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37DAB09E" w14:textId="66578620" w:rsidR="004966BF" w:rsidRPr="00CE617F" w:rsidRDefault="00511B4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A1D2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BB66CBF" w14:textId="5598A5D1" w:rsidR="004966BF" w:rsidRPr="004C23F4" w:rsidRDefault="00AA1D2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51" w:type="dxa"/>
          </w:tcPr>
          <w:p w14:paraId="39ED8587" w14:textId="2B7279F5" w:rsidR="00AA1D2D" w:rsidRDefault="006276E2" w:rsidP="005935E7">
            <w:pPr>
              <w:pStyle w:val="ListBullet"/>
              <w:ind w:left="72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Fonts w:cs="Arial"/>
                <w:color w:val="262626"/>
              </w:rPr>
              <w:t>In human patch tests, 4/</w:t>
            </w:r>
            <w:r w:rsidR="00AA1D2D">
              <w:rPr>
                <w:rFonts w:cs="Arial"/>
                <w:color w:val="262626"/>
              </w:rPr>
              <w:t>302 hairdressers suffering from contact dermatit</w:t>
            </w:r>
            <w:r>
              <w:rPr>
                <w:rFonts w:cs="Arial"/>
                <w:color w:val="262626"/>
              </w:rPr>
              <w:t>is reported a positive reaction</w:t>
            </w:r>
            <w:r w:rsidR="00512883">
              <w:rPr>
                <w:rFonts w:cs="Arial"/>
                <w:color w:val="262626"/>
              </w:rPr>
              <w:t xml:space="preserve">, </w:t>
            </w:r>
            <w:r>
              <w:rPr>
                <w:rFonts w:cs="Arial"/>
                <w:color w:val="262626"/>
              </w:rPr>
              <w:t>n</w:t>
            </w:r>
            <w:r w:rsidR="00AA1D2D">
              <w:rPr>
                <w:rFonts w:cs="Arial"/>
                <w:color w:val="262626"/>
              </w:rPr>
              <w:t>o further details available</w:t>
            </w:r>
          </w:p>
          <w:p w14:paraId="530D2C20" w14:textId="3F826354" w:rsidR="004966BF" w:rsidRDefault="00AA1D2D" w:rsidP="005935E7">
            <w:pPr>
              <w:pStyle w:val="ListBullet"/>
              <w:ind w:left="72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P</w:t>
            </w:r>
            <w:r w:rsidRPr="00AA1D2D">
              <w:rPr>
                <w:rStyle w:val="checkbox"/>
                <w:rFonts w:ascii="Arial" w:hAnsi="Arial" w:cs="Arial"/>
              </w:rPr>
              <w:t xml:space="preserve">ositive skin sensitisation reported in mouse LLNA studies in </w:t>
            </w:r>
            <w:r w:rsidR="00674560">
              <w:rPr>
                <w:rStyle w:val="checkbox"/>
                <w:rFonts w:ascii="Arial" w:hAnsi="Arial" w:cs="Arial"/>
              </w:rPr>
              <w:t>2</w:t>
            </w:r>
            <w:r w:rsidRPr="00AA1D2D">
              <w:rPr>
                <w:rStyle w:val="checkbox"/>
                <w:rFonts w:ascii="Arial" w:hAnsi="Arial" w:cs="Arial"/>
              </w:rPr>
              <w:t xml:space="preserve"> independent experiments</w:t>
            </w:r>
            <w:r>
              <w:rPr>
                <w:rStyle w:val="checkbox"/>
                <w:rFonts w:ascii="Arial" w:hAnsi="Arial" w:cs="Arial"/>
              </w:rPr>
              <w:t xml:space="preserve"> (OECD TG 429)</w:t>
            </w:r>
          </w:p>
          <w:p w14:paraId="0076C2F1" w14:textId="10B133D4" w:rsidR="00AA1D2D" w:rsidRPr="00AA1D2D" w:rsidRDefault="00AA1D2D" w:rsidP="005935E7">
            <w:pPr>
              <w:pStyle w:val="ListBullet"/>
              <w:ind w:left="72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Considered to be a skin sensitiser based on evidence from </w:t>
            </w:r>
            <w:r>
              <w:rPr>
                <w:rFonts w:cs="Arial"/>
                <w:color w:val="262626"/>
              </w:rPr>
              <w:t>guinea pig maximisation test.</w:t>
            </w:r>
          </w:p>
        </w:tc>
      </w:tr>
    </w:tbl>
    <w:bookmarkEnd w:id="1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28EBB70" w14:textId="77777777" w:rsidTr="00AA1D2D">
        <w:trPr>
          <w:trHeight w:val="454"/>
          <w:tblHeader/>
        </w:trPr>
        <w:tc>
          <w:tcPr>
            <w:tcW w:w="6603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B8F4675" w14:textId="69A15154" w:rsidR="002E0D61" w:rsidRDefault="00AA1D2D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AA1D2D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A7516AB" w14:textId="6014DFB4" w:rsidR="008A36CF" w:rsidRPr="006901A2" w:rsidRDefault="00AA1D2D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8F36B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511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511B44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4398B4B0" w:rsidR="00687890" w:rsidRPr="00DD2F9B" w:rsidRDefault="009E6223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2A0C13EF" w14:textId="77777777" w:rsidTr="00511B44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300AC6C3" w:rsidR="007925F0" w:rsidRPr="00DD2F9B" w:rsidRDefault="009E6223" w:rsidP="00DD2F9B">
            <w:pPr>
              <w:pStyle w:val="Tablefont"/>
            </w:pPr>
            <w:r w:rsidRPr="009E6223">
              <w:t>Skin sensitisation – category 1</w:t>
            </w:r>
          </w:p>
        </w:tc>
      </w:tr>
      <w:tr w:rsidR="00AF483F" w:rsidRPr="004C23F4" w14:paraId="4C1044B3" w14:textId="77777777" w:rsidTr="00511B44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47011E6F" w:rsidR="00AF483F" w:rsidRPr="00DD2F9B" w:rsidRDefault="009E6223" w:rsidP="00DD2F9B">
            <w:pPr>
              <w:pStyle w:val="Tablefont"/>
            </w:pPr>
            <w:r w:rsidRPr="009E6223">
              <w:t>Skin sensitisation</w:t>
            </w:r>
          </w:p>
        </w:tc>
      </w:tr>
      <w:tr w:rsidR="00687890" w:rsidRPr="004C23F4" w14:paraId="7812F0EC" w14:textId="77777777" w:rsidTr="00511B44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193559EE" w:rsidR="00687890" w:rsidRPr="00DD2F9B" w:rsidRDefault="009E6223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511B44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5BE22AE9" w:rsidR="00E41A26" w:rsidRPr="00DD2F9B" w:rsidRDefault="009E6223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7A490EF" w14:textId="77777777" w:rsidTr="00511B44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lastRenderedPageBreak/>
              <w:t>ACGIH</w:t>
            </w:r>
          </w:p>
        </w:tc>
        <w:tc>
          <w:tcPr>
            <w:tcW w:w="6015" w:type="dxa"/>
          </w:tcPr>
          <w:p w14:paraId="4A591C6E" w14:textId="58E7472D" w:rsidR="002E0D61" w:rsidRPr="00DD2F9B" w:rsidRDefault="009E6223" w:rsidP="00DD2F9B">
            <w:pPr>
              <w:pStyle w:val="Tablefont"/>
            </w:pPr>
            <w:r w:rsidRPr="009E6223">
              <w:t>Carcinogenicity – A4</w:t>
            </w:r>
          </w:p>
        </w:tc>
      </w:tr>
      <w:tr w:rsidR="002E0D61" w:rsidRPr="004C23F4" w14:paraId="43FA3590" w14:textId="77777777" w:rsidTr="00511B44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67A6C821" w:rsidR="002E0D61" w:rsidRPr="00DD2F9B" w:rsidRDefault="009E6223" w:rsidP="00DD2F9B">
            <w:pPr>
              <w:pStyle w:val="Tablefont"/>
            </w:pPr>
            <w:proofErr w:type="spellStart"/>
            <w:r w:rsidRPr="009E6223">
              <w:t>Sh</w:t>
            </w:r>
            <w:proofErr w:type="spellEnd"/>
            <w:r w:rsidRPr="009E6223">
              <w:t xml:space="preserve"> (dermal sensitiser)</w:t>
            </w:r>
          </w:p>
        </w:tc>
      </w:tr>
      <w:tr w:rsidR="002E0D61" w:rsidRPr="004C23F4" w14:paraId="2AC7B866" w14:textId="77777777" w:rsidTr="00511B44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2FC5F84D" w:rsidR="002E0D61" w:rsidRPr="00DD2F9B" w:rsidRDefault="009E622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511B44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53F6B73F" w:rsidR="002E0D61" w:rsidRPr="00DD2F9B" w:rsidRDefault="006150A5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5F6A6A8E" w14:textId="77777777" w:rsidTr="00511B44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11375E7A" w:rsidR="00386093" w:rsidRPr="00DD2F9B" w:rsidRDefault="006150A5" w:rsidP="00DD2F9B">
            <w:pPr>
              <w:pStyle w:val="Tablefont"/>
            </w:pPr>
            <w:r w:rsidRPr="006150A5">
              <w:t>Carcinogenicity – Group 3</w:t>
            </w:r>
          </w:p>
        </w:tc>
      </w:tr>
      <w:tr w:rsidR="00386093" w:rsidRPr="004C23F4" w14:paraId="7461DB0E" w14:textId="77777777" w:rsidTr="00511B44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1E690E42" w:rsidR="00386093" w:rsidRPr="00DD2F9B" w:rsidRDefault="006150A5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41" w:type="dxa"/>
              <w:tblLook w:val="04A0" w:firstRow="1" w:lastRow="0" w:firstColumn="1" w:lastColumn="0" w:noHBand="0" w:noVBand="1"/>
            </w:tblPr>
            <w:tblGrid>
              <w:gridCol w:w="3613"/>
              <w:gridCol w:w="1187"/>
              <w:gridCol w:w="1067"/>
              <w:gridCol w:w="2943"/>
            </w:tblGrid>
            <w:tr w:rsidR="00AA1D2D" w:rsidRPr="00AA1D2D" w14:paraId="00B00B19" w14:textId="77777777" w:rsidTr="00AA1D2D">
              <w:trPr>
                <w:trHeight w:val="333"/>
              </w:trPr>
              <w:tc>
                <w:tcPr>
                  <w:tcW w:w="3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227182" w14:textId="77777777" w:rsidR="00AA1D2D" w:rsidRPr="00AA1D2D" w:rsidRDefault="00AA1D2D" w:rsidP="00AA1D2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696103" w14:textId="69640306" w:rsidR="00AA1D2D" w:rsidRPr="00AA1D2D" w:rsidRDefault="005935E7" w:rsidP="00AA1D2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935E7">
                    <w:rPr>
                      <w:rFonts w:ascii="Segoe UI" w:eastAsia="Times New Roman" w:hAnsi="Segoe UI" w:cs="Segoe UI"/>
                      <w:noProof/>
                      <w:color w:val="000000"/>
                      <w:sz w:val="18"/>
                      <w:szCs w:val="18"/>
                      <w:lang w:eastAsia="en-AU"/>
                    </w:rPr>
                    <w:drawing>
                      <wp:inline distT="0" distB="0" distL="0" distR="0" wp14:anchorId="6D79102B" wp14:editId="5B99AD85">
                        <wp:extent cx="619125" cy="219075"/>
                        <wp:effectExtent l="0" t="0" r="9525" b="9525"/>
                        <wp:docPr id="1" name="Picture 1" descr="Y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BBB9A9" w14:textId="77777777" w:rsidR="00AA1D2D" w:rsidRPr="00AA1D2D" w:rsidRDefault="00AA1D2D" w:rsidP="00AA1D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CE4EC1" w14:textId="77777777" w:rsidR="00AA1D2D" w:rsidRPr="00AA1D2D" w:rsidRDefault="00AA1D2D" w:rsidP="00AA1D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A1D2D" w:rsidRPr="00AA1D2D" w14:paraId="7D3FEB1B" w14:textId="77777777" w:rsidTr="00AA1D2D">
              <w:trPr>
                <w:trHeight w:val="333"/>
              </w:trPr>
              <w:tc>
                <w:tcPr>
                  <w:tcW w:w="3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A66E68" w14:textId="77777777" w:rsidR="00AA1D2D" w:rsidRPr="00AA1D2D" w:rsidRDefault="00AA1D2D" w:rsidP="00AA1D2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E6920F" w14:textId="77777777" w:rsidR="00AA1D2D" w:rsidRPr="00AA1D2D" w:rsidRDefault="00AA1D2D" w:rsidP="00AA1D2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7DF549" w14:textId="77777777" w:rsidR="00AA1D2D" w:rsidRPr="00AA1D2D" w:rsidRDefault="00AA1D2D" w:rsidP="00AA1D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37AEF7" w14:textId="77777777" w:rsidR="00AA1D2D" w:rsidRPr="00AA1D2D" w:rsidRDefault="00AA1D2D" w:rsidP="00AA1D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A1D2D" w:rsidRPr="00AA1D2D" w14:paraId="0E2CCA19" w14:textId="77777777" w:rsidTr="00AA1D2D">
              <w:trPr>
                <w:trHeight w:val="333"/>
              </w:trPr>
              <w:tc>
                <w:tcPr>
                  <w:tcW w:w="3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2B5F8D" w14:textId="77777777" w:rsidR="00AA1D2D" w:rsidRPr="00AA1D2D" w:rsidRDefault="00AA1D2D" w:rsidP="00AA1D2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FD57B3" w14:textId="77777777" w:rsidR="00AA1D2D" w:rsidRPr="00AA1D2D" w:rsidRDefault="00AA1D2D" w:rsidP="00AA1D2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1A3FB3" w14:textId="77777777" w:rsidR="00AA1D2D" w:rsidRPr="00AA1D2D" w:rsidRDefault="00AA1D2D" w:rsidP="00AA1D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0A8F6A" w14:textId="77777777" w:rsidR="00AA1D2D" w:rsidRPr="00AA1D2D" w:rsidRDefault="00AA1D2D" w:rsidP="00AA1D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A1D2D" w:rsidRPr="00AA1D2D" w14:paraId="0B98F401" w14:textId="77777777" w:rsidTr="00AA1D2D">
              <w:trPr>
                <w:trHeight w:val="333"/>
              </w:trPr>
              <w:tc>
                <w:tcPr>
                  <w:tcW w:w="3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51ECD5" w14:textId="77777777" w:rsidR="00AA1D2D" w:rsidRPr="00AA1D2D" w:rsidRDefault="00AA1D2D" w:rsidP="00AA1D2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F799B8" w14:textId="77777777" w:rsidR="00AA1D2D" w:rsidRPr="00AA1D2D" w:rsidRDefault="00AA1D2D" w:rsidP="00AA1D2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D108BA" w14:textId="77777777" w:rsidR="00AA1D2D" w:rsidRPr="00AA1D2D" w:rsidRDefault="00AA1D2D" w:rsidP="00AA1D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489C17" w14:textId="77777777" w:rsidR="00AA1D2D" w:rsidRPr="00AA1D2D" w:rsidRDefault="00AA1D2D" w:rsidP="00AA1D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A1D2D" w:rsidRPr="00AA1D2D" w14:paraId="7DDBD088" w14:textId="77777777" w:rsidTr="00AA1D2D">
              <w:trPr>
                <w:trHeight w:val="333"/>
              </w:trPr>
              <w:tc>
                <w:tcPr>
                  <w:tcW w:w="3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D56F15" w14:textId="77777777" w:rsidR="00AA1D2D" w:rsidRPr="00AA1D2D" w:rsidRDefault="00AA1D2D" w:rsidP="00AA1D2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132C41" w14:textId="77777777" w:rsidR="00AA1D2D" w:rsidRPr="00AA1D2D" w:rsidRDefault="00AA1D2D" w:rsidP="00AA1D2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959939" w14:textId="77777777" w:rsidR="00AA1D2D" w:rsidRPr="00AA1D2D" w:rsidRDefault="00AA1D2D" w:rsidP="00AA1D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23F0DC" w14:textId="77777777" w:rsidR="00AA1D2D" w:rsidRPr="00AA1D2D" w:rsidRDefault="00AA1D2D" w:rsidP="00AA1D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A1D2D" w:rsidRPr="00AA1D2D" w14:paraId="453BF606" w14:textId="77777777" w:rsidTr="00AA1D2D">
              <w:trPr>
                <w:trHeight w:val="333"/>
              </w:trPr>
              <w:tc>
                <w:tcPr>
                  <w:tcW w:w="3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DBDC7A" w14:textId="77777777" w:rsidR="00AA1D2D" w:rsidRPr="00AA1D2D" w:rsidRDefault="00AA1D2D" w:rsidP="00AA1D2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A63247" w14:textId="77777777" w:rsidR="00AA1D2D" w:rsidRPr="00AA1D2D" w:rsidRDefault="00AA1D2D" w:rsidP="00AA1D2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E38E4E" w14:textId="77777777" w:rsidR="00AA1D2D" w:rsidRPr="00AA1D2D" w:rsidRDefault="00AA1D2D" w:rsidP="00AA1D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D72F3C" w14:textId="77777777" w:rsidR="00AA1D2D" w:rsidRPr="00AA1D2D" w:rsidRDefault="00AA1D2D" w:rsidP="00AA1D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A1D2D" w:rsidRPr="00AA1D2D" w14:paraId="50A59BC3" w14:textId="77777777" w:rsidTr="00AA1D2D">
              <w:trPr>
                <w:trHeight w:val="333"/>
              </w:trPr>
              <w:tc>
                <w:tcPr>
                  <w:tcW w:w="3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5A2D3B" w14:textId="77777777" w:rsidR="00AA1D2D" w:rsidRPr="00AA1D2D" w:rsidRDefault="00AA1D2D" w:rsidP="00AA1D2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85FD3D" w14:textId="77777777" w:rsidR="00AA1D2D" w:rsidRPr="00AA1D2D" w:rsidRDefault="00AA1D2D" w:rsidP="00AA1D2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50C79A" w14:textId="77777777" w:rsidR="00AA1D2D" w:rsidRPr="00AA1D2D" w:rsidRDefault="00AA1D2D" w:rsidP="00AA1D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0652DD" w14:textId="77DD67BC" w:rsidR="00AA1D2D" w:rsidRPr="00AA1D2D" w:rsidRDefault="00AA1D2D" w:rsidP="00AA1D2D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1D2D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329D664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6406EB5C" w:rsidR="00EB3D1B" w:rsidRDefault="006150A5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29456E48" w:rsidR="001B79E5" w:rsidRDefault="006150A5" w:rsidP="001B79E5">
                <w:pPr>
                  <w:pStyle w:val="Tablefont"/>
                </w:pPr>
                <w:r w:rsidRPr="006150A5">
                  <w:t>110.1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79CBCA5D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6150A5">
                  <w:t>4.50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6150A5">
                  <w:t>0.222</w:t>
                </w:r>
              </w:sdtContent>
            </w:sdt>
            <w:r w:rsidRPr="006150A5">
              <w:t xml:space="preserve"> </w:t>
            </w:r>
            <w:r>
              <w:t>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511B44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674560">
      <w:pPr>
        <w:pStyle w:val="Heading2"/>
        <w:tabs>
          <w:tab w:val="right" w:pos="8505"/>
        </w:tabs>
      </w:pPr>
      <w:r>
        <w:lastRenderedPageBreak/>
        <w:t>References</w:t>
      </w:r>
      <w:r w:rsidR="00EF7F78">
        <w:tab/>
      </w:r>
    </w:p>
    <w:p w14:paraId="016C4875" w14:textId="77777777" w:rsidR="007F1005" w:rsidRDefault="006650FE" w:rsidP="005935E7">
      <w:pPr>
        <w:keepNext/>
      </w:pPr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8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376DC91C" w:rsidR="008E4F1F" w:rsidRDefault="008E4F1F" w:rsidP="005935E7">
      <w:pPr>
        <w:keepNext/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6150A5">
        <w:t>2003</w:t>
      </w:r>
      <w:r>
        <w:t xml:space="preserve">) </w:t>
      </w:r>
      <w:r w:rsidR="006150A5" w:rsidRPr="006150A5">
        <w:t>Resorcinol</w:t>
      </w:r>
      <w:r>
        <w:t xml:space="preserve"> – MAK value documentation.</w:t>
      </w:r>
    </w:p>
    <w:p w14:paraId="28EAA9C1" w14:textId="2E050221" w:rsidR="008E4F1F" w:rsidRDefault="008E4F1F" w:rsidP="005935E7">
      <w:pPr>
        <w:keepNext/>
        <w:rPr>
          <w:b/>
        </w:rPr>
      </w:pPr>
      <w:r w:rsidRPr="002022B6">
        <w:t>Health Council of the Netherlands</w:t>
      </w:r>
      <w:r>
        <w:t xml:space="preserve"> (HCOTN) (</w:t>
      </w:r>
      <w:r w:rsidR="006150A5">
        <w:t>2004</w:t>
      </w:r>
      <w:r>
        <w:t xml:space="preserve">) </w:t>
      </w:r>
      <w:r w:rsidR="006150A5" w:rsidRPr="006150A5">
        <w:t>Resorcinol</w:t>
      </w:r>
      <w:r w:rsidRPr="005F7416">
        <w:t xml:space="preserve">. Health-based calculated occupational cancer risk values. The Hague: Health Council of the Netherlands; publication no. </w:t>
      </w:r>
      <w:r w:rsidR="006150A5" w:rsidRPr="006150A5">
        <w:t>2000/15OSH/139</w:t>
      </w:r>
      <w:r>
        <w:t>.</w:t>
      </w:r>
    </w:p>
    <w:p w14:paraId="4D7F094F" w14:textId="38D34FF6" w:rsidR="008E4F1F" w:rsidRDefault="008E4F1F" w:rsidP="005935E7">
      <w:pPr>
        <w:keepNext/>
        <w:rPr>
          <w:b/>
        </w:rPr>
      </w:pPr>
      <w:r w:rsidRPr="002022B6">
        <w:t>International Agency for Research on Cancer</w:t>
      </w:r>
      <w:r>
        <w:t xml:space="preserve"> (IARC) (</w:t>
      </w:r>
      <w:r w:rsidR="006150A5" w:rsidRPr="006150A5">
        <w:t>1999</w:t>
      </w:r>
      <w:r>
        <w:t xml:space="preserve">) </w:t>
      </w:r>
      <w:r w:rsidR="006150A5" w:rsidRPr="006150A5">
        <w:t>Resorcinol</w:t>
      </w:r>
      <w:r>
        <w:t>. IARC Monographs on the evaluation of the carcinogenic risk to humans.</w:t>
      </w:r>
    </w:p>
    <w:p w14:paraId="1D94FE62" w14:textId="1BB4A29D" w:rsidR="008E4F1F" w:rsidRDefault="008E4F1F" w:rsidP="005935E7">
      <w:pPr>
        <w:keepNext/>
        <w:rPr>
          <w:b/>
        </w:rPr>
      </w:pPr>
      <w:r w:rsidRPr="002022B6">
        <w:t>National Industrial Chemicals Notification and Assessment Scheme (NICNAS)</w:t>
      </w:r>
      <w:r>
        <w:t xml:space="preserve"> (</w:t>
      </w:r>
      <w:r w:rsidR="006150A5" w:rsidRPr="006150A5">
        <w:t>2016</w:t>
      </w:r>
      <w:r>
        <w:t xml:space="preserve">) </w:t>
      </w:r>
      <w:r w:rsidR="006150A5" w:rsidRPr="006150A5">
        <w:t>1,3-Benzenediol</w:t>
      </w:r>
      <w:r w:rsidRPr="0071660C">
        <w:t xml:space="preserve">: Human health </w:t>
      </w:r>
      <w:r w:rsidR="006150A5" w:rsidRPr="006150A5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9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8194C" w14:textId="77777777" w:rsidR="0084196B" w:rsidRDefault="0084196B" w:rsidP="00F43AD5">
      <w:pPr>
        <w:spacing w:after="0" w:line="240" w:lineRule="auto"/>
      </w:pPr>
      <w:r>
        <w:separator/>
      </w:r>
    </w:p>
  </w:endnote>
  <w:endnote w:type="continuationSeparator" w:id="0">
    <w:p w14:paraId="366B4F94" w14:textId="77777777" w:rsidR="0084196B" w:rsidRDefault="0084196B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8AEFF" w14:textId="77777777" w:rsidR="00511B44" w:rsidRDefault="00511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3B80AF81" w:rsidR="008A36CF" w:rsidRDefault="00C46392" w:rsidP="0034744C">
        <w:pPr>
          <w:pStyle w:val="Footer"/>
          <w:rPr>
            <w:sz w:val="18"/>
            <w:szCs w:val="18"/>
          </w:rPr>
        </w:pPr>
        <w:r w:rsidRPr="00C46392">
          <w:rPr>
            <w:b/>
            <w:sz w:val="18"/>
            <w:szCs w:val="18"/>
          </w:rPr>
          <w:t>Resorcinol</w:t>
        </w:r>
        <w:r w:rsidR="008A36CF">
          <w:rPr>
            <w:b/>
            <w:sz w:val="18"/>
            <w:szCs w:val="18"/>
          </w:rPr>
          <w:t xml:space="preserve"> (</w:t>
        </w:r>
        <w:r w:rsidRPr="00C46392">
          <w:rPr>
            <w:b/>
            <w:sz w:val="18"/>
            <w:szCs w:val="18"/>
          </w:rPr>
          <w:t>108-46-3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5935E7">
          <w:rPr>
            <w:sz w:val="18"/>
            <w:szCs w:val="18"/>
          </w:rPr>
          <w:t>20</w:t>
        </w:r>
      </w:p>
      <w:p w14:paraId="2D517F5E" w14:textId="27AE098C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033E15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75047" w14:textId="77777777" w:rsidR="00511B44" w:rsidRDefault="00511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1134C" w14:textId="77777777" w:rsidR="0084196B" w:rsidRDefault="0084196B" w:rsidP="00F43AD5">
      <w:pPr>
        <w:spacing w:after="0" w:line="240" w:lineRule="auto"/>
      </w:pPr>
      <w:r>
        <w:separator/>
      </w:r>
    </w:p>
  </w:footnote>
  <w:footnote w:type="continuationSeparator" w:id="0">
    <w:p w14:paraId="09C9C331" w14:textId="77777777" w:rsidR="0084196B" w:rsidRDefault="0084196B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CF05E" w14:textId="77777777" w:rsidR="00511B44" w:rsidRDefault="00511B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6FA46" w14:textId="49B777BC" w:rsidR="00511B44" w:rsidRDefault="00511B44" w:rsidP="00511B44">
    <w:pPr>
      <w:pStyle w:val="Header"/>
      <w:jc w:val="right"/>
    </w:pPr>
    <w:r>
      <w:pict w14:anchorId="45F28C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512A094" wp14:editId="4CED6138">
          <wp:extent cx="2945130" cy="595630"/>
          <wp:effectExtent l="0" t="0" r="7620" b="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78A0A54E" w:rsidR="008A36CF" w:rsidRPr="00511B44" w:rsidRDefault="008A36CF" w:rsidP="00511B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FEA58" w14:textId="77777777" w:rsidR="00511B44" w:rsidRDefault="00511B4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8AC14" w14:textId="67104E4C" w:rsidR="00511B44" w:rsidRDefault="00511B44" w:rsidP="00511B44">
    <w:pPr>
      <w:pStyle w:val="Header"/>
      <w:jc w:val="right"/>
    </w:pPr>
    <w:r>
      <w:pict w14:anchorId="7B04F5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846CF3A" wp14:editId="39EA2814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8A36CF" w:rsidRDefault="008A36CF" w:rsidP="00511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91E3C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4B730A"/>
    <w:multiLevelType w:val="hybridMultilevel"/>
    <w:tmpl w:val="175800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1A6FCD"/>
    <w:multiLevelType w:val="hybridMultilevel"/>
    <w:tmpl w:val="A53C94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83F"/>
    <w:rsid w:val="00014C3F"/>
    <w:rsid w:val="00017C82"/>
    <w:rsid w:val="00032B88"/>
    <w:rsid w:val="00033E15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93600"/>
    <w:rsid w:val="001A009E"/>
    <w:rsid w:val="001A1287"/>
    <w:rsid w:val="001A3859"/>
    <w:rsid w:val="001A3C9D"/>
    <w:rsid w:val="001A40DD"/>
    <w:rsid w:val="001A43F8"/>
    <w:rsid w:val="001B79E5"/>
    <w:rsid w:val="001D56F0"/>
    <w:rsid w:val="001D663B"/>
    <w:rsid w:val="001D71CE"/>
    <w:rsid w:val="001D7B41"/>
    <w:rsid w:val="001E46DA"/>
    <w:rsid w:val="001E7D80"/>
    <w:rsid w:val="001F4B6C"/>
    <w:rsid w:val="001F62CB"/>
    <w:rsid w:val="001F6ED0"/>
    <w:rsid w:val="001F72E6"/>
    <w:rsid w:val="001F73C5"/>
    <w:rsid w:val="00202C1D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77BFB"/>
    <w:rsid w:val="002B1A2C"/>
    <w:rsid w:val="002B49EE"/>
    <w:rsid w:val="002C34F2"/>
    <w:rsid w:val="002C58FF"/>
    <w:rsid w:val="002C7AFE"/>
    <w:rsid w:val="002D05D2"/>
    <w:rsid w:val="002E0D61"/>
    <w:rsid w:val="002E4C7B"/>
    <w:rsid w:val="002F59C0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0703"/>
    <w:rsid w:val="003D4FA3"/>
    <w:rsid w:val="003E0807"/>
    <w:rsid w:val="003E51FB"/>
    <w:rsid w:val="003E6B39"/>
    <w:rsid w:val="003F07E1"/>
    <w:rsid w:val="003F2EBE"/>
    <w:rsid w:val="004030BC"/>
    <w:rsid w:val="00403F7D"/>
    <w:rsid w:val="00406785"/>
    <w:rsid w:val="004079B4"/>
    <w:rsid w:val="00417A56"/>
    <w:rsid w:val="00420957"/>
    <w:rsid w:val="00422A10"/>
    <w:rsid w:val="004260FC"/>
    <w:rsid w:val="00430179"/>
    <w:rsid w:val="004314AA"/>
    <w:rsid w:val="004414B5"/>
    <w:rsid w:val="004430EB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0707F"/>
    <w:rsid w:val="00511B44"/>
    <w:rsid w:val="00512883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66207"/>
    <w:rsid w:val="00581055"/>
    <w:rsid w:val="00591E38"/>
    <w:rsid w:val="005935E7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150A5"/>
    <w:rsid w:val="00624C4E"/>
    <w:rsid w:val="00625200"/>
    <w:rsid w:val="006276E2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4560"/>
    <w:rsid w:val="00677D9B"/>
    <w:rsid w:val="00680D26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3450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13B7"/>
    <w:rsid w:val="007F25E0"/>
    <w:rsid w:val="007F5328"/>
    <w:rsid w:val="00803AAD"/>
    <w:rsid w:val="00804F5A"/>
    <w:rsid w:val="00810C6D"/>
    <w:rsid w:val="00812887"/>
    <w:rsid w:val="00826F21"/>
    <w:rsid w:val="00834CC8"/>
    <w:rsid w:val="00835E00"/>
    <w:rsid w:val="00837113"/>
    <w:rsid w:val="008414E4"/>
    <w:rsid w:val="0084196B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C3C76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1E2E"/>
    <w:rsid w:val="00915BAF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158E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223"/>
    <w:rsid w:val="009E63E2"/>
    <w:rsid w:val="009F04D2"/>
    <w:rsid w:val="009F05CF"/>
    <w:rsid w:val="009F0F3A"/>
    <w:rsid w:val="00A01D0C"/>
    <w:rsid w:val="00A03E90"/>
    <w:rsid w:val="00A0643F"/>
    <w:rsid w:val="00A067EE"/>
    <w:rsid w:val="00A10FCE"/>
    <w:rsid w:val="00A114B0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3E25"/>
    <w:rsid w:val="00A6461A"/>
    <w:rsid w:val="00A84504"/>
    <w:rsid w:val="00A8672F"/>
    <w:rsid w:val="00A93057"/>
    <w:rsid w:val="00A968B0"/>
    <w:rsid w:val="00AA1D2D"/>
    <w:rsid w:val="00AA1DE2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36BB"/>
    <w:rsid w:val="00B40C60"/>
    <w:rsid w:val="00B45153"/>
    <w:rsid w:val="00B479A9"/>
    <w:rsid w:val="00B52EDF"/>
    <w:rsid w:val="00B548AD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E6473"/>
    <w:rsid w:val="00BF2406"/>
    <w:rsid w:val="00C06E43"/>
    <w:rsid w:val="00C16315"/>
    <w:rsid w:val="00C3091E"/>
    <w:rsid w:val="00C40FF1"/>
    <w:rsid w:val="00C419E2"/>
    <w:rsid w:val="00C46392"/>
    <w:rsid w:val="00C5020E"/>
    <w:rsid w:val="00C57452"/>
    <w:rsid w:val="00C6101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585E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2B37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56CA"/>
    <w:rsid w:val="00DF6F36"/>
    <w:rsid w:val="00E0084C"/>
    <w:rsid w:val="00E025AB"/>
    <w:rsid w:val="00E02B23"/>
    <w:rsid w:val="00E06F40"/>
    <w:rsid w:val="00E07CE8"/>
    <w:rsid w:val="00E23FE5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1DDD"/>
    <w:rsid w:val="00F053FA"/>
    <w:rsid w:val="00F10C63"/>
    <w:rsid w:val="00F10C97"/>
    <w:rsid w:val="00F11C71"/>
    <w:rsid w:val="00F16019"/>
    <w:rsid w:val="00F20E68"/>
    <w:rsid w:val="00F22093"/>
    <w:rsid w:val="00F236DF"/>
    <w:rsid w:val="00F23D6F"/>
    <w:rsid w:val="00F43AD5"/>
    <w:rsid w:val="00F4402E"/>
    <w:rsid w:val="00F56DD0"/>
    <w:rsid w:val="00F62D5D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2FCE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8C3C76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5935E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0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D2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D2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D2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347D16"/>
    <w:rsid w:val="003C1065"/>
    <w:rsid w:val="003E0149"/>
    <w:rsid w:val="006521E2"/>
    <w:rsid w:val="00755FBF"/>
    <w:rsid w:val="009C1F17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3C48-FA37-4134-B8C5-978E3539F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F599A-1EDD-476E-90F3-7BEC164EA86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bf54d604-3e62-4e70-ba33-9e9084b96a66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81ACF5-28CB-441F-98F7-D21292097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91445-727F-4EFD-A50E-3B311CA1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2020-03-25T22:20:00Z</dcterms:created>
  <dcterms:modified xsi:type="dcterms:W3CDTF">2020-06-18T23:50:00Z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