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05EFEAFD" w:rsidR="00BD499F" w:rsidRPr="004C23F4" w:rsidRDefault="007B0D59" w:rsidP="00B40C60">
          <w:pPr>
            <w:pStyle w:val="Heading1"/>
            <w:jc w:val="center"/>
            <w:rPr>
              <w:rFonts w:ascii="Arial" w:hAnsi="Arial" w:cs="Arial"/>
            </w:rPr>
          </w:pPr>
          <w:r w:rsidRPr="007B0D59">
            <w:rPr>
              <w:rFonts w:ascii="Arial" w:hAnsi="Arial" w:cs="Arial"/>
            </w:rPr>
            <w:t>Ronnel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51"/>
        <w:gridCol w:w="5075"/>
      </w:tblGrid>
      <w:tr w:rsidR="00F43AD5" w:rsidRPr="004C23F4" w14:paraId="189D6E38" w14:textId="77777777" w:rsidTr="00745C95">
        <w:trPr>
          <w:cantSplit/>
          <w:tblHeader/>
        </w:trPr>
        <w:tc>
          <w:tcPr>
            <w:tcW w:w="3951" w:type="dxa"/>
          </w:tcPr>
          <w:p w14:paraId="517634FF" w14:textId="77777777" w:rsidR="00F43AD5" w:rsidRPr="00921DE7" w:rsidRDefault="00CB1CB1" w:rsidP="00B76A41">
            <w:pPr>
              <w:pStyle w:val="Tablerowright"/>
            </w:pPr>
            <w:r w:rsidRPr="00921DE7">
              <w:t>CAS number:</w:t>
            </w:r>
          </w:p>
        </w:tc>
        <w:tc>
          <w:tcPr>
            <w:tcW w:w="5075" w:type="dxa"/>
          </w:tcPr>
          <w:p w14:paraId="3EDBFD9E" w14:textId="5F50A00F" w:rsidR="00F43AD5" w:rsidRPr="00717D45" w:rsidRDefault="007B0D59" w:rsidP="00B76A41">
            <w:pPr>
              <w:pStyle w:val="Tablefont"/>
            </w:pPr>
            <w:r w:rsidRPr="007B0D59">
              <w:t>299-84-3</w:t>
            </w:r>
          </w:p>
        </w:tc>
      </w:tr>
      <w:tr w:rsidR="00F43AD5" w:rsidRPr="004C23F4" w14:paraId="562A9F51" w14:textId="77777777" w:rsidTr="00745C95">
        <w:trPr>
          <w:cantSplit/>
        </w:trPr>
        <w:tc>
          <w:tcPr>
            <w:tcW w:w="3951" w:type="dxa"/>
          </w:tcPr>
          <w:p w14:paraId="6A9A0952" w14:textId="77777777" w:rsidR="00F43AD5" w:rsidRPr="00921DE7" w:rsidRDefault="00CB1CB1" w:rsidP="00B76A41">
            <w:pPr>
              <w:pStyle w:val="Tablerowright"/>
            </w:pPr>
            <w:r w:rsidRPr="00921DE7">
              <w:t>Synonyms:</w:t>
            </w:r>
          </w:p>
        </w:tc>
        <w:tc>
          <w:tcPr>
            <w:tcW w:w="5075" w:type="dxa"/>
          </w:tcPr>
          <w:p w14:paraId="32648AB9" w14:textId="264C97E8" w:rsidR="00F43AD5" w:rsidRPr="00717D45" w:rsidRDefault="007B0D59" w:rsidP="00B76A41">
            <w:pPr>
              <w:pStyle w:val="Tablefont"/>
            </w:pPr>
            <w:r>
              <w:t>O’O-Dimethyl O-(2,4,5-</w:t>
            </w:r>
            <w:proofErr w:type="gramStart"/>
            <w:r>
              <w:t>trichlorophenyl)</w:t>
            </w:r>
            <w:proofErr w:type="spellStart"/>
            <w:r>
              <w:t>phosphorothioate</w:t>
            </w:r>
            <w:proofErr w:type="spellEnd"/>
            <w:proofErr w:type="gramEnd"/>
            <w:r>
              <w:t xml:space="preserve">, </w:t>
            </w:r>
            <w:r w:rsidR="0020286C">
              <w:br/>
            </w:r>
            <w:r>
              <w:t xml:space="preserve">dimethyl </w:t>
            </w:r>
            <w:proofErr w:type="spellStart"/>
            <w:r>
              <w:t>trichlorophenyl</w:t>
            </w:r>
            <w:proofErr w:type="spellEnd"/>
            <w:r>
              <w:t xml:space="preserve"> thiophosphate, </w:t>
            </w:r>
            <w:proofErr w:type="spellStart"/>
            <w:r>
              <w:t>fenchlorophos</w:t>
            </w:r>
            <w:proofErr w:type="spellEnd"/>
          </w:p>
        </w:tc>
      </w:tr>
      <w:tr w:rsidR="00F43AD5" w:rsidRPr="004C23F4" w14:paraId="6EE54A08" w14:textId="77777777" w:rsidTr="00745C95">
        <w:trPr>
          <w:cantSplit/>
        </w:trPr>
        <w:tc>
          <w:tcPr>
            <w:tcW w:w="3951" w:type="dxa"/>
          </w:tcPr>
          <w:p w14:paraId="3C2EC489" w14:textId="77777777" w:rsidR="00F43AD5" w:rsidRPr="00921DE7" w:rsidRDefault="00CB1CB1" w:rsidP="00B76A41">
            <w:pPr>
              <w:pStyle w:val="Tablerowright"/>
            </w:pPr>
            <w:r w:rsidRPr="00921DE7">
              <w:t>Chemical formula:</w:t>
            </w:r>
          </w:p>
        </w:tc>
        <w:tc>
          <w:tcPr>
            <w:tcW w:w="5075" w:type="dxa"/>
          </w:tcPr>
          <w:p w14:paraId="69369B00" w14:textId="2EB28197" w:rsidR="00F43AD5" w:rsidRPr="00717D45" w:rsidRDefault="007B0D59" w:rsidP="00B76A41">
            <w:pPr>
              <w:pStyle w:val="Tablefont"/>
            </w:pPr>
            <w:r>
              <w:t>C</w:t>
            </w:r>
            <w:r w:rsidRPr="007B0D59">
              <w:rPr>
                <w:vertAlign w:val="subscript"/>
              </w:rPr>
              <w:t>8</w:t>
            </w:r>
            <w:r>
              <w:t>H</w:t>
            </w:r>
            <w:r w:rsidRPr="007B0D59">
              <w:rPr>
                <w:vertAlign w:val="subscript"/>
              </w:rPr>
              <w:t>8</w:t>
            </w:r>
            <w:r>
              <w:t>C</w:t>
            </w:r>
            <w:r w:rsidRPr="007B0D59">
              <w:rPr>
                <w:vertAlign w:val="subscript"/>
              </w:rPr>
              <w:t>3</w:t>
            </w:r>
            <w:r>
              <w:t>O</w:t>
            </w:r>
            <w:r w:rsidRPr="007B0D59">
              <w:rPr>
                <w:vertAlign w:val="subscript"/>
              </w:rPr>
              <w:t>3</w:t>
            </w:r>
            <w:r>
              <w:t>PS</w:t>
            </w:r>
          </w:p>
        </w:tc>
      </w:tr>
    </w:tbl>
    <w:p w14:paraId="71D72173" w14:textId="6489B3DD"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EB0D00">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36047859" w:rsidR="002C7AFE" w:rsidRPr="00F02443" w:rsidRDefault="00EB0D00" w:rsidP="00017C82">
            <w:pPr>
              <w:pStyle w:val="Tablefont"/>
              <w:rPr>
                <w:b/>
                <w:bCs/>
              </w:rPr>
            </w:pPr>
            <w:r>
              <w:rPr>
                <w:rFonts w:cs="Arial"/>
                <w:b/>
                <w:bCs/>
              </w:rPr>
              <w:t>5</w:t>
            </w:r>
            <w:r w:rsidR="00230300" w:rsidRPr="00304A27">
              <w:rPr>
                <w:rFonts w:cs="Arial"/>
                <w:b/>
                <w:bCs/>
              </w:rPr>
              <w:t xml:space="preserve"> mg/m</w:t>
            </w:r>
            <w:r w:rsidR="00230300" w:rsidRPr="00304A27">
              <w:rPr>
                <w:rFonts w:cs="Arial"/>
                <w:b/>
                <w:bCs/>
                <w:vertAlign w:val="superscript"/>
              </w:rPr>
              <w:t>3</w:t>
            </w:r>
            <w:r w:rsidR="00F02443">
              <w:rPr>
                <w:rFonts w:cs="Arial"/>
                <w:b/>
                <w:bCs/>
              </w:rPr>
              <w:t xml:space="preserve"> (inhalable</w:t>
            </w:r>
            <w:r>
              <w:rPr>
                <w:rFonts w:cs="Arial"/>
                <w:b/>
                <w:bCs/>
              </w:rPr>
              <w:t xml:space="preserve"> and vapour</w:t>
            </w:r>
            <w:r w:rsidR="00F02443">
              <w:rPr>
                <w:rFonts w:cs="Arial"/>
                <w:b/>
                <w:bCs/>
              </w:rPr>
              <w:t xml:space="preserve">) </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77777777" w:rsidR="00037E52" w:rsidRPr="00EB3D1B" w:rsidRDefault="00037E52" w:rsidP="00037E52">
            <w:pPr>
              <w:pStyle w:val="Tablefont"/>
              <w:rPr>
                <w:b/>
              </w:rPr>
            </w:pP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77777777" w:rsidR="00037E52" w:rsidRPr="00EB3D1B" w:rsidRDefault="00037E52" w:rsidP="00037E52">
            <w:pPr>
              <w:pStyle w:val="Tablefont"/>
              <w:rPr>
                <w:b/>
              </w:rPr>
            </w:pPr>
            <w:r>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66CB2388" w:rsidR="00037E52" w:rsidRPr="00EB3D1B" w:rsidRDefault="0020285C" w:rsidP="00037E52">
            <w:pPr>
              <w:pStyle w:val="Tablefont"/>
              <w:rPr>
                <w:b/>
              </w:rPr>
            </w:pPr>
            <w:r>
              <w:rPr>
                <w:b/>
              </w:rPr>
              <w:t>—</w:t>
            </w:r>
            <w:r w:rsidR="007B0D59" w:rsidRPr="007B0D59">
              <w:rPr>
                <w:b/>
              </w:rPr>
              <w:tab/>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1A1F1623" w:rsidR="00037E52" w:rsidRPr="00EB3D1B" w:rsidRDefault="0020285C" w:rsidP="0020285C">
            <w:pPr>
              <w:pStyle w:val="Tablefont"/>
              <w:rPr>
                <w:b/>
              </w:rPr>
            </w:pPr>
            <w:r w:rsidRPr="007B0D59">
              <w:rPr>
                <w:b/>
              </w:rPr>
              <w:t>300 mg/m</w:t>
            </w:r>
            <w:r w:rsidRPr="007B0D59">
              <w:rPr>
                <w:b/>
                <w:vertAlign w:val="superscript"/>
              </w:rPr>
              <w:t>3</w:t>
            </w:r>
          </w:p>
        </w:tc>
      </w:tr>
      <w:tr w:rsidR="00155999" w:rsidRPr="004C23F4" w14:paraId="27D0E012" w14:textId="77777777" w:rsidTr="004549A3">
        <w:trPr>
          <w:cantSplit/>
        </w:trPr>
        <w:tc>
          <w:tcPr>
            <w:tcW w:w="9026" w:type="dxa"/>
            <w:gridSpan w:val="2"/>
            <w:vAlign w:val="center"/>
          </w:tcPr>
          <w:p w14:paraId="31B5D59E" w14:textId="123DC918" w:rsidR="00155999" w:rsidRPr="00EB3D1B" w:rsidRDefault="00155999" w:rsidP="00037E52">
            <w:pPr>
              <w:pStyle w:val="Tablefont"/>
              <w:rPr>
                <w:b/>
              </w:rPr>
            </w:pPr>
            <w:r w:rsidRPr="00304A27">
              <w:rPr>
                <w:b/>
              </w:rPr>
              <w:t>Sampling and analysis:</w:t>
            </w:r>
            <w:r w:rsidRPr="00EC521E">
              <w:rPr>
                <w:rStyle w:val="WESstatus"/>
                <w:color w:val="auto"/>
              </w:rPr>
              <w:t xml:space="preserve"> </w:t>
            </w:r>
            <w:sdt>
              <w:sdtPr>
                <w:rPr>
                  <w:rStyle w:val="WESstatu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230300">
                  <w:rPr>
                    <w:rStyle w:val="WESstatus"/>
                    <w:color w:val="auto"/>
                  </w:rPr>
                  <w:t xml:space="preserve">The recommended value is quantifiable through available sampling and analysis techniques. </w:t>
                </w:r>
              </w:sdtContent>
            </w:sdt>
          </w:p>
        </w:tc>
      </w:tr>
    </w:tbl>
    <w:p w14:paraId="1330EBEE" w14:textId="77777777" w:rsidR="00CB1CB1" w:rsidRPr="003365A5" w:rsidRDefault="00F10C97" w:rsidP="003365A5">
      <w:pPr>
        <w:pStyle w:val="Heading2"/>
      </w:pPr>
      <w:r>
        <w:t>Recommendation and basis for workplace exposure standard</w:t>
      </w:r>
    </w:p>
    <w:p w14:paraId="2185EC6B" w14:textId="11C614B5" w:rsidR="00C91E44" w:rsidRDefault="00C91E44" w:rsidP="000C139A">
      <w:r>
        <w:rPr>
          <w:rFonts w:cs="Arial"/>
        </w:rPr>
        <w:t>A</w:t>
      </w:r>
      <w:r w:rsidRPr="00C91E44">
        <w:rPr>
          <w:rFonts w:cs="Arial"/>
        </w:rPr>
        <w:t xml:space="preserve"> TWA of </w:t>
      </w:r>
      <w:r w:rsidR="00233417">
        <w:rPr>
          <w:rFonts w:cs="Arial"/>
        </w:rPr>
        <w:t>5</w:t>
      </w:r>
      <w:r>
        <w:rPr>
          <w:rFonts w:cs="Arial"/>
        </w:rPr>
        <w:t xml:space="preserve"> mg/m</w:t>
      </w:r>
      <w:r>
        <w:rPr>
          <w:rFonts w:cs="Arial"/>
          <w:vertAlign w:val="superscript"/>
        </w:rPr>
        <w:t>3</w:t>
      </w:r>
      <w:r w:rsidRPr="00C91E44">
        <w:rPr>
          <w:rFonts w:cs="Arial"/>
        </w:rPr>
        <w:t xml:space="preserve"> is recommended to </w:t>
      </w:r>
      <w:r>
        <w:rPr>
          <w:rFonts w:cs="Arial"/>
        </w:rPr>
        <w:t xml:space="preserve">protect for </w:t>
      </w:r>
      <w:r>
        <w:t>inhibition of red blood cell (RBC)</w:t>
      </w:r>
      <w:r w:rsidR="0020286C">
        <w:t xml:space="preserve"> </w:t>
      </w:r>
      <w:r>
        <w:t>cholinesterase</w:t>
      </w:r>
      <w:r w:rsidR="00783FBC">
        <w:t xml:space="preserve"> </w:t>
      </w:r>
      <w:r w:rsidR="0020286C">
        <w:t xml:space="preserve">(ChE) </w:t>
      </w:r>
      <w:r w:rsidR="00783FBC">
        <w:t>in exposed workers</w:t>
      </w:r>
      <w:r>
        <w:t xml:space="preserve">. </w:t>
      </w:r>
    </w:p>
    <w:p w14:paraId="317A46B1" w14:textId="77777777" w:rsidR="00C7155E" w:rsidRPr="004C23F4" w:rsidRDefault="00F10C97" w:rsidP="003365A5">
      <w:pPr>
        <w:pStyle w:val="Heading2"/>
      </w:pPr>
      <w:r>
        <w:t>Discussion and conclusions</w:t>
      </w:r>
    </w:p>
    <w:p w14:paraId="427F2055" w14:textId="272361AB" w:rsidR="0020286C" w:rsidRDefault="00190681" w:rsidP="006639B4">
      <w:proofErr w:type="spellStart"/>
      <w:r>
        <w:t>Ronnel</w:t>
      </w:r>
      <w:proofErr w:type="spellEnd"/>
      <w:r>
        <w:t xml:space="preserve"> is an organophosphate </w:t>
      </w:r>
      <w:r w:rsidR="008F6D37">
        <w:t xml:space="preserve">pesticide </w:t>
      </w:r>
      <w:r>
        <w:t xml:space="preserve">used </w:t>
      </w:r>
      <w:r w:rsidR="0020286C">
        <w:t>on</w:t>
      </w:r>
      <w:r>
        <w:t xml:space="preserve"> cattle</w:t>
      </w:r>
      <w:r w:rsidR="00EB0D00">
        <w:t xml:space="preserve"> and as an a systemic antiparasitic in humans</w:t>
      </w:r>
      <w:r>
        <w:t xml:space="preserve">. </w:t>
      </w:r>
    </w:p>
    <w:p w14:paraId="18CCB701" w14:textId="77777777" w:rsidR="000111C3" w:rsidRDefault="00190681" w:rsidP="00190681">
      <w:r>
        <w:t xml:space="preserve">The critical effect </w:t>
      </w:r>
      <w:r w:rsidR="0020286C">
        <w:t>of</w:t>
      </w:r>
      <w:r>
        <w:t xml:space="preserve"> exposure is inhibition of </w:t>
      </w:r>
      <w:r w:rsidR="00C91E44">
        <w:t>RBC</w:t>
      </w:r>
      <w:r>
        <w:t xml:space="preserve"> </w:t>
      </w:r>
      <w:r w:rsidR="0020286C">
        <w:t>ChE that results in cholinergic effects</w:t>
      </w:r>
      <w:r>
        <w:t>.</w:t>
      </w:r>
      <w:r w:rsidR="0020286C">
        <w:t xml:space="preserve"> </w:t>
      </w:r>
    </w:p>
    <w:p w14:paraId="34FBA46B" w14:textId="520ADA04" w:rsidR="00190681" w:rsidRPr="00C91E44" w:rsidRDefault="00190681" w:rsidP="00190681">
      <w:r>
        <w:t>Limited toxicological data are available. Five of 21 patients treated orally with 10 mg/kg/d</w:t>
      </w:r>
      <w:r w:rsidR="0020286C">
        <w:t>ay</w:t>
      </w:r>
      <w:r>
        <w:t xml:space="preserve"> for </w:t>
      </w:r>
      <w:r w:rsidR="00230300">
        <w:t xml:space="preserve">five </w:t>
      </w:r>
      <w:r>
        <w:t xml:space="preserve">or </w:t>
      </w:r>
      <w:r w:rsidR="00230300">
        <w:t>ten</w:t>
      </w:r>
      <w:r w:rsidR="00752952">
        <w:t> </w:t>
      </w:r>
      <w:r>
        <w:t xml:space="preserve">days for a </w:t>
      </w:r>
      <w:r>
        <w:rPr>
          <w:rFonts w:cs="Arial"/>
          <w:color w:val="222222"/>
          <w:shd w:val="clear" w:color="auto" w:fill="FFFFFF"/>
        </w:rPr>
        <w:t>parasitic skin infection</w:t>
      </w:r>
      <w:r>
        <w:t xml:space="preserve"> reported</w:t>
      </w:r>
      <w:r w:rsidR="00233417">
        <w:t xml:space="preserve"> transient</w:t>
      </w:r>
      <w:r>
        <w:t xml:space="preserve"> nausea, weakness, blurred vision and serpiginous ulcers.</w:t>
      </w:r>
      <w:r w:rsidR="00233417">
        <w:t xml:space="preserve"> The ACGIH (2018) report this oral dose as an inhalation equivalent of 70 mg/m</w:t>
      </w:r>
      <w:r w:rsidR="00233417">
        <w:rPr>
          <w:vertAlign w:val="superscript"/>
        </w:rPr>
        <w:t>3</w:t>
      </w:r>
      <w:r w:rsidR="00233417">
        <w:t>.</w:t>
      </w:r>
      <w:r>
        <w:t xml:space="preserve"> The reported symptoms disappeared immediately after </w:t>
      </w:r>
      <w:r w:rsidR="0020286C">
        <w:t>R</w:t>
      </w:r>
      <w:r>
        <w:t xml:space="preserve">onnel use was discontinued. Veterinarians treating cattle with topical liquid Ronnel in poorly ventilated spaces reported nausea, headaches and irritation of the throat and facial skin. No reduced plasma nor RBC </w:t>
      </w:r>
      <w:r w:rsidR="0020286C">
        <w:t>ChE</w:t>
      </w:r>
      <w:r>
        <w:t xml:space="preserve"> activit</w:t>
      </w:r>
      <w:r w:rsidR="0020286C">
        <w:t>y</w:t>
      </w:r>
      <w:r>
        <w:t xml:space="preserve"> were noted. A</w:t>
      </w:r>
      <w:r w:rsidR="00C91E44">
        <w:t xml:space="preserve"> </w:t>
      </w:r>
      <w:r w:rsidR="004D205B">
        <w:t>one-year</w:t>
      </w:r>
      <w:r w:rsidR="00C91E44">
        <w:t xml:space="preserve"> dietary study in dogs reported a</w:t>
      </w:r>
      <w:r>
        <w:t xml:space="preserve"> NO</w:t>
      </w:r>
      <w:r w:rsidR="0020286C">
        <w:t>A</w:t>
      </w:r>
      <w:r>
        <w:t>EL of 3 mg/kg/d</w:t>
      </w:r>
      <w:r w:rsidR="0020286C">
        <w:t>ay</w:t>
      </w:r>
      <w:r w:rsidR="00C91E44">
        <w:t xml:space="preserve">. The ACGIH (2018) report this oral does </w:t>
      </w:r>
      <w:r w:rsidR="0020286C">
        <w:t>is</w:t>
      </w:r>
      <w:r w:rsidR="00C91E44">
        <w:t xml:space="preserve"> equivalent to a worker inhaling 21 mg/m</w:t>
      </w:r>
      <w:r w:rsidR="00C91E44">
        <w:rPr>
          <w:vertAlign w:val="superscript"/>
        </w:rPr>
        <w:t xml:space="preserve">3 </w:t>
      </w:r>
      <w:r w:rsidR="0020286C" w:rsidRPr="00B4575E">
        <w:t xml:space="preserve">of </w:t>
      </w:r>
      <w:proofErr w:type="spellStart"/>
      <w:r w:rsidR="00C91E44">
        <w:t>Ronnel</w:t>
      </w:r>
      <w:proofErr w:type="spellEnd"/>
      <w:r w:rsidR="00C91E44">
        <w:t xml:space="preserve"> over an </w:t>
      </w:r>
      <w:r w:rsidR="00752952">
        <w:t>eight</w:t>
      </w:r>
      <w:r w:rsidR="004D205B">
        <w:t>-</w:t>
      </w:r>
      <w:r w:rsidR="00C91E44">
        <w:t>hour shift (ACGIH, 2018).</w:t>
      </w:r>
    </w:p>
    <w:p w14:paraId="1F61336C" w14:textId="54CD26BA" w:rsidR="00190681" w:rsidRPr="004C23F4" w:rsidRDefault="00233417" w:rsidP="006639B4">
      <w:pPr>
        <w:rPr>
          <w:rFonts w:cs="Arial"/>
        </w:rPr>
      </w:pPr>
      <w:r>
        <w:rPr>
          <w:rFonts w:cs="Arial"/>
        </w:rPr>
        <w:t>Based on the</w:t>
      </w:r>
      <w:r w:rsidR="00EB0D00">
        <w:rPr>
          <w:rFonts w:cs="Arial"/>
        </w:rPr>
        <w:t xml:space="preserve"> </w:t>
      </w:r>
      <w:r>
        <w:rPr>
          <w:rFonts w:cs="Arial"/>
        </w:rPr>
        <w:t>evidence</w:t>
      </w:r>
      <w:r w:rsidR="00EB0D00">
        <w:rPr>
          <w:rFonts w:cs="Arial"/>
        </w:rPr>
        <w:t xml:space="preserve"> </w:t>
      </w:r>
      <w:r>
        <w:rPr>
          <w:rFonts w:cs="Arial"/>
        </w:rPr>
        <w:t xml:space="preserve">of transient adverse effects </w:t>
      </w:r>
      <w:r w:rsidR="00EB0D00">
        <w:rPr>
          <w:rFonts w:cs="Arial"/>
        </w:rPr>
        <w:t xml:space="preserve">in </w:t>
      </w:r>
      <w:r>
        <w:rPr>
          <w:rFonts w:cs="Arial"/>
        </w:rPr>
        <w:t>humans at an estimate</w:t>
      </w:r>
      <w:r w:rsidR="00FB4B3F">
        <w:rPr>
          <w:rFonts w:cs="Arial"/>
        </w:rPr>
        <w:t>d</w:t>
      </w:r>
      <w:r>
        <w:rPr>
          <w:rFonts w:cs="Arial"/>
        </w:rPr>
        <w:t xml:space="preserve"> exposure concentration of 70 mg/m</w:t>
      </w:r>
      <w:r>
        <w:rPr>
          <w:rFonts w:cs="Arial"/>
          <w:vertAlign w:val="superscript"/>
        </w:rPr>
        <w:t>3</w:t>
      </w:r>
      <w:r>
        <w:rPr>
          <w:rFonts w:cs="Arial"/>
        </w:rPr>
        <w:t xml:space="preserve"> and of no effects in animals at 21 mg/m</w:t>
      </w:r>
      <w:r>
        <w:rPr>
          <w:rFonts w:cs="Arial"/>
          <w:vertAlign w:val="superscript"/>
        </w:rPr>
        <w:t>3</w:t>
      </w:r>
      <w:r>
        <w:rPr>
          <w:rFonts w:cs="Arial"/>
        </w:rPr>
        <w:t xml:space="preserve"> (estimated)</w:t>
      </w:r>
      <w:r w:rsidR="00C91E44" w:rsidRPr="00C91E44">
        <w:rPr>
          <w:rFonts w:cs="Arial"/>
        </w:rPr>
        <w:t xml:space="preserve">, </w:t>
      </w:r>
      <w:r>
        <w:rPr>
          <w:rFonts w:cs="Arial"/>
        </w:rPr>
        <w:t>a</w:t>
      </w:r>
      <w:r w:rsidRPr="00C91E44">
        <w:rPr>
          <w:rFonts w:cs="Arial"/>
        </w:rPr>
        <w:t xml:space="preserve"> </w:t>
      </w:r>
      <w:r w:rsidR="00C91E44" w:rsidRPr="00C91E44">
        <w:rPr>
          <w:rFonts w:cs="Arial"/>
        </w:rPr>
        <w:t xml:space="preserve">TWA of </w:t>
      </w:r>
      <w:r>
        <w:rPr>
          <w:rFonts w:cs="Arial"/>
        </w:rPr>
        <w:t>5</w:t>
      </w:r>
      <w:r w:rsidR="00C91E44">
        <w:rPr>
          <w:rFonts w:cs="Arial"/>
        </w:rPr>
        <w:t xml:space="preserve"> mg/m</w:t>
      </w:r>
      <w:r w:rsidR="00C91E44">
        <w:rPr>
          <w:rFonts w:cs="Arial"/>
          <w:vertAlign w:val="superscript"/>
        </w:rPr>
        <w:t>3</w:t>
      </w:r>
      <w:r w:rsidR="00C91E44" w:rsidRPr="00C91E44">
        <w:rPr>
          <w:rFonts w:cs="Arial"/>
        </w:rPr>
        <w:t xml:space="preserve"> </w:t>
      </w:r>
      <w:r w:rsidR="00032B6B">
        <w:rPr>
          <w:rFonts w:cs="Arial"/>
        </w:rPr>
        <w:t xml:space="preserve">by ACGIH (2018) </w:t>
      </w:r>
      <w:r w:rsidR="00C91E44" w:rsidRPr="00C91E44">
        <w:rPr>
          <w:rFonts w:cs="Arial"/>
        </w:rPr>
        <w:t>is recommended</w:t>
      </w:r>
      <w:r w:rsidR="00C91E44">
        <w:rPr>
          <w:rFonts w:cs="Arial"/>
        </w:rPr>
        <w:t>.</w:t>
      </w:r>
      <w:r w:rsidR="00C91E44" w:rsidRPr="00C91E44">
        <w:rPr>
          <w:rFonts w:cs="Arial"/>
        </w:rPr>
        <w:t xml:space="preserve"> </w:t>
      </w:r>
      <w:r w:rsidR="00C91E44">
        <w:rPr>
          <w:rFonts w:cs="Arial"/>
        </w:rPr>
        <w:t xml:space="preserve">This concentration is considered sufficiently low to minimise the </w:t>
      </w:r>
      <w:r w:rsidR="00C91E44">
        <w:t xml:space="preserve">inhibition of RBC acetylcholinesterase. </w:t>
      </w:r>
    </w:p>
    <w:p w14:paraId="273B44AD" w14:textId="77777777" w:rsidR="004529F0" w:rsidRPr="004C23F4" w:rsidRDefault="004529F0" w:rsidP="00752952">
      <w:pPr>
        <w:pStyle w:val="Heading2"/>
      </w:pPr>
      <w:r>
        <w:lastRenderedPageBreak/>
        <w:t>Recommendation for notations</w:t>
      </w:r>
    </w:p>
    <w:p w14:paraId="27C6755E" w14:textId="77777777" w:rsidR="008E4F1F" w:rsidRPr="00E90B57" w:rsidRDefault="008E4F1F" w:rsidP="00304A27">
      <w:pPr>
        <w:keepNext/>
        <w:rPr>
          <w:rFonts w:cs="Arial"/>
        </w:rPr>
      </w:pPr>
      <w:r w:rsidRPr="00E90B57">
        <w:rPr>
          <w:rFonts w:cs="Arial"/>
        </w:rPr>
        <w:t>Not classified as a carcinogen according to the Globally Harmonized System of</w:t>
      </w:r>
      <w:r w:rsidR="00155999" w:rsidRPr="00E90B57">
        <w:rPr>
          <w:rFonts w:cs="Arial"/>
        </w:rPr>
        <w:t xml:space="preserve"> Classification and Labelling of</w:t>
      </w:r>
      <w:r w:rsidRPr="00E90B57">
        <w:rPr>
          <w:rFonts w:cs="Arial"/>
        </w:rPr>
        <w:t xml:space="preserve"> Chemicals (GHS). </w:t>
      </w:r>
    </w:p>
    <w:p w14:paraId="03916CCC" w14:textId="77777777" w:rsidR="008E4F1F" w:rsidRPr="00E90B57" w:rsidRDefault="008E4F1F" w:rsidP="00304A27">
      <w:pPr>
        <w:keepNext/>
        <w:rPr>
          <w:rFonts w:cs="Arial"/>
        </w:rPr>
      </w:pPr>
      <w:r w:rsidRPr="00E90B57">
        <w:rPr>
          <w:rFonts w:cs="Arial"/>
        </w:rPr>
        <w:t xml:space="preserve">Not classified as a skin </w:t>
      </w:r>
      <w:r w:rsidR="00155999" w:rsidRPr="00E90B57">
        <w:rPr>
          <w:rFonts w:cs="Arial"/>
        </w:rPr>
        <w:t xml:space="preserve">sensitiser </w:t>
      </w:r>
      <w:r w:rsidRPr="00E90B57">
        <w:rPr>
          <w:rFonts w:cs="Arial"/>
        </w:rPr>
        <w:t>or respiratory sensitiser according to the GHS.</w:t>
      </w:r>
    </w:p>
    <w:p w14:paraId="21CCE2A5" w14:textId="27D93A30" w:rsidR="0025734A" w:rsidRPr="004C23F4" w:rsidRDefault="00E90B57" w:rsidP="00304A27">
      <w:pPr>
        <w:keepNext/>
        <w:rPr>
          <w:rFonts w:cs="Arial"/>
        </w:rPr>
      </w:pPr>
      <w:r>
        <w:rPr>
          <w:rFonts w:cs="Arial"/>
        </w:rPr>
        <w:t xml:space="preserve">A skin notation is not </w:t>
      </w:r>
      <w:r w:rsidR="0020286C">
        <w:rPr>
          <w:rFonts w:cs="Arial"/>
        </w:rPr>
        <w:t>recommend</w:t>
      </w:r>
      <w:r>
        <w:rPr>
          <w:rFonts w:cs="Arial"/>
        </w:rPr>
        <w:t>ed based on evidence in animals.</w:t>
      </w: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DA352E" w14:paraId="257268B5" w14:textId="77777777" w:rsidTr="00F5023B">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1707E895"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5B240DF2" w14:textId="77777777" w:rsidTr="00F5023B">
        <w:trPr>
          <w:cantSplit/>
        </w:trPr>
        <w:tc>
          <w:tcPr>
            <w:tcW w:w="5000" w:type="pct"/>
            <w:gridSpan w:val="2"/>
            <w:shd w:val="clear" w:color="auto" w:fill="F2F2F2" w:themeFill="background1" w:themeFillShade="F2"/>
          </w:tcPr>
          <w:p w14:paraId="3127B3A8" w14:textId="109C44BD"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7B0D59">
                  <w:t>1991</w:t>
                </w:r>
              </w:sdtContent>
            </w:sdt>
            <w:r w:rsidRPr="003365A5">
              <w:tab/>
            </w:r>
            <w:r>
              <w:tab/>
            </w:r>
            <w:sdt>
              <w:sdtPr>
                <w:alias w:val="SWA WES"/>
                <w:tag w:val="SWA WES"/>
                <w:id w:val="857077202"/>
                <w:placeholder>
                  <w:docPart w:val="81CFEC2FDBC5451289F394E66D92D1A0"/>
                </w:placeholder>
              </w:sdtPr>
              <w:sdtEndPr/>
              <w:sdtContent>
                <w:r w:rsidR="007B0D59">
                  <w:t>TWA: 10 mg/m</w:t>
                </w:r>
                <w:r w:rsidR="007B0D59" w:rsidRPr="007B0D59">
                  <w:rPr>
                    <w:vertAlign w:val="superscript"/>
                  </w:rPr>
                  <w:t>3</w:t>
                </w:r>
              </w:sdtContent>
            </w:sdt>
          </w:p>
        </w:tc>
      </w:tr>
      <w:tr w:rsidR="00C978F0" w:rsidRPr="00DA352E" w14:paraId="26087DDB" w14:textId="77777777" w:rsidTr="00F5023B">
        <w:trPr>
          <w:gridAfter w:val="1"/>
          <w:wAfter w:w="8" w:type="pct"/>
          <w:cantSplit/>
        </w:trPr>
        <w:tc>
          <w:tcPr>
            <w:tcW w:w="4992" w:type="pct"/>
          </w:tcPr>
          <w:p w14:paraId="1137D58F" w14:textId="77777777" w:rsidR="00C978F0" w:rsidRPr="00DA352E" w:rsidRDefault="00C978F0" w:rsidP="003365A5">
            <w:pPr>
              <w:pStyle w:val="Tabletextprimarysource"/>
            </w:pPr>
          </w:p>
        </w:tc>
      </w:tr>
      <w:tr w:rsidR="00C978F0" w:rsidRPr="00DA352E" w14:paraId="24593221" w14:textId="77777777" w:rsidTr="00F5023B">
        <w:trPr>
          <w:gridAfter w:val="1"/>
          <w:wAfter w:w="8" w:type="pct"/>
          <w:cantSplit/>
        </w:trPr>
        <w:tc>
          <w:tcPr>
            <w:tcW w:w="4992" w:type="pct"/>
            <w:shd w:val="clear" w:color="auto" w:fill="F2F2F2" w:themeFill="background1" w:themeFillShade="F2"/>
          </w:tcPr>
          <w:p w14:paraId="2ED10929" w14:textId="2438C3EB"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7B0D59">
                  <w:t>2006</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F550D4">
                  <w:t xml:space="preserve">TLV-TWA: </w:t>
                </w:r>
                <w:r w:rsidR="007B0D59">
                  <w:t>5 mg/m</w:t>
                </w:r>
                <w:r w:rsidR="007B0D59" w:rsidRPr="007B0D59">
                  <w:rPr>
                    <w:vertAlign w:val="superscript"/>
                  </w:rPr>
                  <w:t>3</w:t>
                </w:r>
                <w:r w:rsidR="00D4615C">
                  <w:rPr>
                    <w:vertAlign w:val="superscript"/>
                  </w:rPr>
                  <w:t xml:space="preserve"> </w:t>
                </w:r>
                <w:r w:rsidR="00F550D4">
                  <w:t>(0.4 ppm), Inhalable fraction and vapour</w:t>
                </w:r>
              </w:sdtContent>
            </w:sdt>
          </w:p>
        </w:tc>
      </w:tr>
      <w:tr w:rsidR="00C978F0" w:rsidRPr="00DA352E" w14:paraId="418D532D" w14:textId="77777777" w:rsidTr="00F5023B">
        <w:trPr>
          <w:gridAfter w:val="1"/>
          <w:wAfter w:w="8" w:type="pct"/>
        </w:trPr>
        <w:tc>
          <w:tcPr>
            <w:tcW w:w="4992" w:type="pct"/>
          </w:tcPr>
          <w:p w14:paraId="7C3C280C" w14:textId="57CCDC35" w:rsidR="00F550D4" w:rsidRDefault="008121B6" w:rsidP="00752952">
            <w:pPr>
              <w:pStyle w:val="Tabletextprimarysource"/>
            </w:pPr>
            <w:r>
              <w:t xml:space="preserve">TLV-TWA recommended to minimise </w:t>
            </w:r>
            <w:r w:rsidR="00F550D4">
              <w:t>inhibition of RBC</w:t>
            </w:r>
            <w:r w:rsidR="0020286C">
              <w:t xml:space="preserve"> ChE</w:t>
            </w:r>
            <w:r w:rsidR="00752952">
              <w:t>.</w:t>
            </w:r>
          </w:p>
          <w:p w14:paraId="249FA249" w14:textId="6B0D672D" w:rsidR="008121B6" w:rsidRDefault="008121B6" w:rsidP="00752952">
            <w:pPr>
              <w:pStyle w:val="Tabletextprimarysource"/>
            </w:pPr>
            <w:r>
              <w:t>Summary of data:</w:t>
            </w:r>
          </w:p>
          <w:p w14:paraId="5C1CB0B6" w14:textId="77777777" w:rsidR="008121B6" w:rsidRDefault="00F550D4" w:rsidP="00752952">
            <w:pPr>
              <w:pStyle w:val="Tabletextprimarysource"/>
            </w:pPr>
            <w:r>
              <w:t>Human data:</w:t>
            </w:r>
          </w:p>
          <w:p w14:paraId="3BB6EAF9" w14:textId="4D6D0D50" w:rsidR="00F550D4" w:rsidRDefault="00F550D4" w:rsidP="00304A27">
            <w:pPr>
              <w:pStyle w:val="ListBullet"/>
              <w:spacing w:before="60" w:after="60"/>
              <w:ind w:left="720"/>
              <w:contextualSpacing w:val="0"/>
            </w:pPr>
            <w:r>
              <w:t xml:space="preserve">No indication of sensitisation in a patch application study and </w:t>
            </w:r>
            <w:r w:rsidR="00D4615C">
              <w:t>challenge in 3</w:t>
            </w:r>
            <w:r>
              <w:t>0 male and 20</w:t>
            </w:r>
            <w:r w:rsidR="006A0D7A">
              <w:t> </w:t>
            </w:r>
            <w:r>
              <w:t>female volunteers</w:t>
            </w:r>
          </w:p>
          <w:p w14:paraId="1A2C78CE" w14:textId="055AB34F" w:rsidR="0020286C" w:rsidRDefault="00D4615C" w:rsidP="00304A27">
            <w:pPr>
              <w:pStyle w:val="ListBullet"/>
              <w:spacing w:before="60" w:after="60"/>
              <w:ind w:left="720"/>
              <w:contextualSpacing w:val="0"/>
            </w:pPr>
            <w:r>
              <w:t>5</w:t>
            </w:r>
            <w:r w:rsidR="0020286C">
              <w:t>/</w:t>
            </w:r>
            <w:r>
              <w:t xml:space="preserve">21 patients treated orally with 10 mg/kg/d for 5 or 10 d for </w:t>
            </w:r>
            <w:r w:rsidR="00190681">
              <w:t xml:space="preserve">creeping eruptions (larva </w:t>
            </w:r>
            <w:proofErr w:type="spellStart"/>
            <w:r w:rsidR="00190681" w:rsidRPr="00304A27">
              <w:t>migrans</w:t>
            </w:r>
            <w:proofErr w:type="spellEnd"/>
            <w:r w:rsidR="00190681">
              <w:t xml:space="preserve">) </w:t>
            </w:r>
            <w:r>
              <w:t>reported nausea, weakness, blurred vision and/or serpiginous ulcers</w:t>
            </w:r>
            <w:r w:rsidR="004D205B">
              <w:t>:</w:t>
            </w:r>
          </w:p>
          <w:p w14:paraId="084CE00B" w14:textId="51EB1741" w:rsidR="00F550D4" w:rsidRDefault="00D4615C" w:rsidP="00B4575E">
            <w:pPr>
              <w:pStyle w:val="ListBullet"/>
              <w:numPr>
                <w:ilvl w:val="0"/>
                <w:numId w:val="11"/>
              </w:numPr>
              <w:spacing w:before="60" w:after="60"/>
              <w:contextualSpacing w:val="0"/>
            </w:pPr>
            <w:r>
              <w:t>symptoms disappeared immediately after use discontinued</w:t>
            </w:r>
          </w:p>
          <w:p w14:paraId="2A8D0EDA" w14:textId="039D87BD" w:rsidR="0020286C" w:rsidRDefault="00D4615C" w:rsidP="00304A27">
            <w:pPr>
              <w:pStyle w:val="ListBullet"/>
              <w:spacing w:before="60" w:after="60"/>
              <w:ind w:left="720"/>
              <w:contextualSpacing w:val="0"/>
            </w:pPr>
            <w:r>
              <w:t xml:space="preserve">Nausea, headaches and irritation of the throat and facial skin </w:t>
            </w:r>
            <w:r w:rsidR="0020286C">
              <w:t>i</w:t>
            </w:r>
            <w:r>
              <w:t>n veterinarians treating cattle with liquid or other organic phosphorus pesticides in poorly ventil</w:t>
            </w:r>
            <w:r w:rsidR="00190681">
              <w:t>ated areas</w:t>
            </w:r>
            <w:r w:rsidR="004D205B">
              <w:t>:</w:t>
            </w:r>
          </w:p>
          <w:p w14:paraId="22B72BA9" w14:textId="05C9F1DF" w:rsidR="0020286C" w:rsidRDefault="00190681" w:rsidP="00B4575E">
            <w:pPr>
              <w:pStyle w:val="ListBullet"/>
              <w:numPr>
                <w:ilvl w:val="0"/>
                <w:numId w:val="11"/>
              </w:numPr>
              <w:spacing w:before="60" w:after="60"/>
              <w:contextualSpacing w:val="0"/>
            </w:pPr>
            <w:r>
              <w:t xml:space="preserve">no reduced plasma </w:t>
            </w:r>
            <w:r w:rsidR="00D4615C">
              <w:t xml:space="preserve">or RBC </w:t>
            </w:r>
            <w:r w:rsidR="0020286C">
              <w:t xml:space="preserve">ChE </w:t>
            </w:r>
            <w:r w:rsidR="00D4615C">
              <w:t>activit</w:t>
            </w:r>
            <w:r w:rsidR="0020286C">
              <w:t>y</w:t>
            </w:r>
            <w:r w:rsidR="00D4615C">
              <w:t xml:space="preserve"> in these cases</w:t>
            </w:r>
          </w:p>
          <w:p w14:paraId="19820A60" w14:textId="2F50A6C5" w:rsidR="00D4615C" w:rsidRDefault="00D4615C" w:rsidP="00B4575E">
            <w:pPr>
              <w:pStyle w:val="ListBullet"/>
              <w:numPr>
                <w:ilvl w:val="0"/>
                <w:numId w:val="11"/>
              </w:numPr>
              <w:spacing w:before="60" w:after="60"/>
              <w:contextualSpacing w:val="0"/>
            </w:pPr>
            <w:r>
              <w:t>alkyl phosphate metabolites were only occasionally found in the urine at time veterinarian blood sampling</w:t>
            </w:r>
            <w:r w:rsidR="00752952">
              <w:t>.</w:t>
            </w:r>
          </w:p>
          <w:p w14:paraId="6F63957A" w14:textId="77777777" w:rsidR="00D4615C" w:rsidRDefault="00D4615C" w:rsidP="00752952">
            <w:pPr>
              <w:pStyle w:val="Tabletextprimarysource"/>
            </w:pPr>
            <w:r>
              <w:t>Animal data:</w:t>
            </w:r>
          </w:p>
          <w:p w14:paraId="58C9C709" w14:textId="0B7C3C52" w:rsidR="00D4615C" w:rsidRDefault="00807173" w:rsidP="00304A27">
            <w:pPr>
              <w:pStyle w:val="ListBullet"/>
              <w:spacing w:before="60" w:after="60"/>
              <w:ind w:left="720"/>
              <w:contextualSpacing w:val="0"/>
            </w:pPr>
            <w:r>
              <w:t>LD</w:t>
            </w:r>
            <w:r>
              <w:rPr>
                <w:vertAlign w:val="subscript"/>
              </w:rPr>
              <w:t>50</w:t>
            </w:r>
            <w:r w:rsidR="00304A27">
              <w:t>:</w:t>
            </w:r>
            <w:r>
              <w:t xml:space="preserve"> 1,600</w:t>
            </w:r>
            <w:r w:rsidR="00752952">
              <w:t>–</w:t>
            </w:r>
            <w:r>
              <w:t>2,000 mg/</w:t>
            </w:r>
            <w:r w:rsidR="00304A27">
              <w:t>kg (</w:t>
            </w:r>
            <w:r>
              <w:t>rabbit</w:t>
            </w:r>
            <w:r w:rsidR="00304A27">
              <w:t>, dermal)</w:t>
            </w:r>
          </w:p>
          <w:p w14:paraId="3172EDF2" w14:textId="684AD487" w:rsidR="00807173" w:rsidRDefault="00807173" w:rsidP="00304A27">
            <w:pPr>
              <w:pStyle w:val="ListBullet"/>
              <w:spacing w:before="60" w:after="60"/>
              <w:ind w:left="720"/>
              <w:contextualSpacing w:val="0"/>
            </w:pPr>
            <w:r>
              <w:t>LD</w:t>
            </w:r>
            <w:r>
              <w:rPr>
                <w:vertAlign w:val="subscript"/>
              </w:rPr>
              <w:t>50</w:t>
            </w:r>
            <w:r w:rsidR="00304A27">
              <w:rPr>
                <w:vertAlign w:val="subscript"/>
              </w:rPr>
              <w:t xml:space="preserve">: </w:t>
            </w:r>
            <w:r>
              <w:t>640</w:t>
            </w:r>
            <w:r w:rsidR="00304A27">
              <w:t xml:space="preserve"> mg/kg</w:t>
            </w:r>
            <w:r>
              <w:t xml:space="preserve"> </w:t>
            </w:r>
            <w:r w:rsidR="00304A27">
              <w:t>(</w:t>
            </w:r>
            <w:r>
              <w:t>rabbits</w:t>
            </w:r>
            <w:r w:rsidR="00304A27">
              <w:t>, oral)</w:t>
            </w:r>
          </w:p>
          <w:p w14:paraId="3A44F8F6" w14:textId="05EF08CC" w:rsidR="0020286C" w:rsidRDefault="006A0D7A" w:rsidP="00304A27">
            <w:pPr>
              <w:pStyle w:val="ListBullet"/>
              <w:spacing w:before="60" w:after="60"/>
              <w:ind w:left="720"/>
              <w:contextualSpacing w:val="0"/>
            </w:pPr>
            <w:r>
              <w:t>No adverse cholinergic effects reported i</w:t>
            </w:r>
            <w:r w:rsidR="00807173">
              <w:t>n a sub-chronic oral diet study</w:t>
            </w:r>
            <w:r>
              <w:t xml:space="preserve"> in </w:t>
            </w:r>
            <w:r w:rsidR="00807173">
              <w:t>rats given 0.5, 1.0, 3.0,10.0, 30.0, 50.0 mg/kg/d</w:t>
            </w:r>
            <w:r w:rsidR="004D205B">
              <w:t>:</w:t>
            </w:r>
          </w:p>
          <w:p w14:paraId="5FD83F95" w14:textId="2747DCA9" w:rsidR="00807173" w:rsidRDefault="00807173" w:rsidP="00B4575E">
            <w:pPr>
              <w:pStyle w:val="ListBullet"/>
              <w:numPr>
                <w:ilvl w:val="0"/>
                <w:numId w:val="11"/>
              </w:numPr>
              <w:spacing w:before="60" w:after="60"/>
              <w:contextualSpacing w:val="0"/>
            </w:pPr>
            <w:r>
              <w:t xml:space="preserve">significantly inhibited brain and RBC </w:t>
            </w:r>
            <w:proofErr w:type="spellStart"/>
            <w:r w:rsidR="0020286C">
              <w:t>ChE</w:t>
            </w:r>
            <w:proofErr w:type="spellEnd"/>
            <w:r w:rsidR="006A0D7A">
              <w:t xml:space="preserve"> at 30.0 and 50.0 mg/kg/d</w:t>
            </w:r>
          </w:p>
          <w:p w14:paraId="7E2950E4" w14:textId="32059B6C" w:rsidR="00807173" w:rsidRDefault="00807173" w:rsidP="00304A27">
            <w:pPr>
              <w:pStyle w:val="ListBullet"/>
              <w:spacing w:before="60" w:after="60"/>
              <w:ind w:left="720"/>
              <w:contextualSpacing w:val="0"/>
            </w:pPr>
            <w:r>
              <w:t>A single female dog given 25 mg/kg</w:t>
            </w:r>
            <w:r w:rsidR="006A0D7A">
              <w:t>/d</w:t>
            </w:r>
            <w:r>
              <w:t xml:space="preserve"> </w:t>
            </w:r>
            <w:r w:rsidR="006A0D7A">
              <w:t xml:space="preserve">for </w:t>
            </w:r>
            <w:r>
              <w:t xml:space="preserve">11 mo (assumed per day) </w:t>
            </w:r>
            <w:r w:rsidR="00B4575E">
              <w:t>had</w:t>
            </w:r>
            <w:r>
              <w:t xml:space="preserve"> no adverse effects although plasma, RBC and brain </w:t>
            </w:r>
            <w:r w:rsidR="00B4575E">
              <w:t xml:space="preserve">ChE </w:t>
            </w:r>
            <w:r>
              <w:t>activity reduced</w:t>
            </w:r>
          </w:p>
          <w:p w14:paraId="2F80EFE7" w14:textId="6CD4CD4B" w:rsidR="00B4575E" w:rsidRDefault="005A5870" w:rsidP="00304A27">
            <w:pPr>
              <w:pStyle w:val="ListBullet"/>
              <w:spacing w:before="60" w:after="60"/>
              <w:ind w:left="720"/>
              <w:contextualSpacing w:val="0"/>
            </w:pPr>
            <w:r>
              <w:t>D</w:t>
            </w:r>
            <w:r w:rsidR="006A0D7A">
              <w:t>ogs</w:t>
            </w:r>
            <w:r>
              <w:t xml:space="preserve"> given </w:t>
            </w:r>
            <w:r w:rsidR="001F0CF0">
              <w:t xml:space="preserve">0.3, 1, 3, or 10 mg/kg/d </w:t>
            </w:r>
            <w:r w:rsidR="006A0D7A" w:rsidRPr="004D205B">
              <w:rPr>
                <w:iCs/>
              </w:rPr>
              <w:t>in the</w:t>
            </w:r>
            <w:r w:rsidR="006A0D7A">
              <w:t xml:space="preserve"> </w:t>
            </w:r>
            <w:r w:rsidR="001F0CF0">
              <w:t xml:space="preserve">diet for 1 </w:t>
            </w:r>
            <w:proofErr w:type="spellStart"/>
            <w:r w:rsidR="001F0CF0">
              <w:t>yr</w:t>
            </w:r>
            <w:proofErr w:type="spellEnd"/>
            <w:r w:rsidR="004D205B">
              <w:t>:</w:t>
            </w:r>
            <w:r w:rsidR="001F0CF0">
              <w:t xml:space="preserve"> </w:t>
            </w:r>
          </w:p>
          <w:p w14:paraId="2611C448" w14:textId="3AD49F12" w:rsidR="005A5870" w:rsidRDefault="005A5870" w:rsidP="004D205B">
            <w:pPr>
              <w:pStyle w:val="ListBullet"/>
              <w:numPr>
                <w:ilvl w:val="0"/>
                <w:numId w:val="11"/>
              </w:numPr>
              <w:spacing w:before="60" w:after="60"/>
              <w:contextualSpacing w:val="0"/>
            </w:pPr>
            <w:r>
              <w:t xml:space="preserve">no adverse effects except </w:t>
            </w:r>
            <w:r w:rsidR="001F0CF0">
              <w:t xml:space="preserve">plasma and RBC </w:t>
            </w:r>
            <w:proofErr w:type="spellStart"/>
            <w:r w:rsidR="00B4575E">
              <w:t>ChE</w:t>
            </w:r>
            <w:proofErr w:type="spellEnd"/>
            <w:r w:rsidR="00B4575E">
              <w:t xml:space="preserve"> </w:t>
            </w:r>
            <w:r w:rsidR="001F0CF0">
              <w:t>activity inhibited</w:t>
            </w:r>
            <w:r w:rsidR="00EB0D00">
              <w:t xml:space="preserve"> at 10 mg/kg/d</w:t>
            </w:r>
          </w:p>
          <w:p w14:paraId="2946F9CD" w14:textId="433A3E2E" w:rsidR="001F0CF0" w:rsidRDefault="001F0CF0" w:rsidP="004D205B">
            <w:pPr>
              <w:pStyle w:val="ListBullet"/>
              <w:numPr>
                <w:ilvl w:val="0"/>
                <w:numId w:val="11"/>
              </w:numPr>
              <w:spacing w:before="60" w:after="60"/>
              <w:contextualSpacing w:val="0"/>
            </w:pPr>
            <w:r>
              <w:t>NO</w:t>
            </w:r>
            <w:r w:rsidR="00B4575E">
              <w:t>A</w:t>
            </w:r>
            <w:r>
              <w:t>EL</w:t>
            </w:r>
            <w:r w:rsidR="005A5870">
              <w:t xml:space="preserve">: </w:t>
            </w:r>
            <w:r>
              <w:t>3 mg/kg/d</w:t>
            </w:r>
          </w:p>
          <w:p w14:paraId="43F8064C" w14:textId="77777777" w:rsidR="006A6D88" w:rsidRDefault="001F0CF0" w:rsidP="00304A27">
            <w:pPr>
              <w:pStyle w:val="ListBullet"/>
              <w:spacing w:before="60" w:after="60"/>
              <w:ind w:left="720"/>
              <w:contextualSpacing w:val="0"/>
            </w:pPr>
            <w:r>
              <w:t xml:space="preserve">Rats fed doses of 0.5, 1.5, 5, 15, or 50 mg/kg/d for 2 </w:t>
            </w:r>
            <w:proofErr w:type="spellStart"/>
            <w:r>
              <w:t>yr</w:t>
            </w:r>
            <w:proofErr w:type="spellEnd"/>
            <w:r w:rsidR="006A6D88">
              <w:t>:</w:t>
            </w:r>
            <w:r>
              <w:t xml:space="preserve"> </w:t>
            </w:r>
          </w:p>
          <w:p w14:paraId="0EBC9BA9" w14:textId="56BD3FFA" w:rsidR="007B1BB7" w:rsidRDefault="006A6D88" w:rsidP="006A6D88">
            <w:pPr>
              <w:pStyle w:val="ListBullet"/>
              <w:numPr>
                <w:ilvl w:val="0"/>
                <w:numId w:val="17"/>
              </w:numPr>
              <w:spacing w:before="60" w:after="60"/>
              <w:contextualSpacing w:val="0"/>
            </w:pPr>
            <w:r>
              <w:t>no</w:t>
            </w:r>
            <w:r w:rsidR="001F0CF0">
              <w:t xml:space="preserve"> differences from controls in growth rate, food consumption, mortality rate or haematopoiesis</w:t>
            </w:r>
          </w:p>
          <w:p w14:paraId="5A456614" w14:textId="2C7D6406" w:rsidR="006A6D88" w:rsidRDefault="006A6D88" w:rsidP="006A6D88">
            <w:pPr>
              <w:pStyle w:val="ListBullet"/>
              <w:numPr>
                <w:ilvl w:val="0"/>
                <w:numId w:val="17"/>
              </w:numPr>
              <w:spacing w:before="60" w:after="60"/>
              <w:contextualSpacing w:val="0"/>
            </w:pPr>
            <w:r>
              <w:t>some evidence of slight granular degeneration or cloudy swelling of parenchymal cells of liver and cloudy swelling and vacuolation of renal tubular epithelium of kidney</w:t>
            </w:r>
          </w:p>
          <w:p w14:paraId="60532E38" w14:textId="6172FD2A" w:rsidR="00B4575E" w:rsidRDefault="00676F3E" w:rsidP="00676F3E">
            <w:pPr>
              <w:pStyle w:val="ListBullet"/>
              <w:numPr>
                <w:ilvl w:val="0"/>
                <w:numId w:val="16"/>
              </w:numPr>
              <w:spacing w:before="60" w:after="60"/>
              <w:contextualSpacing w:val="0"/>
            </w:pPr>
            <w:r>
              <w:t>p</w:t>
            </w:r>
            <w:r w:rsidR="007B1BB7">
              <w:t xml:space="preserve">lasma </w:t>
            </w:r>
            <w:r>
              <w:t>ChE</w:t>
            </w:r>
            <w:r w:rsidR="007B1BB7">
              <w:t xml:space="preserve"> was significantly inhibited in females given ≥1.5 mg/kg</w:t>
            </w:r>
            <w:r w:rsidR="00CE13B6">
              <w:t>/d</w:t>
            </w:r>
            <w:r w:rsidR="007B1BB7">
              <w:t xml:space="preserve"> and in males given ≥15 mg/kg</w:t>
            </w:r>
            <w:r w:rsidR="00CE13B6">
              <w:t>/d</w:t>
            </w:r>
          </w:p>
          <w:p w14:paraId="13671CF0" w14:textId="1DAE107B" w:rsidR="006A6D88" w:rsidRDefault="006A6D88" w:rsidP="00676F3E">
            <w:pPr>
              <w:pStyle w:val="ListBullet"/>
              <w:numPr>
                <w:ilvl w:val="0"/>
                <w:numId w:val="16"/>
              </w:numPr>
              <w:spacing w:before="60" w:after="60"/>
              <w:contextualSpacing w:val="0"/>
            </w:pPr>
            <w:r>
              <w:t xml:space="preserve">RBC and brain </w:t>
            </w:r>
            <w:proofErr w:type="spellStart"/>
            <w:r>
              <w:t>ChE</w:t>
            </w:r>
            <w:proofErr w:type="spellEnd"/>
            <w:r>
              <w:t xml:space="preserve"> significantly inhibited in both sexes at 15 or 50 mg/kg/d.</w:t>
            </w:r>
          </w:p>
          <w:p w14:paraId="01C3CABB" w14:textId="7BB16A97" w:rsidR="001F0CF0" w:rsidRDefault="001F0CF0" w:rsidP="00752952">
            <w:pPr>
              <w:pStyle w:val="Tabletextprimarysource"/>
            </w:pPr>
            <w:r>
              <w:t>TLV-TWA justification:</w:t>
            </w:r>
          </w:p>
          <w:p w14:paraId="2E27A0D8" w14:textId="39708AE5" w:rsidR="00B4575E" w:rsidRDefault="001F0CF0" w:rsidP="00304A27">
            <w:pPr>
              <w:pStyle w:val="ListBullet"/>
              <w:spacing w:before="60" w:after="60"/>
              <w:ind w:left="720"/>
              <w:contextualSpacing w:val="0"/>
            </w:pPr>
            <w:r>
              <w:t xml:space="preserve">No effect levels for RBC </w:t>
            </w:r>
            <w:r w:rsidR="00B4575E">
              <w:t xml:space="preserve">ChE </w:t>
            </w:r>
            <w:r>
              <w:t>inhibition in dogs and rats reported as 3 and 5</w:t>
            </w:r>
            <w:r w:rsidR="00304A27">
              <w:t> </w:t>
            </w:r>
            <w:r>
              <w:t>mg/kg/d</w:t>
            </w:r>
            <w:r w:rsidR="005A01D9">
              <w:t xml:space="preserve">, </w:t>
            </w:r>
            <w:r>
              <w:t>respectively</w:t>
            </w:r>
            <w:r w:rsidR="00753C1E">
              <w:t>:</w:t>
            </w:r>
            <w:r>
              <w:t xml:space="preserve"> </w:t>
            </w:r>
          </w:p>
          <w:p w14:paraId="34388582" w14:textId="1B35337C" w:rsidR="001F0CF0" w:rsidRDefault="00CB14E4" w:rsidP="00B4575E">
            <w:pPr>
              <w:pStyle w:val="ListBullet"/>
              <w:numPr>
                <w:ilvl w:val="0"/>
                <w:numId w:val="11"/>
              </w:numPr>
              <w:spacing w:before="60" w:after="60"/>
              <w:contextualSpacing w:val="0"/>
            </w:pPr>
            <w:r>
              <w:t>assuming an air exchange rate of 10m</w:t>
            </w:r>
            <w:r w:rsidRPr="00CB14E4">
              <w:rPr>
                <w:vertAlign w:val="superscript"/>
              </w:rPr>
              <w:t xml:space="preserve">3 </w:t>
            </w:r>
            <w:r>
              <w:t>per 8 h by a 70</w:t>
            </w:r>
            <w:r w:rsidR="00752952">
              <w:t xml:space="preserve"> </w:t>
            </w:r>
            <w:r>
              <w:t>kg worker, equivalent</w:t>
            </w:r>
            <w:r w:rsidR="00753C1E">
              <w:t xml:space="preserve"> to</w:t>
            </w:r>
            <w:r>
              <w:t xml:space="preserve"> </w:t>
            </w:r>
            <w:r w:rsidR="00753C1E">
              <w:t xml:space="preserve">inhaling </w:t>
            </w:r>
            <w:r>
              <w:t>to 21 and 35 mg/m</w:t>
            </w:r>
            <w:r>
              <w:rPr>
                <w:vertAlign w:val="superscript"/>
              </w:rPr>
              <w:t>3</w:t>
            </w:r>
            <w:r w:rsidR="005A01D9">
              <w:t>, respectively</w:t>
            </w:r>
          </w:p>
          <w:p w14:paraId="66339E1A" w14:textId="2D8D3461" w:rsidR="00B4575E" w:rsidRDefault="00CB14E4" w:rsidP="00304A27">
            <w:pPr>
              <w:pStyle w:val="ListBullet"/>
              <w:spacing w:before="60" w:after="60"/>
              <w:ind w:left="720"/>
              <w:contextualSpacing w:val="0"/>
            </w:pPr>
            <w:r>
              <w:t>Patients treated with 10 mg/kg/d for illness; associated with reversible signs of cholinergic toxicity in 5</w:t>
            </w:r>
            <w:r w:rsidR="00B4575E">
              <w:t>/</w:t>
            </w:r>
            <w:r>
              <w:t>21 subjects</w:t>
            </w:r>
            <w:r w:rsidR="00753C1E">
              <w:t>:</w:t>
            </w:r>
            <w:r>
              <w:t xml:space="preserve"> </w:t>
            </w:r>
          </w:p>
          <w:p w14:paraId="2F805F4E" w14:textId="1D1F4821" w:rsidR="00CB14E4" w:rsidRDefault="00CB14E4" w:rsidP="00B4575E">
            <w:pPr>
              <w:pStyle w:val="ListBullet"/>
              <w:numPr>
                <w:ilvl w:val="0"/>
                <w:numId w:val="11"/>
              </w:numPr>
              <w:spacing w:before="60" w:after="60"/>
              <w:contextualSpacing w:val="0"/>
            </w:pPr>
            <w:r>
              <w:lastRenderedPageBreak/>
              <w:t>equivalent to inhaling 70 mg/m</w:t>
            </w:r>
            <w:r>
              <w:rPr>
                <w:vertAlign w:val="superscript"/>
              </w:rPr>
              <w:t>3</w:t>
            </w:r>
            <w:r w:rsidR="00B4575E">
              <w:t>/</w:t>
            </w:r>
            <w:r>
              <w:t>d assuming an air exchange rate of 10</w:t>
            </w:r>
            <w:r w:rsidR="005A01D9">
              <w:t xml:space="preserve"> </w:t>
            </w:r>
            <w:r>
              <w:t>m</w:t>
            </w:r>
            <w:r w:rsidRPr="00CB14E4">
              <w:rPr>
                <w:vertAlign w:val="superscript"/>
              </w:rPr>
              <w:t xml:space="preserve">3 </w:t>
            </w:r>
            <w:r>
              <w:t>per 8 h by a 70</w:t>
            </w:r>
            <w:r w:rsidR="00752952">
              <w:t xml:space="preserve"> </w:t>
            </w:r>
            <w:r>
              <w:t>kg worker</w:t>
            </w:r>
          </w:p>
          <w:p w14:paraId="3B2905D4" w14:textId="6DF9987A" w:rsidR="00B4575E" w:rsidRDefault="00CB14E4" w:rsidP="00676F3E">
            <w:pPr>
              <w:pStyle w:val="ListBullet"/>
              <w:spacing w:before="60" w:after="60"/>
              <w:ind w:left="720"/>
              <w:contextualSpacing w:val="0"/>
            </w:pPr>
            <w:r>
              <w:t>Therefore, TLV-TWA of 5 mg/m</w:t>
            </w:r>
            <w:r>
              <w:rPr>
                <w:vertAlign w:val="superscript"/>
              </w:rPr>
              <w:t>3</w:t>
            </w:r>
            <w:r>
              <w:t xml:space="preserve"> consider</w:t>
            </w:r>
            <w:r w:rsidR="00B4575E">
              <w:t>ed</w:t>
            </w:r>
            <w:r>
              <w:t xml:space="preserve"> protect</w:t>
            </w:r>
            <w:r w:rsidR="00B4575E">
              <w:t>ive</w:t>
            </w:r>
            <w:r>
              <w:t xml:space="preserve"> of cholinergic effects </w:t>
            </w:r>
            <w:r w:rsidR="00B4575E">
              <w:t>and</w:t>
            </w:r>
            <w:r>
              <w:t xml:space="preserve"> any other effects</w:t>
            </w:r>
            <w:r w:rsidR="00752952">
              <w:t>.</w:t>
            </w:r>
          </w:p>
          <w:p w14:paraId="5ECC1D62" w14:textId="77777777" w:rsidR="006A6D88" w:rsidRDefault="006A6D88" w:rsidP="00752952">
            <w:pPr>
              <w:pStyle w:val="Tabletextprimarysource"/>
            </w:pPr>
          </w:p>
          <w:p w14:paraId="46EDF17F" w14:textId="31568229" w:rsidR="00CB14E4" w:rsidRDefault="00CB14E4" w:rsidP="00752952">
            <w:pPr>
              <w:pStyle w:val="Tabletextprimarysource"/>
            </w:pPr>
            <w:r>
              <w:t>Insufficient data to recommend a sensitiser notation or TLV-STEL.</w:t>
            </w:r>
          </w:p>
          <w:p w14:paraId="0CE4D35D" w14:textId="354C3083" w:rsidR="006A6D88" w:rsidRPr="00DA352E" w:rsidRDefault="006A6D88" w:rsidP="00752952">
            <w:pPr>
              <w:pStyle w:val="Tabletextprimarysource"/>
            </w:pPr>
          </w:p>
        </w:tc>
      </w:tr>
      <w:tr w:rsidR="00C978F0" w:rsidRPr="00DA352E" w14:paraId="174F8B79" w14:textId="77777777" w:rsidTr="00F5023B">
        <w:trPr>
          <w:gridAfter w:val="1"/>
          <w:wAfter w:w="8" w:type="pct"/>
          <w:cantSplit/>
        </w:trPr>
        <w:tc>
          <w:tcPr>
            <w:tcW w:w="4992" w:type="pct"/>
            <w:shd w:val="clear" w:color="auto" w:fill="F2F2F2" w:themeFill="background1" w:themeFillShade="F2"/>
          </w:tcPr>
          <w:p w14:paraId="65BCCE9F" w14:textId="1B5B6B18"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7B0D59">
                  <w:t>NA</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7B0D59">
                  <w:t>NA</w:t>
                </w:r>
              </w:sdtContent>
            </w:sdt>
          </w:p>
        </w:tc>
      </w:tr>
      <w:tr w:rsidR="00C978F0" w:rsidRPr="00DA352E" w14:paraId="4433014F" w14:textId="77777777" w:rsidTr="00F5023B">
        <w:trPr>
          <w:gridAfter w:val="1"/>
          <w:wAfter w:w="8" w:type="pct"/>
          <w:cantSplit/>
        </w:trPr>
        <w:tc>
          <w:tcPr>
            <w:tcW w:w="4992" w:type="pct"/>
          </w:tcPr>
          <w:p w14:paraId="61A64F09" w14:textId="2221BE65" w:rsidR="00C978F0" w:rsidRPr="00DA352E" w:rsidRDefault="007B0D59" w:rsidP="003365A5">
            <w:pPr>
              <w:pStyle w:val="Tabletextprimarysource"/>
            </w:pPr>
            <w:r>
              <w:t>No report</w:t>
            </w:r>
            <w:r w:rsidR="00752952">
              <w:t>.</w:t>
            </w:r>
          </w:p>
        </w:tc>
      </w:tr>
      <w:tr w:rsidR="00C978F0" w:rsidRPr="00DA352E" w14:paraId="0E6A0B2C" w14:textId="77777777" w:rsidTr="00F5023B">
        <w:trPr>
          <w:gridAfter w:val="1"/>
          <w:wAfter w:w="8" w:type="pct"/>
          <w:cantSplit/>
        </w:trPr>
        <w:tc>
          <w:tcPr>
            <w:tcW w:w="4992" w:type="pct"/>
            <w:shd w:val="clear" w:color="auto" w:fill="F2F2F2" w:themeFill="background1" w:themeFillShade="F2"/>
          </w:tcPr>
          <w:p w14:paraId="73C602E5" w14:textId="2325D1E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7B0D59">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7B0D59">
                  <w:t>NA</w:t>
                </w:r>
              </w:sdtContent>
            </w:sdt>
          </w:p>
        </w:tc>
      </w:tr>
      <w:tr w:rsidR="00C978F0" w:rsidRPr="00DA352E" w14:paraId="2008D281" w14:textId="77777777" w:rsidTr="00F5023B">
        <w:trPr>
          <w:gridAfter w:val="1"/>
          <w:wAfter w:w="8" w:type="pct"/>
          <w:cantSplit/>
        </w:trPr>
        <w:tc>
          <w:tcPr>
            <w:tcW w:w="4992" w:type="pct"/>
          </w:tcPr>
          <w:p w14:paraId="153B53C1" w14:textId="0391EBFB" w:rsidR="00C978F0" w:rsidRPr="00DA352E" w:rsidRDefault="007B0D59" w:rsidP="003365A5">
            <w:pPr>
              <w:pStyle w:val="Tabletextprimarysource"/>
            </w:pPr>
            <w:r>
              <w:t>No report</w:t>
            </w:r>
            <w:r w:rsidR="00752952">
              <w:t>.</w:t>
            </w:r>
          </w:p>
        </w:tc>
      </w:tr>
      <w:tr w:rsidR="00DA352E" w:rsidRPr="00DA352E" w14:paraId="12BAB90D" w14:textId="77777777" w:rsidTr="00F5023B">
        <w:trPr>
          <w:gridAfter w:val="1"/>
          <w:wAfter w:w="8" w:type="pct"/>
          <w:cantSplit/>
        </w:trPr>
        <w:tc>
          <w:tcPr>
            <w:tcW w:w="4992" w:type="pct"/>
            <w:shd w:val="clear" w:color="auto" w:fill="F2F2F2" w:themeFill="background1" w:themeFillShade="F2"/>
          </w:tcPr>
          <w:p w14:paraId="0D806BF8" w14:textId="4B0DA260"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7B0D59">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sdt>
                  <w:sdtPr>
                    <w:id w:val="1657954980"/>
                    <w:placeholder>
                      <w:docPart w:val="6C68A0962A9D4416813DAE29AC0F2301"/>
                    </w:placeholder>
                    <w:text/>
                  </w:sdtPr>
                  <w:sdtEndPr/>
                  <w:sdtContent>
                    <w:r w:rsidR="007B0D59">
                      <w:t>NA</w:t>
                    </w:r>
                  </w:sdtContent>
                </w:sdt>
              </w:sdtContent>
            </w:sdt>
          </w:p>
        </w:tc>
      </w:tr>
      <w:tr w:rsidR="00DA352E" w:rsidRPr="00DA352E" w14:paraId="33AAF4A6" w14:textId="77777777" w:rsidTr="00F5023B">
        <w:trPr>
          <w:gridAfter w:val="1"/>
          <w:wAfter w:w="8" w:type="pct"/>
          <w:cantSplit/>
        </w:trPr>
        <w:tc>
          <w:tcPr>
            <w:tcW w:w="4992" w:type="pct"/>
          </w:tcPr>
          <w:p w14:paraId="2059E4CB" w14:textId="2972FA90" w:rsidR="00DA352E" w:rsidRPr="00DA352E" w:rsidRDefault="007B0D59" w:rsidP="003365A5">
            <w:pPr>
              <w:pStyle w:val="Tabletextprimarysource"/>
            </w:pPr>
            <w:r>
              <w:t>No report</w:t>
            </w:r>
            <w:r w:rsidR="00752952">
              <w:t>.</w:t>
            </w:r>
          </w:p>
        </w:tc>
      </w:tr>
      <w:tr w:rsidR="00DA352E" w:rsidRPr="00DA352E" w14:paraId="605F758C" w14:textId="77777777" w:rsidTr="00F5023B">
        <w:trPr>
          <w:gridAfter w:val="1"/>
          <w:wAfter w:w="8" w:type="pct"/>
          <w:cantSplit/>
        </w:trPr>
        <w:tc>
          <w:tcPr>
            <w:tcW w:w="4992" w:type="pct"/>
            <w:shd w:val="clear" w:color="auto" w:fill="F2F2F2" w:themeFill="background1" w:themeFillShade="F2"/>
          </w:tcPr>
          <w:p w14:paraId="407840EC" w14:textId="631B26C2"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7B0D59">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sdt>
                  <w:sdtPr>
                    <w:id w:val="380604877"/>
                    <w:placeholder>
                      <w:docPart w:val="1D6424C12C184620B4FB480236DEAF04"/>
                    </w:placeholder>
                    <w:text/>
                  </w:sdtPr>
                  <w:sdtEndPr/>
                  <w:sdtContent>
                    <w:r w:rsidR="007B0D59">
                      <w:t>NA</w:t>
                    </w:r>
                  </w:sdtContent>
                </w:sdt>
              </w:sdtContent>
            </w:sdt>
          </w:p>
        </w:tc>
      </w:tr>
      <w:tr w:rsidR="00DA352E" w:rsidRPr="00DA352E" w14:paraId="7050CB3E" w14:textId="77777777" w:rsidTr="00F5023B">
        <w:trPr>
          <w:gridAfter w:val="1"/>
          <w:wAfter w:w="8" w:type="pct"/>
          <w:cantSplit/>
        </w:trPr>
        <w:tc>
          <w:tcPr>
            <w:tcW w:w="4992" w:type="pct"/>
          </w:tcPr>
          <w:p w14:paraId="492D7791" w14:textId="3B034133" w:rsidR="00DA352E" w:rsidRPr="00DA352E" w:rsidRDefault="007B0D59" w:rsidP="003365A5">
            <w:pPr>
              <w:pStyle w:val="Tabletextprimarysource"/>
            </w:pPr>
            <w:r>
              <w:t>No report</w:t>
            </w:r>
            <w:r w:rsidR="00752952">
              <w:t>.</w:t>
            </w: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p w14:paraId="21C7ACE5" w14:textId="228D72E5" w:rsidR="007E2A4B" w:rsidRDefault="00752952">
      <w:r>
        <w:t>NIL</w:t>
      </w:r>
      <w:r w:rsidR="00304A27">
        <w:t>.</w:t>
      </w:r>
    </w:p>
    <w:bookmarkEnd w:id="0"/>
    <w:p w14:paraId="04408E2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28EBB70" w14:textId="77777777" w:rsidTr="00CB14E4">
        <w:trPr>
          <w:trHeight w:val="454"/>
          <w:tblHeader/>
        </w:trPr>
        <w:tc>
          <w:tcPr>
            <w:tcW w:w="6603" w:type="dxa"/>
            <w:vAlign w:val="center"/>
          </w:tcPr>
          <w:p w14:paraId="3B9A5A84"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2B8F4675" w14:textId="5EC39EE4" w:rsidR="002E0D61" w:rsidRDefault="00CB14E4" w:rsidP="00C3091E">
                <w:pPr>
                  <w:pStyle w:val="Tablefont"/>
                  <w:keepNext/>
                  <w:keepLines/>
                  <w:spacing w:before="40" w:after="40"/>
                </w:pPr>
                <w:r>
                  <w:t>No</w:t>
                </w:r>
              </w:p>
            </w:tc>
          </w:sdtContent>
        </w:sdt>
      </w:tr>
      <w:tr w:rsidR="008A36CF" w14:paraId="4D6DDFA3" w14:textId="77777777" w:rsidTr="00CB14E4">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1A7516AB" w14:textId="36D52510" w:rsidR="008A36CF" w:rsidRPr="006901A2" w:rsidRDefault="00CB14E4"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18F36B73" w14:textId="77777777" w:rsidR="008A36CF" w:rsidRDefault="008A36CF" w:rsidP="008A36CF">
            <w:pPr>
              <w:pStyle w:val="Tablefont"/>
              <w:keepNext/>
              <w:keepLines/>
              <w:spacing w:before="40" w:after="40"/>
            </w:pPr>
          </w:p>
        </w:tc>
      </w:tr>
    </w:tbl>
    <w:bookmarkEnd w:id="1"/>
    <w:p w14:paraId="3F27FA04"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4C23F4" w14:paraId="652E2B21" w14:textId="77777777" w:rsidTr="00F5023B">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0D0DCAEA" w14:textId="77777777" w:rsidR="00687890" w:rsidRPr="004C23F4" w:rsidRDefault="00687890" w:rsidP="00F4402E">
            <w:pPr>
              <w:pStyle w:val="Tableheader"/>
              <w:tabs>
                <w:tab w:val="right" w:pos="5272"/>
              </w:tabs>
            </w:pPr>
            <w:r w:rsidRPr="004C23F4">
              <w:t>Notations</w:t>
            </w:r>
            <w:r w:rsidR="003A2B94">
              <w:tab/>
            </w:r>
          </w:p>
        </w:tc>
      </w:tr>
      <w:tr w:rsidR="00687890" w:rsidRPr="004C23F4" w14:paraId="32D44898" w14:textId="77777777" w:rsidTr="00F5023B">
        <w:trPr>
          <w:cantSplit/>
        </w:trPr>
        <w:tc>
          <w:tcPr>
            <w:tcW w:w="3227" w:type="dxa"/>
          </w:tcPr>
          <w:p w14:paraId="37396CB4" w14:textId="77777777" w:rsidR="004079B4" w:rsidRPr="004C23F4" w:rsidRDefault="00084513" w:rsidP="00F4402E">
            <w:pPr>
              <w:pStyle w:val="Tablefont"/>
            </w:pPr>
            <w:r w:rsidRPr="004C23F4">
              <w:t>SWA</w:t>
            </w:r>
          </w:p>
        </w:tc>
        <w:tc>
          <w:tcPr>
            <w:tcW w:w="6015" w:type="dxa"/>
          </w:tcPr>
          <w:p w14:paraId="310BF575" w14:textId="1F53591B" w:rsidR="00687890" w:rsidRPr="00DD2F9B" w:rsidRDefault="007B0D59" w:rsidP="00DD2F9B">
            <w:pPr>
              <w:pStyle w:val="Tablefont"/>
            </w:pPr>
            <w:r w:rsidRPr="007B0D59">
              <w:t>—</w:t>
            </w:r>
          </w:p>
        </w:tc>
      </w:tr>
      <w:tr w:rsidR="007925F0" w:rsidRPr="004C23F4" w14:paraId="2A0C13EF" w14:textId="77777777" w:rsidTr="00F5023B">
        <w:trPr>
          <w:cantSplit/>
        </w:trPr>
        <w:tc>
          <w:tcPr>
            <w:tcW w:w="3227" w:type="dxa"/>
          </w:tcPr>
          <w:p w14:paraId="14F1C6D0" w14:textId="77777777" w:rsidR="004079B4" w:rsidRPr="004C23F4" w:rsidRDefault="007925F0" w:rsidP="00F4402E">
            <w:pPr>
              <w:pStyle w:val="Tablefont"/>
            </w:pPr>
            <w:r>
              <w:t>HCIS</w:t>
            </w:r>
          </w:p>
        </w:tc>
        <w:tc>
          <w:tcPr>
            <w:tcW w:w="6015" w:type="dxa"/>
          </w:tcPr>
          <w:p w14:paraId="1A64DA01" w14:textId="0F01164A" w:rsidR="007925F0" w:rsidRPr="00DD2F9B" w:rsidRDefault="007B0D59" w:rsidP="00DD2F9B">
            <w:pPr>
              <w:pStyle w:val="Tablefont"/>
            </w:pPr>
            <w:r w:rsidRPr="007B0D59">
              <w:t>—</w:t>
            </w:r>
          </w:p>
        </w:tc>
      </w:tr>
      <w:tr w:rsidR="00AF483F" w:rsidRPr="004C23F4" w14:paraId="4C1044B3" w14:textId="77777777" w:rsidTr="00F5023B">
        <w:trPr>
          <w:cantSplit/>
        </w:trPr>
        <w:tc>
          <w:tcPr>
            <w:tcW w:w="3227" w:type="dxa"/>
          </w:tcPr>
          <w:p w14:paraId="2C657AD0" w14:textId="77777777" w:rsidR="00AF483F" w:rsidRPr="004C23F4" w:rsidRDefault="00AF483F" w:rsidP="00F4402E">
            <w:pPr>
              <w:pStyle w:val="Tablefont"/>
            </w:pPr>
            <w:r>
              <w:t>NICNAS</w:t>
            </w:r>
          </w:p>
        </w:tc>
        <w:tc>
          <w:tcPr>
            <w:tcW w:w="6015" w:type="dxa"/>
          </w:tcPr>
          <w:p w14:paraId="4C253FE0" w14:textId="65BCAF75" w:rsidR="00AF483F" w:rsidRPr="00DD2F9B" w:rsidRDefault="007B0D59" w:rsidP="00DD2F9B">
            <w:pPr>
              <w:pStyle w:val="Tablefont"/>
            </w:pPr>
            <w:r>
              <w:t>NA</w:t>
            </w:r>
          </w:p>
        </w:tc>
      </w:tr>
      <w:tr w:rsidR="00687890" w:rsidRPr="004C23F4" w14:paraId="7812F0EC" w14:textId="77777777" w:rsidTr="00F5023B">
        <w:trPr>
          <w:cantSplit/>
        </w:trPr>
        <w:tc>
          <w:tcPr>
            <w:tcW w:w="3227" w:type="dxa"/>
          </w:tcPr>
          <w:p w14:paraId="27285614" w14:textId="77777777" w:rsidR="004079B4" w:rsidRPr="004C23F4" w:rsidRDefault="00687890" w:rsidP="00F4402E">
            <w:pPr>
              <w:pStyle w:val="Tablefont"/>
            </w:pPr>
            <w:r w:rsidRPr="004C23F4">
              <w:t>EU Annex</w:t>
            </w:r>
          </w:p>
        </w:tc>
        <w:tc>
          <w:tcPr>
            <w:tcW w:w="6015" w:type="dxa"/>
          </w:tcPr>
          <w:p w14:paraId="517B08F1" w14:textId="13813A30" w:rsidR="00687890" w:rsidRPr="00DD2F9B" w:rsidRDefault="007B0D59" w:rsidP="00DD2F9B">
            <w:pPr>
              <w:pStyle w:val="Tablefont"/>
            </w:pPr>
            <w:r>
              <w:t>NA</w:t>
            </w:r>
          </w:p>
        </w:tc>
      </w:tr>
      <w:tr w:rsidR="00E41A26" w:rsidRPr="004C23F4" w14:paraId="403F0800" w14:textId="77777777" w:rsidTr="00F5023B">
        <w:trPr>
          <w:cantSplit/>
        </w:trPr>
        <w:tc>
          <w:tcPr>
            <w:tcW w:w="3227" w:type="dxa"/>
          </w:tcPr>
          <w:p w14:paraId="09B172BE" w14:textId="77777777" w:rsidR="00E41A26" w:rsidRDefault="00E41A26" w:rsidP="00F4402E">
            <w:pPr>
              <w:pStyle w:val="Tablefont"/>
            </w:pPr>
            <w:r>
              <w:t>ECHA</w:t>
            </w:r>
          </w:p>
        </w:tc>
        <w:tc>
          <w:tcPr>
            <w:tcW w:w="6015" w:type="dxa"/>
          </w:tcPr>
          <w:p w14:paraId="778B90CD" w14:textId="23BD2554" w:rsidR="00E41A26" w:rsidRPr="00DD2F9B" w:rsidRDefault="007B0D59" w:rsidP="00DD2F9B">
            <w:pPr>
              <w:pStyle w:val="Tablefont"/>
            </w:pPr>
            <w:r w:rsidRPr="007B0D59">
              <w:t>—</w:t>
            </w:r>
          </w:p>
        </w:tc>
      </w:tr>
      <w:tr w:rsidR="002E0D61" w:rsidRPr="004C23F4" w14:paraId="57A490EF" w14:textId="77777777" w:rsidTr="00F5023B">
        <w:trPr>
          <w:cantSplit/>
        </w:trPr>
        <w:tc>
          <w:tcPr>
            <w:tcW w:w="3227" w:type="dxa"/>
          </w:tcPr>
          <w:p w14:paraId="4D22C7D5" w14:textId="77777777" w:rsidR="004079B4" w:rsidRPr="004C23F4" w:rsidRDefault="002E0D61" w:rsidP="00F4402E">
            <w:pPr>
              <w:pStyle w:val="Tablefont"/>
            </w:pPr>
            <w:r>
              <w:t>ACGIH</w:t>
            </w:r>
          </w:p>
        </w:tc>
        <w:tc>
          <w:tcPr>
            <w:tcW w:w="6015" w:type="dxa"/>
          </w:tcPr>
          <w:p w14:paraId="4A591C6E" w14:textId="095A26F6" w:rsidR="002E0D61" w:rsidRPr="00DD2F9B" w:rsidRDefault="00EF512A" w:rsidP="00DD2F9B">
            <w:pPr>
              <w:pStyle w:val="Tablefont"/>
            </w:pPr>
            <w:r w:rsidRPr="00EF512A">
              <w:t>Carcinogenicity – A4</w:t>
            </w:r>
          </w:p>
        </w:tc>
      </w:tr>
      <w:tr w:rsidR="002E0D61" w:rsidRPr="004C23F4" w14:paraId="43FA3590" w14:textId="77777777" w:rsidTr="00F5023B">
        <w:trPr>
          <w:cantSplit/>
        </w:trPr>
        <w:tc>
          <w:tcPr>
            <w:tcW w:w="3227" w:type="dxa"/>
          </w:tcPr>
          <w:p w14:paraId="5F590D05" w14:textId="77777777" w:rsidR="004079B4" w:rsidRPr="004C23F4" w:rsidRDefault="002E0D61" w:rsidP="00F4402E">
            <w:pPr>
              <w:pStyle w:val="Tablefont"/>
            </w:pPr>
            <w:r>
              <w:t>DFG</w:t>
            </w:r>
          </w:p>
        </w:tc>
        <w:tc>
          <w:tcPr>
            <w:tcW w:w="6015" w:type="dxa"/>
          </w:tcPr>
          <w:p w14:paraId="76555DBE" w14:textId="2EAF8099" w:rsidR="002E0D61" w:rsidRPr="00DD2F9B" w:rsidRDefault="00EF512A" w:rsidP="00DD2F9B">
            <w:pPr>
              <w:pStyle w:val="Tablefont"/>
            </w:pPr>
            <w:r>
              <w:t>NA</w:t>
            </w:r>
          </w:p>
        </w:tc>
      </w:tr>
      <w:tr w:rsidR="002E0D61" w:rsidRPr="004C23F4" w14:paraId="2AC7B866" w14:textId="77777777" w:rsidTr="00F5023B">
        <w:trPr>
          <w:cantSplit/>
        </w:trPr>
        <w:tc>
          <w:tcPr>
            <w:tcW w:w="3227" w:type="dxa"/>
          </w:tcPr>
          <w:p w14:paraId="70E5B2BF" w14:textId="77777777" w:rsidR="004079B4" w:rsidRPr="004C23F4" w:rsidRDefault="002E0D61" w:rsidP="00F4402E">
            <w:pPr>
              <w:pStyle w:val="Tablefont"/>
            </w:pPr>
            <w:r>
              <w:t>SCOEL</w:t>
            </w:r>
          </w:p>
        </w:tc>
        <w:tc>
          <w:tcPr>
            <w:tcW w:w="6015" w:type="dxa"/>
          </w:tcPr>
          <w:p w14:paraId="370736A2" w14:textId="17E971C5" w:rsidR="002E0D61" w:rsidRPr="00DD2F9B" w:rsidRDefault="00EF512A" w:rsidP="00DD2F9B">
            <w:pPr>
              <w:pStyle w:val="Tablefont"/>
            </w:pPr>
            <w:r>
              <w:t>NA</w:t>
            </w:r>
          </w:p>
        </w:tc>
      </w:tr>
      <w:tr w:rsidR="002E0D61" w:rsidRPr="004C23F4" w14:paraId="1BE6EC07" w14:textId="77777777" w:rsidTr="00F5023B">
        <w:trPr>
          <w:cantSplit/>
        </w:trPr>
        <w:tc>
          <w:tcPr>
            <w:tcW w:w="3227" w:type="dxa"/>
          </w:tcPr>
          <w:p w14:paraId="4AF9E8D6" w14:textId="77777777" w:rsidR="004079B4" w:rsidRDefault="002E0D61" w:rsidP="00F4402E">
            <w:pPr>
              <w:pStyle w:val="Tablefont"/>
            </w:pPr>
            <w:r>
              <w:t>HCOTN</w:t>
            </w:r>
          </w:p>
        </w:tc>
        <w:tc>
          <w:tcPr>
            <w:tcW w:w="6015" w:type="dxa"/>
          </w:tcPr>
          <w:p w14:paraId="70663407" w14:textId="1EAD3F06" w:rsidR="002E0D61" w:rsidRPr="00DD2F9B" w:rsidRDefault="00EF512A" w:rsidP="00DD2F9B">
            <w:pPr>
              <w:pStyle w:val="Tablefont"/>
            </w:pPr>
            <w:r>
              <w:t>NA</w:t>
            </w:r>
          </w:p>
        </w:tc>
      </w:tr>
      <w:tr w:rsidR="00386093" w:rsidRPr="004C23F4" w14:paraId="5F6A6A8E" w14:textId="77777777" w:rsidTr="00F5023B">
        <w:trPr>
          <w:cantSplit/>
        </w:trPr>
        <w:tc>
          <w:tcPr>
            <w:tcW w:w="3227" w:type="dxa"/>
          </w:tcPr>
          <w:p w14:paraId="04F98936" w14:textId="77777777" w:rsidR="004079B4" w:rsidRDefault="00386093" w:rsidP="00F4402E">
            <w:pPr>
              <w:pStyle w:val="Tablefont"/>
            </w:pPr>
            <w:r>
              <w:t>IARC</w:t>
            </w:r>
          </w:p>
        </w:tc>
        <w:tc>
          <w:tcPr>
            <w:tcW w:w="6015" w:type="dxa"/>
          </w:tcPr>
          <w:p w14:paraId="741186B9" w14:textId="7354F9FD" w:rsidR="00386093" w:rsidRPr="00DD2F9B" w:rsidRDefault="00EF512A" w:rsidP="00DD2F9B">
            <w:pPr>
              <w:pStyle w:val="Tablefont"/>
            </w:pPr>
            <w:r>
              <w:t>NA</w:t>
            </w:r>
          </w:p>
        </w:tc>
      </w:tr>
      <w:tr w:rsidR="00386093" w:rsidRPr="004C23F4" w14:paraId="7461DB0E" w14:textId="77777777" w:rsidTr="00F5023B">
        <w:trPr>
          <w:cantSplit/>
        </w:trPr>
        <w:tc>
          <w:tcPr>
            <w:tcW w:w="3227" w:type="dxa"/>
          </w:tcPr>
          <w:p w14:paraId="1086B376" w14:textId="77777777" w:rsidR="004079B4" w:rsidRDefault="00386093" w:rsidP="00F4402E">
            <w:pPr>
              <w:pStyle w:val="Tablefont"/>
              <w:keepNext/>
            </w:pPr>
            <w:r>
              <w:lastRenderedPageBreak/>
              <w:t>US NIOSH</w:t>
            </w:r>
          </w:p>
        </w:tc>
        <w:tc>
          <w:tcPr>
            <w:tcW w:w="6015" w:type="dxa"/>
          </w:tcPr>
          <w:p w14:paraId="1A9F8299" w14:textId="70605182" w:rsidR="00386093" w:rsidRPr="00DD2F9B" w:rsidRDefault="00EF512A" w:rsidP="00D87570">
            <w:pPr>
              <w:pStyle w:val="Tablefont"/>
              <w:keepNext/>
            </w:pPr>
            <w:r>
              <w:t>NA</w:t>
            </w:r>
          </w:p>
        </w:tc>
      </w:tr>
    </w:tbl>
    <w:bookmarkEnd w:id="2"/>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14802BA" w14:textId="77777777" w:rsidTr="00EA6243">
        <w:trPr>
          <w:cantSplit/>
          <w:tblHeader/>
        </w:trPr>
        <w:tc>
          <w:tcPr>
            <w:tcW w:w="5000" w:type="pct"/>
            <w:shd w:val="clear" w:color="auto" w:fill="BFBFBF" w:themeFill="background1" w:themeFillShade="BF"/>
            <w:vAlign w:val="center"/>
          </w:tcPr>
          <w:p w14:paraId="509CFAA2"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5B6A4B72" w14:textId="77777777" w:rsidTr="00EA6243">
        <w:trPr>
          <w:cantSplit/>
          <w:tblHeader/>
        </w:trPr>
        <w:tc>
          <w:tcPr>
            <w:tcW w:w="5000" w:type="pct"/>
            <w:vAlign w:val="center"/>
          </w:tcPr>
          <w:tbl>
            <w:tblPr>
              <w:tblW w:w="9165" w:type="dxa"/>
              <w:tblLook w:val="04A0" w:firstRow="1" w:lastRow="0" w:firstColumn="1" w:lastColumn="0" w:noHBand="0" w:noVBand="1"/>
            </w:tblPr>
            <w:tblGrid>
              <w:gridCol w:w="3660"/>
              <w:gridCol w:w="1084"/>
              <w:gridCol w:w="1084"/>
              <w:gridCol w:w="2982"/>
            </w:tblGrid>
            <w:tr w:rsidR="00CB14E4" w:rsidRPr="00CB14E4" w14:paraId="5CF8DDFE" w14:textId="77777777" w:rsidTr="00CB14E4">
              <w:trPr>
                <w:trHeight w:val="349"/>
              </w:trPr>
              <w:tc>
                <w:tcPr>
                  <w:tcW w:w="3813" w:type="dxa"/>
                  <w:tcBorders>
                    <w:top w:val="nil"/>
                    <w:left w:val="nil"/>
                    <w:bottom w:val="nil"/>
                    <w:right w:val="nil"/>
                  </w:tcBorders>
                  <w:shd w:val="clear" w:color="000000" w:fill="C5D9F1"/>
                  <w:noWrap/>
                  <w:vAlign w:val="center"/>
                  <w:hideMark/>
                </w:tcPr>
                <w:p w14:paraId="52C5E82A"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Adverse effects in human case study:</w:t>
                  </w:r>
                </w:p>
              </w:tc>
              <w:tc>
                <w:tcPr>
                  <w:tcW w:w="1123" w:type="dxa"/>
                  <w:tcBorders>
                    <w:top w:val="nil"/>
                    <w:left w:val="nil"/>
                    <w:bottom w:val="nil"/>
                    <w:right w:val="nil"/>
                  </w:tcBorders>
                  <w:shd w:val="clear" w:color="000000" w:fill="C5D9F1"/>
                  <w:noWrap/>
                  <w:vAlign w:val="center"/>
                  <w:hideMark/>
                </w:tcPr>
                <w:p w14:paraId="0D687C29"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no</w:t>
                  </w:r>
                </w:p>
              </w:tc>
              <w:tc>
                <w:tcPr>
                  <w:tcW w:w="1123" w:type="dxa"/>
                  <w:tcBorders>
                    <w:top w:val="nil"/>
                    <w:left w:val="nil"/>
                    <w:bottom w:val="nil"/>
                    <w:right w:val="nil"/>
                  </w:tcBorders>
                  <w:shd w:val="clear" w:color="000000" w:fill="C5D9F1"/>
                  <w:noWrap/>
                  <w:vAlign w:val="center"/>
                  <w:hideMark/>
                </w:tcPr>
                <w:p w14:paraId="7C6FEFC2"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6D4DCE86"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25D343B2" w14:textId="77777777" w:rsidTr="00CB14E4">
              <w:trPr>
                <w:trHeight w:val="349"/>
              </w:trPr>
              <w:tc>
                <w:tcPr>
                  <w:tcW w:w="3813" w:type="dxa"/>
                  <w:tcBorders>
                    <w:top w:val="nil"/>
                    <w:left w:val="nil"/>
                    <w:bottom w:val="nil"/>
                    <w:right w:val="nil"/>
                  </w:tcBorders>
                  <w:shd w:val="clear" w:color="000000" w:fill="C5D9F1"/>
                  <w:noWrap/>
                  <w:vAlign w:val="center"/>
                  <w:hideMark/>
                </w:tcPr>
                <w:p w14:paraId="52694817"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Dermal LD</w:t>
                  </w:r>
                  <w:r w:rsidRPr="00CB14E4">
                    <w:rPr>
                      <w:rFonts w:ascii="Segoe UI" w:eastAsia="Times New Roman" w:hAnsi="Segoe UI" w:cs="Segoe UI"/>
                      <w:color w:val="000000"/>
                      <w:sz w:val="18"/>
                      <w:szCs w:val="18"/>
                      <w:vertAlign w:val="subscript"/>
                      <w:lang w:eastAsia="en-AU"/>
                    </w:rPr>
                    <w:t>50</w:t>
                  </w:r>
                  <w:r w:rsidRPr="00CB14E4">
                    <w:rPr>
                      <w:rFonts w:ascii="Segoe UI" w:eastAsia="Times New Roman" w:hAnsi="Segoe UI" w:cs="Segoe UI"/>
                      <w:color w:val="000000"/>
                      <w:sz w:val="18"/>
                      <w:szCs w:val="18"/>
                      <w:lang w:eastAsia="en-AU"/>
                    </w:rPr>
                    <w:t xml:space="preserve"> ≤1000 mg/kg:</w:t>
                  </w:r>
                </w:p>
              </w:tc>
              <w:tc>
                <w:tcPr>
                  <w:tcW w:w="1123" w:type="dxa"/>
                  <w:tcBorders>
                    <w:top w:val="nil"/>
                    <w:left w:val="nil"/>
                    <w:bottom w:val="nil"/>
                    <w:right w:val="nil"/>
                  </w:tcBorders>
                  <w:shd w:val="clear" w:color="000000" w:fill="C5D9F1"/>
                  <w:noWrap/>
                  <w:vAlign w:val="center"/>
                  <w:hideMark/>
                </w:tcPr>
                <w:p w14:paraId="2BFF8CFF"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no</w:t>
                  </w:r>
                </w:p>
              </w:tc>
              <w:tc>
                <w:tcPr>
                  <w:tcW w:w="1123" w:type="dxa"/>
                  <w:tcBorders>
                    <w:top w:val="nil"/>
                    <w:left w:val="nil"/>
                    <w:bottom w:val="nil"/>
                    <w:right w:val="nil"/>
                  </w:tcBorders>
                  <w:shd w:val="clear" w:color="000000" w:fill="C5D9F1"/>
                  <w:noWrap/>
                  <w:vAlign w:val="center"/>
                  <w:hideMark/>
                </w:tcPr>
                <w:p w14:paraId="05D0E908"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3A889BF1"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173C26F4" w14:textId="77777777" w:rsidTr="00CB14E4">
              <w:trPr>
                <w:trHeight w:val="349"/>
              </w:trPr>
              <w:tc>
                <w:tcPr>
                  <w:tcW w:w="3813" w:type="dxa"/>
                  <w:tcBorders>
                    <w:top w:val="nil"/>
                    <w:left w:val="nil"/>
                    <w:bottom w:val="nil"/>
                    <w:right w:val="nil"/>
                  </w:tcBorders>
                  <w:shd w:val="clear" w:color="000000" w:fill="C5D9F1"/>
                  <w:noWrap/>
                  <w:vAlign w:val="center"/>
                  <w:hideMark/>
                </w:tcPr>
                <w:p w14:paraId="34D8C0A8"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Dermal repeat-dose NOAEL ≤200 mg/kg:</w:t>
                  </w:r>
                </w:p>
              </w:tc>
              <w:tc>
                <w:tcPr>
                  <w:tcW w:w="1123" w:type="dxa"/>
                  <w:tcBorders>
                    <w:top w:val="nil"/>
                    <w:left w:val="nil"/>
                    <w:bottom w:val="nil"/>
                    <w:right w:val="nil"/>
                  </w:tcBorders>
                  <w:shd w:val="clear" w:color="000000" w:fill="C5D9F1"/>
                  <w:noWrap/>
                  <w:vAlign w:val="center"/>
                  <w:hideMark/>
                </w:tcPr>
                <w:p w14:paraId="7A63C153"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5FFC7441"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7304B90D"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1A12144E" w14:textId="77777777" w:rsidTr="00CB14E4">
              <w:trPr>
                <w:trHeight w:val="349"/>
              </w:trPr>
              <w:tc>
                <w:tcPr>
                  <w:tcW w:w="3813" w:type="dxa"/>
                  <w:tcBorders>
                    <w:top w:val="nil"/>
                    <w:left w:val="nil"/>
                    <w:bottom w:val="nil"/>
                    <w:right w:val="nil"/>
                  </w:tcBorders>
                  <w:shd w:val="clear" w:color="000000" w:fill="C5D9F1"/>
                  <w:noWrap/>
                  <w:vAlign w:val="center"/>
                  <w:hideMark/>
                </w:tcPr>
                <w:p w14:paraId="79AF2299"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Dermal LD</w:t>
                  </w:r>
                  <w:r w:rsidRPr="00CB14E4">
                    <w:rPr>
                      <w:rFonts w:ascii="Segoe UI" w:eastAsia="Times New Roman" w:hAnsi="Segoe UI" w:cs="Segoe UI"/>
                      <w:color w:val="000000"/>
                      <w:sz w:val="18"/>
                      <w:szCs w:val="18"/>
                      <w:vertAlign w:val="subscript"/>
                      <w:lang w:eastAsia="en-AU"/>
                    </w:rPr>
                    <w:t>50</w:t>
                  </w:r>
                  <w:r w:rsidRPr="00CB14E4">
                    <w:rPr>
                      <w:rFonts w:ascii="Segoe UI" w:eastAsia="Times New Roman" w:hAnsi="Segoe UI" w:cs="Segoe UI"/>
                      <w:color w:val="000000"/>
                      <w:sz w:val="18"/>
                      <w:szCs w:val="18"/>
                      <w:lang w:eastAsia="en-AU"/>
                    </w:rPr>
                    <w:t>/Inhalation LD</w:t>
                  </w:r>
                  <w:r w:rsidRPr="00CB14E4">
                    <w:rPr>
                      <w:rFonts w:ascii="Segoe UI" w:eastAsia="Times New Roman" w:hAnsi="Segoe UI" w:cs="Segoe UI"/>
                      <w:color w:val="000000"/>
                      <w:sz w:val="18"/>
                      <w:szCs w:val="18"/>
                      <w:vertAlign w:val="subscript"/>
                      <w:lang w:eastAsia="en-AU"/>
                    </w:rPr>
                    <w:t>50</w:t>
                  </w:r>
                  <w:r w:rsidRPr="00CB14E4">
                    <w:rPr>
                      <w:rFonts w:ascii="Segoe UI" w:eastAsia="Times New Roman" w:hAnsi="Segoe UI" w:cs="Segoe UI"/>
                      <w:color w:val="000000"/>
                      <w:sz w:val="18"/>
                      <w:szCs w:val="18"/>
                      <w:lang w:eastAsia="en-AU"/>
                    </w:rPr>
                    <w:t xml:space="preserve"> &lt;10:</w:t>
                  </w:r>
                </w:p>
              </w:tc>
              <w:tc>
                <w:tcPr>
                  <w:tcW w:w="1123" w:type="dxa"/>
                  <w:tcBorders>
                    <w:top w:val="nil"/>
                    <w:left w:val="nil"/>
                    <w:bottom w:val="nil"/>
                    <w:right w:val="nil"/>
                  </w:tcBorders>
                  <w:shd w:val="clear" w:color="000000" w:fill="C5D9F1"/>
                  <w:noWrap/>
                  <w:vAlign w:val="center"/>
                  <w:hideMark/>
                </w:tcPr>
                <w:p w14:paraId="4ECF3E1E"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7F8EEC85"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2914B28A"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0EF59594" w14:textId="77777777" w:rsidTr="00CB14E4">
              <w:trPr>
                <w:trHeight w:val="349"/>
              </w:trPr>
              <w:tc>
                <w:tcPr>
                  <w:tcW w:w="3813" w:type="dxa"/>
                  <w:tcBorders>
                    <w:top w:val="nil"/>
                    <w:left w:val="nil"/>
                    <w:bottom w:val="nil"/>
                    <w:right w:val="nil"/>
                  </w:tcBorders>
                  <w:shd w:val="clear" w:color="000000" w:fill="C5D9F1"/>
                  <w:noWrap/>
                  <w:vAlign w:val="center"/>
                  <w:hideMark/>
                </w:tcPr>
                <w:p w14:paraId="42A1A258" w14:textId="77777777" w:rsidR="00CB14E4" w:rsidRPr="00CB14E4" w:rsidRDefault="00CB14E4" w:rsidP="00CB14E4">
                  <w:pPr>
                    <w:spacing w:after="0" w:line="240" w:lineRule="auto"/>
                    <w:jc w:val="right"/>
                    <w:rPr>
                      <w:rFonts w:ascii="Segoe UI" w:eastAsia="Times New Roman" w:hAnsi="Segoe UI" w:cs="Segoe UI"/>
                      <w:i/>
                      <w:iCs/>
                      <w:color w:val="000000"/>
                      <w:sz w:val="18"/>
                      <w:szCs w:val="18"/>
                      <w:lang w:eastAsia="en-AU"/>
                    </w:rPr>
                  </w:pPr>
                  <w:r w:rsidRPr="00CB14E4">
                    <w:rPr>
                      <w:rFonts w:ascii="Segoe UI" w:eastAsia="Times New Roman" w:hAnsi="Segoe UI" w:cs="Segoe UI"/>
                      <w:i/>
                      <w:iCs/>
                      <w:color w:val="000000"/>
                      <w:sz w:val="18"/>
                      <w:szCs w:val="18"/>
                      <w:lang w:eastAsia="en-AU"/>
                    </w:rPr>
                    <w:t>In vivo</w:t>
                  </w:r>
                  <w:r w:rsidRPr="00CB14E4">
                    <w:rPr>
                      <w:rFonts w:ascii="Segoe UI" w:eastAsia="Times New Roman" w:hAnsi="Segoe UI" w:cs="Segoe UI"/>
                      <w:color w:val="000000"/>
                      <w:sz w:val="18"/>
                      <w:szCs w:val="18"/>
                      <w:lang w:eastAsia="en-AU"/>
                    </w:rPr>
                    <w:t xml:space="preserve"> dermal absorption rate &gt;10%:</w:t>
                  </w:r>
                </w:p>
              </w:tc>
              <w:tc>
                <w:tcPr>
                  <w:tcW w:w="1123" w:type="dxa"/>
                  <w:tcBorders>
                    <w:top w:val="nil"/>
                    <w:left w:val="nil"/>
                    <w:bottom w:val="nil"/>
                    <w:right w:val="nil"/>
                  </w:tcBorders>
                  <w:shd w:val="clear" w:color="000000" w:fill="C5D9F1"/>
                  <w:noWrap/>
                  <w:vAlign w:val="center"/>
                  <w:hideMark/>
                </w:tcPr>
                <w:p w14:paraId="4DDDD1AD"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51C1AD2B"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0E1D23DD"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5AF37688" w14:textId="77777777" w:rsidTr="00CB14E4">
              <w:trPr>
                <w:trHeight w:val="349"/>
              </w:trPr>
              <w:tc>
                <w:tcPr>
                  <w:tcW w:w="3813" w:type="dxa"/>
                  <w:tcBorders>
                    <w:top w:val="nil"/>
                    <w:left w:val="nil"/>
                    <w:bottom w:val="nil"/>
                    <w:right w:val="nil"/>
                  </w:tcBorders>
                  <w:shd w:val="clear" w:color="000000" w:fill="C5D9F1"/>
                  <w:noWrap/>
                  <w:vAlign w:val="center"/>
                  <w:hideMark/>
                </w:tcPr>
                <w:p w14:paraId="7E77FC65"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Estimated dermal exposure at WES &gt;10%:</w:t>
                  </w:r>
                </w:p>
              </w:tc>
              <w:tc>
                <w:tcPr>
                  <w:tcW w:w="1123" w:type="dxa"/>
                  <w:tcBorders>
                    <w:top w:val="nil"/>
                    <w:left w:val="nil"/>
                    <w:bottom w:val="nil"/>
                    <w:right w:val="nil"/>
                  </w:tcBorders>
                  <w:shd w:val="clear" w:color="000000" w:fill="C5D9F1"/>
                  <w:noWrap/>
                  <w:vAlign w:val="center"/>
                  <w:hideMark/>
                </w:tcPr>
                <w:p w14:paraId="5C1AA048"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0483D216"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501F46FF" w14:textId="77777777" w:rsidR="00CB14E4" w:rsidRPr="00CB14E4" w:rsidRDefault="00CB14E4" w:rsidP="00CB14E4">
                  <w:pPr>
                    <w:spacing w:after="0" w:line="240" w:lineRule="auto"/>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r>
            <w:tr w:rsidR="00CB14E4" w:rsidRPr="00CB14E4" w14:paraId="583DEFF1" w14:textId="77777777" w:rsidTr="00CB14E4">
              <w:trPr>
                <w:trHeight w:val="349"/>
              </w:trPr>
              <w:tc>
                <w:tcPr>
                  <w:tcW w:w="3813" w:type="dxa"/>
                  <w:tcBorders>
                    <w:top w:val="nil"/>
                    <w:left w:val="nil"/>
                    <w:bottom w:val="nil"/>
                    <w:right w:val="nil"/>
                  </w:tcBorders>
                  <w:shd w:val="clear" w:color="000000" w:fill="C5D9F1"/>
                  <w:noWrap/>
                  <w:vAlign w:val="center"/>
                  <w:hideMark/>
                </w:tcPr>
                <w:p w14:paraId="49172DB3" w14:textId="77777777" w:rsidR="00CB14E4" w:rsidRPr="00CB14E4" w:rsidRDefault="00CB14E4" w:rsidP="00CB14E4">
                  <w:pPr>
                    <w:spacing w:after="0" w:line="240" w:lineRule="auto"/>
                    <w:jc w:val="right"/>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19411441" w14:textId="77777777" w:rsidR="00CB14E4" w:rsidRPr="00CB14E4" w:rsidRDefault="00CB14E4" w:rsidP="00CB14E4">
                  <w:pPr>
                    <w:spacing w:after="0" w:line="240" w:lineRule="auto"/>
                    <w:jc w:val="center"/>
                    <w:rPr>
                      <w:rFonts w:ascii="Segoe UI" w:eastAsia="Times New Roman" w:hAnsi="Segoe UI" w:cs="Segoe UI"/>
                      <w:color w:val="000000"/>
                      <w:sz w:val="18"/>
                      <w:szCs w:val="18"/>
                      <w:lang w:eastAsia="en-AU"/>
                    </w:rPr>
                  </w:pPr>
                  <w:r w:rsidRPr="00CB14E4">
                    <w:rPr>
                      <w:rFonts w:ascii="Segoe UI" w:eastAsia="Times New Roman" w:hAnsi="Segoe UI" w:cs="Segoe UI"/>
                      <w:color w:val="000000"/>
                      <w:sz w:val="18"/>
                      <w:szCs w:val="18"/>
                      <w:lang w:eastAsia="en-AU"/>
                    </w:rPr>
                    <w:t> </w:t>
                  </w:r>
                </w:p>
              </w:tc>
              <w:tc>
                <w:tcPr>
                  <w:tcW w:w="1123" w:type="dxa"/>
                  <w:tcBorders>
                    <w:top w:val="nil"/>
                    <w:left w:val="nil"/>
                    <w:bottom w:val="nil"/>
                    <w:right w:val="nil"/>
                  </w:tcBorders>
                  <w:shd w:val="clear" w:color="000000" w:fill="C5D9F1"/>
                  <w:noWrap/>
                  <w:vAlign w:val="center"/>
                  <w:hideMark/>
                </w:tcPr>
                <w:p w14:paraId="70B2CE7D" w14:textId="77777777" w:rsidR="00CB14E4" w:rsidRPr="00CB14E4" w:rsidRDefault="00CB14E4" w:rsidP="00CB14E4">
                  <w:pPr>
                    <w:spacing w:after="0" w:line="240" w:lineRule="auto"/>
                    <w:rPr>
                      <w:rFonts w:ascii="Segoe UI" w:eastAsia="Times New Roman" w:hAnsi="Segoe UI" w:cs="Segoe UI"/>
                      <w:color w:val="C5D9F1"/>
                      <w:sz w:val="18"/>
                      <w:szCs w:val="18"/>
                      <w:lang w:eastAsia="en-AU"/>
                    </w:rPr>
                  </w:pPr>
                  <w:r w:rsidRPr="00CB14E4">
                    <w:rPr>
                      <w:rFonts w:ascii="Segoe UI" w:eastAsia="Times New Roman" w:hAnsi="Segoe UI" w:cs="Segoe UI"/>
                      <w:color w:val="C5D9F1"/>
                      <w:sz w:val="18"/>
                      <w:szCs w:val="18"/>
                      <w:lang w:eastAsia="en-AU"/>
                    </w:rPr>
                    <w:t> </w:t>
                  </w:r>
                </w:p>
              </w:tc>
              <w:tc>
                <w:tcPr>
                  <w:tcW w:w="3106" w:type="dxa"/>
                  <w:tcBorders>
                    <w:top w:val="nil"/>
                    <w:left w:val="nil"/>
                    <w:bottom w:val="nil"/>
                    <w:right w:val="nil"/>
                  </w:tcBorders>
                  <w:shd w:val="clear" w:color="000000" w:fill="C5D9F1"/>
                  <w:noWrap/>
                  <w:vAlign w:val="center"/>
                  <w:hideMark/>
                </w:tcPr>
                <w:p w14:paraId="16A87930" w14:textId="77777777" w:rsidR="00CB14E4" w:rsidRPr="00CB14E4" w:rsidRDefault="00CB14E4" w:rsidP="00CB14E4">
                  <w:pPr>
                    <w:spacing w:after="0" w:line="240" w:lineRule="auto"/>
                    <w:rPr>
                      <w:rFonts w:ascii="Segoe UI" w:eastAsia="Times New Roman" w:hAnsi="Segoe UI" w:cs="Segoe UI"/>
                      <w:b/>
                      <w:bCs/>
                      <w:color w:val="000000"/>
                      <w:sz w:val="18"/>
                      <w:szCs w:val="18"/>
                      <w:lang w:eastAsia="en-AU"/>
                    </w:rPr>
                  </w:pPr>
                  <w:r w:rsidRPr="00CB14E4">
                    <w:rPr>
                      <w:rFonts w:ascii="Segoe UI" w:eastAsia="Times New Roman" w:hAnsi="Segoe UI" w:cs="Segoe UI"/>
                      <w:b/>
                      <w:bCs/>
                      <w:color w:val="000000"/>
                      <w:sz w:val="18"/>
                      <w:szCs w:val="18"/>
                      <w:lang w:eastAsia="en-AU"/>
                    </w:rPr>
                    <w:t>a skin notation is not warranted</w:t>
                  </w:r>
                </w:p>
              </w:tc>
            </w:tr>
          </w:tbl>
          <w:p w14:paraId="329D664C" w14:textId="77777777" w:rsidR="00932DCE" w:rsidRPr="004C23F4" w:rsidRDefault="00932DCE" w:rsidP="00F9496B">
            <w:pPr>
              <w:pStyle w:val="Tablefont"/>
            </w:pPr>
          </w:p>
        </w:tc>
      </w:tr>
    </w:tbl>
    <w:bookmarkEnd w:id="3"/>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1C42A814" w:rsidR="00EB3D1B" w:rsidRDefault="00EF512A" w:rsidP="00EB3D1B">
                <w:pPr>
                  <w:pStyle w:val="Tablefont"/>
                </w:pPr>
                <w:r>
                  <w:t>Yes</w:t>
                </w:r>
              </w:p>
            </w:tc>
          </w:sdtContent>
        </w:sdt>
      </w:tr>
    </w:tbl>
    <w:p w14:paraId="0956427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12540F5C" w:rsidR="001B79E5" w:rsidRDefault="00EF512A" w:rsidP="001B79E5">
                <w:pPr>
                  <w:pStyle w:val="Tablefont"/>
                </w:pPr>
                <w:r w:rsidRPr="00EF512A">
                  <w:t>321.54</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776B09FD" w:rsidR="00A31D99" w:rsidRDefault="00A0643F" w:rsidP="00A174CC">
            <w:pPr>
              <w:pStyle w:val="Tablefont"/>
            </w:pPr>
            <w:r>
              <w:t xml:space="preserve">1 ppm = </w:t>
            </w:r>
            <w:sdt>
              <w:sdtPr>
                <w:id w:val="-371151491"/>
                <w:placeholder>
                  <w:docPart w:val="A7231FB73EFF4B2B92EB3BD21C0CEA01"/>
                </w:placeholder>
              </w:sdtPr>
              <w:sdtEndPr/>
              <w:sdtContent>
                <w:r w:rsidR="00EF512A">
                  <w:t>13.1</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EF512A">
                  <w:t>0.076</w:t>
                </w:r>
              </w:sdtContent>
            </w:sdt>
            <w:r>
              <w:t xml:space="preserve"> 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54A54B21" w14:textId="3FE01460" w:rsidR="00687890" w:rsidRPr="004C23F4" w:rsidRDefault="00304A27" w:rsidP="00717D45">
                <w:pPr>
                  <w:pStyle w:val="Tablefont"/>
                </w:pPr>
                <w:r>
                  <w:sym w:font="Wingdings" w:char="F0FC"/>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4AC1F87"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41E49A12" w:rsidR="00E06F40" w:rsidRPr="00A006A0" w:rsidRDefault="00F5023B"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9D5EC8">
                  <w:rPr>
                    <w:rFonts w:ascii="MS Gothic" w:eastAsia="MS Gothic" w:hAnsi="MS Gothic" w:cs="MS Gothic" w:hint="eastAsia"/>
                  </w:rPr>
                  <w:sym w:font="Wingdings" w:char="F0FC"/>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4"/>
    <w:p w14:paraId="2632AEE5" w14:textId="77777777" w:rsidR="00F87D92" w:rsidRDefault="00F87D92" w:rsidP="00EF7F78">
      <w:pPr>
        <w:pStyle w:val="Heading2"/>
        <w:tabs>
          <w:tab w:val="right" w:pos="8505"/>
        </w:tabs>
      </w:pPr>
      <w:r>
        <w:t>References</w:t>
      </w:r>
      <w:r w:rsidR="00EF7F78">
        <w:tab/>
      </w:r>
    </w:p>
    <w:p w14:paraId="016C4875"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ECE88E0" w14:textId="77777777" w:rsidR="00304A27" w:rsidRPr="00351FE0" w:rsidRDefault="00304A27" w:rsidP="00304A27">
      <w:r>
        <w:t xml:space="preserve">European Chemicals Agency (ECHA) (2019) </w:t>
      </w:r>
      <w:r w:rsidRPr="00EF512A">
        <w:t>Ronnel</w:t>
      </w:r>
      <w:r>
        <w:t xml:space="preserve"> – REACH assessment.</w:t>
      </w:r>
    </w:p>
    <w:p w14:paraId="77EFB18B" w14:textId="4634DD13" w:rsidR="008E4F1F" w:rsidRDefault="008E4F1F" w:rsidP="008E4F1F">
      <w:pPr>
        <w:rPr>
          <w:b/>
        </w:rPr>
      </w:pPr>
      <w:r w:rsidRPr="00D86E03">
        <w:t>US National Institute for Occupational Safety and Health (NIOSH)</w:t>
      </w:r>
      <w:r>
        <w:t xml:space="preserve"> (</w:t>
      </w:r>
      <w:r w:rsidR="00EF512A" w:rsidRPr="00EF512A">
        <w:t>1994</w:t>
      </w:r>
      <w:r>
        <w:t xml:space="preserve">) Immediately dangerous to life or health concentrations – </w:t>
      </w:r>
      <w:r w:rsidR="00EF512A" w:rsidRPr="00EF512A">
        <w:t>Ronnel</w:t>
      </w:r>
      <w:r>
        <w:t>.</w:t>
      </w:r>
    </w:p>
    <w:p w14:paraId="417B0753" w14:textId="71024122"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1DBF7" w16cex:dateUtc="2020-03-22T04:43:00Z"/>
  <w16cex:commentExtensible w16cex:durableId="2221DCD3" w16cex:dateUtc="2020-03-22T04: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815C2" w14:textId="77777777" w:rsidR="00C12704" w:rsidRDefault="00C12704" w:rsidP="00F43AD5">
      <w:pPr>
        <w:spacing w:after="0" w:line="240" w:lineRule="auto"/>
      </w:pPr>
      <w:r>
        <w:separator/>
      </w:r>
    </w:p>
  </w:endnote>
  <w:endnote w:type="continuationSeparator" w:id="0">
    <w:p w14:paraId="1CB14F65" w14:textId="77777777" w:rsidR="00C12704" w:rsidRDefault="00C12704"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5182" w14:textId="77777777" w:rsidR="00F5023B" w:rsidRDefault="00F50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39026E62" w14:textId="50A500A2" w:rsidR="008A36CF" w:rsidRDefault="007B0D59" w:rsidP="0034744C">
        <w:pPr>
          <w:pStyle w:val="Footer"/>
          <w:rPr>
            <w:sz w:val="18"/>
            <w:szCs w:val="18"/>
          </w:rPr>
        </w:pPr>
        <w:r w:rsidRPr="007B0D59">
          <w:rPr>
            <w:b/>
            <w:sz w:val="18"/>
            <w:szCs w:val="18"/>
          </w:rPr>
          <w:t>Ronnel</w:t>
        </w:r>
        <w:r w:rsidR="008A36CF">
          <w:rPr>
            <w:b/>
            <w:sz w:val="18"/>
            <w:szCs w:val="18"/>
          </w:rPr>
          <w:t xml:space="preserve"> (</w:t>
        </w:r>
        <w:r w:rsidRPr="007B0D59">
          <w:rPr>
            <w:b/>
            <w:sz w:val="18"/>
            <w:szCs w:val="18"/>
          </w:rPr>
          <w:t>299-84-3</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w:t>
        </w:r>
        <w:r w:rsidR="00304A27">
          <w:rPr>
            <w:sz w:val="18"/>
            <w:szCs w:val="18"/>
          </w:rPr>
          <w:t>20</w:t>
        </w:r>
      </w:p>
      <w:p w14:paraId="2D517F5E" w14:textId="67948A4E"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FB4B3F">
          <w:rPr>
            <w:noProof/>
            <w:sz w:val="18"/>
            <w:szCs w:val="18"/>
          </w:rPr>
          <w:t>2</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9448" w14:textId="77777777" w:rsidR="00F5023B" w:rsidRDefault="00F5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980D" w14:textId="77777777" w:rsidR="00C12704" w:rsidRDefault="00C12704" w:rsidP="00F43AD5">
      <w:pPr>
        <w:spacing w:after="0" w:line="240" w:lineRule="auto"/>
      </w:pPr>
      <w:r>
        <w:separator/>
      </w:r>
    </w:p>
  </w:footnote>
  <w:footnote w:type="continuationSeparator" w:id="0">
    <w:p w14:paraId="50243554" w14:textId="77777777" w:rsidR="00C12704" w:rsidRDefault="00C12704"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E9C4" w14:textId="77777777" w:rsidR="00F5023B" w:rsidRDefault="00F50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792" w14:textId="7E1FA4F3" w:rsidR="008A36CF" w:rsidRPr="00F5023B" w:rsidRDefault="00F5023B" w:rsidP="00F5023B">
    <w:pPr>
      <w:pStyle w:val="Header"/>
      <w:jc w:val="right"/>
    </w:pPr>
    <w:r>
      <w:pict w14:anchorId="4B3E6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764580" o:spid="_x0000_s6145"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34F6B02D" wp14:editId="340D2BDE">
          <wp:extent cx="2943225" cy="600075"/>
          <wp:effectExtent l="0" t="0" r="9525"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5130" cy="5956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9CF4" w14:textId="77777777" w:rsidR="00F5023B" w:rsidRDefault="00F50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FB4" w14:textId="324A7368" w:rsidR="008A36CF" w:rsidRDefault="00F5023B" w:rsidP="00F5023B">
    <w:pPr>
      <w:pStyle w:val="Header"/>
      <w:jc w:val="right"/>
    </w:pPr>
    <w:bookmarkStart w:id="5" w:name="_GoBack"/>
    <w:r>
      <w:pict w14:anchorId="49E8A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End w:id="5"/>
    <w:r>
      <w:rPr>
        <w:noProof/>
        <w:lang w:eastAsia="en-AU"/>
      </w:rPr>
      <w:drawing>
        <wp:inline distT="0" distB="0" distL="0" distR="0" wp14:anchorId="7DDBFA7C" wp14:editId="61A6A9E1">
          <wp:extent cx="2943225" cy="600075"/>
          <wp:effectExtent l="0" t="0" r="9525"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5130" cy="595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C605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B50848"/>
    <w:multiLevelType w:val="hybridMultilevel"/>
    <w:tmpl w:val="F40044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0161A61"/>
    <w:multiLevelType w:val="hybridMultilevel"/>
    <w:tmpl w:val="587A98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16E21D6"/>
    <w:multiLevelType w:val="hybridMultilevel"/>
    <w:tmpl w:val="8968EF36"/>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 w:numId="13">
    <w:abstractNumId w:val="0"/>
  </w:num>
  <w:num w:numId="14">
    <w:abstractNumId w:val="0"/>
  </w:num>
  <w:num w:numId="15">
    <w:abstractNumId w:val="0"/>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11C3"/>
    <w:rsid w:val="00013A22"/>
    <w:rsid w:val="00014C3F"/>
    <w:rsid w:val="00017C82"/>
    <w:rsid w:val="00032B6B"/>
    <w:rsid w:val="00032B88"/>
    <w:rsid w:val="00037E52"/>
    <w:rsid w:val="00046DF5"/>
    <w:rsid w:val="00052060"/>
    <w:rsid w:val="0005574A"/>
    <w:rsid w:val="00055FE1"/>
    <w:rsid w:val="00056EC2"/>
    <w:rsid w:val="00060B48"/>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C4E93"/>
    <w:rsid w:val="000D0643"/>
    <w:rsid w:val="000D291C"/>
    <w:rsid w:val="000D6EBE"/>
    <w:rsid w:val="000E5A54"/>
    <w:rsid w:val="000E63D3"/>
    <w:rsid w:val="000E67CF"/>
    <w:rsid w:val="0010461E"/>
    <w:rsid w:val="00106FAA"/>
    <w:rsid w:val="00113443"/>
    <w:rsid w:val="001269A7"/>
    <w:rsid w:val="00131092"/>
    <w:rsid w:val="00140E6A"/>
    <w:rsid w:val="00146545"/>
    <w:rsid w:val="00146B75"/>
    <w:rsid w:val="0015266D"/>
    <w:rsid w:val="0015288A"/>
    <w:rsid w:val="00155999"/>
    <w:rsid w:val="00160F47"/>
    <w:rsid w:val="00177CA1"/>
    <w:rsid w:val="00183823"/>
    <w:rsid w:val="00183942"/>
    <w:rsid w:val="00190681"/>
    <w:rsid w:val="001915F6"/>
    <w:rsid w:val="00192890"/>
    <w:rsid w:val="001A009E"/>
    <w:rsid w:val="001A1287"/>
    <w:rsid w:val="001A3859"/>
    <w:rsid w:val="001A3C9D"/>
    <w:rsid w:val="001A43F8"/>
    <w:rsid w:val="001B79E5"/>
    <w:rsid w:val="001D56F0"/>
    <w:rsid w:val="001D663B"/>
    <w:rsid w:val="001D7B41"/>
    <w:rsid w:val="001E46DA"/>
    <w:rsid w:val="001E7D80"/>
    <w:rsid w:val="001F0CF0"/>
    <w:rsid w:val="001F4B6C"/>
    <w:rsid w:val="001F62CB"/>
    <w:rsid w:val="001F6ED0"/>
    <w:rsid w:val="001F72E6"/>
    <w:rsid w:val="001F73C5"/>
    <w:rsid w:val="0020285C"/>
    <w:rsid w:val="0020286C"/>
    <w:rsid w:val="002046A6"/>
    <w:rsid w:val="00204956"/>
    <w:rsid w:val="00213640"/>
    <w:rsid w:val="00221547"/>
    <w:rsid w:val="002216FC"/>
    <w:rsid w:val="00222533"/>
    <w:rsid w:val="00222F30"/>
    <w:rsid w:val="00224EE2"/>
    <w:rsid w:val="00227EC7"/>
    <w:rsid w:val="00230300"/>
    <w:rsid w:val="00233417"/>
    <w:rsid w:val="00244AD1"/>
    <w:rsid w:val="002463BC"/>
    <w:rsid w:val="002465CE"/>
    <w:rsid w:val="0025734A"/>
    <w:rsid w:val="00263255"/>
    <w:rsid w:val="00276494"/>
    <w:rsid w:val="00277B0C"/>
    <w:rsid w:val="002B1A2C"/>
    <w:rsid w:val="002C34F2"/>
    <w:rsid w:val="002C58FF"/>
    <w:rsid w:val="002C7AFE"/>
    <w:rsid w:val="002D05D2"/>
    <w:rsid w:val="002E0D61"/>
    <w:rsid w:val="002E4C7B"/>
    <w:rsid w:val="00304A27"/>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70DBF"/>
    <w:rsid w:val="00386093"/>
    <w:rsid w:val="003904A4"/>
    <w:rsid w:val="00391841"/>
    <w:rsid w:val="00391B6D"/>
    <w:rsid w:val="00394922"/>
    <w:rsid w:val="00396F8A"/>
    <w:rsid w:val="003A0E32"/>
    <w:rsid w:val="003A2B94"/>
    <w:rsid w:val="003B387D"/>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58B6"/>
    <w:rsid w:val="004D16A3"/>
    <w:rsid w:val="004D205B"/>
    <w:rsid w:val="004D4AA1"/>
    <w:rsid w:val="004D6D68"/>
    <w:rsid w:val="004E5EDD"/>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81055"/>
    <w:rsid w:val="00591E38"/>
    <w:rsid w:val="005A01D9"/>
    <w:rsid w:val="005A19C5"/>
    <w:rsid w:val="005A3034"/>
    <w:rsid w:val="005A462D"/>
    <w:rsid w:val="005A5870"/>
    <w:rsid w:val="005B253B"/>
    <w:rsid w:val="005B771D"/>
    <w:rsid w:val="005C5D16"/>
    <w:rsid w:val="005D3193"/>
    <w:rsid w:val="005D4A6E"/>
    <w:rsid w:val="005E6979"/>
    <w:rsid w:val="005E75CB"/>
    <w:rsid w:val="006013C1"/>
    <w:rsid w:val="0060669E"/>
    <w:rsid w:val="00610F2E"/>
    <w:rsid w:val="00611399"/>
    <w:rsid w:val="00615B02"/>
    <w:rsid w:val="00624C4E"/>
    <w:rsid w:val="00625200"/>
    <w:rsid w:val="006363A8"/>
    <w:rsid w:val="00636DB7"/>
    <w:rsid w:val="00650905"/>
    <w:rsid w:val="006532ED"/>
    <w:rsid w:val="006549F2"/>
    <w:rsid w:val="006567B7"/>
    <w:rsid w:val="00657BFB"/>
    <w:rsid w:val="0066333C"/>
    <w:rsid w:val="006639B4"/>
    <w:rsid w:val="006650FE"/>
    <w:rsid w:val="00666268"/>
    <w:rsid w:val="0067305D"/>
    <w:rsid w:val="00676F3E"/>
    <w:rsid w:val="00677D9B"/>
    <w:rsid w:val="006867F3"/>
    <w:rsid w:val="00687890"/>
    <w:rsid w:val="006901A2"/>
    <w:rsid w:val="00690368"/>
    <w:rsid w:val="0069079C"/>
    <w:rsid w:val="00690B53"/>
    <w:rsid w:val="00695B72"/>
    <w:rsid w:val="006A0D7A"/>
    <w:rsid w:val="006A6D88"/>
    <w:rsid w:val="006B160A"/>
    <w:rsid w:val="006B4E6C"/>
    <w:rsid w:val="006B50B6"/>
    <w:rsid w:val="006D79EA"/>
    <w:rsid w:val="006E5D05"/>
    <w:rsid w:val="00701053"/>
    <w:rsid w:val="00701507"/>
    <w:rsid w:val="00714021"/>
    <w:rsid w:val="00716A0F"/>
    <w:rsid w:val="00717D45"/>
    <w:rsid w:val="007208F7"/>
    <w:rsid w:val="007218AF"/>
    <w:rsid w:val="007365D1"/>
    <w:rsid w:val="00740E0E"/>
    <w:rsid w:val="00745C95"/>
    <w:rsid w:val="00750212"/>
    <w:rsid w:val="00752952"/>
    <w:rsid w:val="00753C1E"/>
    <w:rsid w:val="00754779"/>
    <w:rsid w:val="0075716D"/>
    <w:rsid w:val="00761883"/>
    <w:rsid w:val="00765F14"/>
    <w:rsid w:val="00770E31"/>
    <w:rsid w:val="007770F1"/>
    <w:rsid w:val="00783FB1"/>
    <w:rsid w:val="00783FBC"/>
    <w:rsid w:val="00785CDD"/>
    <w:rsid w:val="00791847"/>
    <w:rsid w:val="007925F0"/>
    <w:rsid w:val="007939B3"/>
    <w:rsid w:val="0079509C"/>
    <w:rsid w:val="00796708"/>
    <w:rsid w:val="007B0D59"/>
    <w:rsid w:val="007B1B42"/>
    <w:rsid w:val="007B1BB7"/>
    <w:rsid w:val="007C30EB"/>
    <w:rsid w:val="007E063C"/>
    <w:rsid w:val="007E2A4B"/>
    <w:rsid w:val="007E307D"/>
    <w:rsid w:val="007E6A4E"/>
    <w:rsid w:val="007E6C94"/>
    <w:rsid w:val="007F1005"/>
    <w:rsid w:val="007F25E0"/>
    <w:rsid w:val="007F5328"/>
    <w:rsid w:val="00804F5A"/>
    <w:rsid w:val="00807173"/>
    <w:rsid w:val="00810C6D"/>
    <w:rsid w:val="008121B6"/>
    <w:rsid w:val="00812887"/>
    <w:rsid w:val="00826F21"/>
    <w:rsid w:val="00834CC8"/>
    <w:rsid w:val="00835E00"/>
    <w:rsid w:val="00837113"/>
    <w:rsid w:val="008414E4"/>
    <w:rsid w:val="00843E21"/>
    <w:rsid w:val="0084508E"/>
    <w:rsid w:val="00857A8A"/>
    <w:rsid w:val="008630EE"/>
    <w:rsid w:val="00864D13"/>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4F1F"/>
    <w:rsid w:val="008E7B64"/>
    <w:rsid w:val="008F5DCD"/>
    <w:rsid w:val="008F6D37"/>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D5EC8"/>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E2745"/>
    <w:rsid w:val="00AE2F64"/>
    <w:rsid w:val="00AF42CB"/>
    <w:rsid w:val="00AF483F"/>
    <w:rsid w:val="00AF5E07"/>
    <w:rsid w:val="00AF5F06"/>
    <w:rsid w:val="00B00A25"/>
    <w:rsid w:val="00B1422A"/>
    <w:rsid w:val="00B1765C"/>
    <w:rsid w:val="00B213C4"/>
    <w:rsid w:val="00B40C60"/>
    <w:rsid w:val="00B4575E"/>
    <w:rsid w:val="00B479A9"/>
    <w:rsid w:val="00B52EDF"/>
    <w:rsid w:val="00B71188"/>
    <w:rsid w:val="00B76A41"/>
    <w:rsid w:val="00B87D4C"/>
    <w:rsid w:val="00B93646"/>
    <w:rsid w:val="00BA0B38"/>
    <w:rsid w:val="00BA1DBB"/>
    <w:rsid w:val="00BA4510"/>
    <w:rsid w:val="00BA529A"/>
    <w:rsid w:val="00BB612A"/>
    <w:rsid w:val="00BD499F"/>
    <w:rsid w:val="00BD56DE"/>
    <w:rsid w:val="00BF2406"/>
    <w:rsid w:val="00C06E43"/>
    <w:rsid w:val="00C12704"/>
    <w:rsid w:val="00C16315"/>
    <w:rsid w:val="00C3091E"/>
    <w:rsid w:val="00C40FF1"/>
    <w:rsid w:val="00C419E2"/>
    <w:rsid w:val="00C5020E"/>
    <w:rsid w:val="00C57452"/>
    <w:rsid w:val="00C61EDF"/>
    <w:rsid w:val="00C6239D"/>
    <w:rsid w:val="00C6594B"/>
    <w:rsid w:val="00C67FFB"/>
    <w:rsid w:val="00C7155E"/>
    <w:rsid w:val="00C71D1E"/>
    <w:rsid w:val="00C71D7D"/>
    <w:rsid w:val="00C74833"/>
    <w:rsid w:val="00C850A0"/>
    <w:rsid w:val="00C85A86"/>
    <w:rsid w:val="00C91E44"/>
    <w:rsid w:val="00C978F0"/>
    <w:rsid w:val="00CA58FE"/>
    <w:rsid w:val="00CB14E4"/>
    <w:rsid w:val="00CB1CB1"/>
    <w:rsid w:val="00CB6BC1"/>
    <w:rsid w:val="00CB6CB8"/>
    <w:rsid w:val="00CC1A68"/>
    <w:rsid w:val="00CC2123"/>
    <w:rsid w:val="00CD2BFD"/>
    <w:rsid w:val="00CE13B6"/>
    <w:rsid w:val="00CE5AD6"/>
    <w:rsid w:val="00CE617F"/>
    <w:rsid w:val="00CE78EF"/>
    <w:rsid w:val="00D048F7"/>
    <w:rsid w:val="00D0517E"/>
    <w:rsid w:val="00D140FC"/>
    <w:rsid w:val="00D21D8C"/>
    <w:rsid w:val="00D31357"/>
    <w:rsid w:val="00D33220"/>
    <w:rsid w:val="00D334D1"/>
    <w:rsid w:val="00D44C89"/>
    <w:rsid w:val="00D4615C"/>
    <w:rsid w:val="00D516CD"/>
    <w:rsid w:val="00D668E6"/>
    <w:rsid w:val="00D70670"/>
    <w:rsid w:val="00D74D80"/>
    <w:rsid w:val="00D76624"/>
    <w:rsid w:val="00D87570"/>
    <w:rsid w:val="00D91CB9"/>
    <w:rsid w:val="00D97989"/>
    <w:rsid w:val="00D97D8D"/>
    <w:rsid w:val="00DA352E"/>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0B57"/>
    <w:rsid w:val="00E92499"/>
    <w:rsid w:val="00E949AF"/>
    <w:rsid w:val="00E96077"/>
    <w:rsid w:val="00EA0A06"/>
    <w:rsid w:val="00EA6243"/>
    <w:rsid w:val="00EA74AB"/>
    <w:rsid w:val="00EB0D00"/>
    <w:rsid w:val="00EB3D1B"/>
    <w:rsid w:val="00ED1D89"/>
    <w:rsid w:val="00ED57DA"/>
    <w:rsid w:val="00ED66BC"/>
    <w:rsid w:val="00EF233A"/>
    <w:rsid w:val="00EF303E"/>
    <w:rsid w:val="00EF3A40"/>
    <w:rsid w:val="00EF512A"/>
    <w:rsid w:val="00EF7F78"/>
    <w:rsid w:val="00F01B08"/>
    <w:rsid w:val="00F01C4D"/>
    <w:rsid w:val="00F02443"/>
    <w:rsid w:val="00F053FA"/>
    <w:rsid w:val="00F10C97"/>
    <w:rsid w:val="00F11C71"/>
    <w:rsid w:val="00F16019"/>
    <w:rsid w:val="00F20E68"/>
    <w:rsid w:val="00F22093"/>
    <w:rsid w:val="00F236DF"/>
    <w:rsid w:val="00F43AD5"/>
    <w:rsid w:val="00F4402E"/>
    <w:rsid w:val="00F5023B"/>
    <w:rsid w:val="00F550D4"/>
    <w:rsid w:val="00F56DD0"/>
    <w:rsid w:val="00F6491C"/>
    <w:rsid w:val="00F67BBB"/>
    <w:rsid w:val="00F87D92"/>
    <w:rsid w:val="00F90AA7"/>
    <w:rsid w:val="00F92498"/>
    <w:rsid w:val="00F9496B"/>
    <w:rsid w:val="00F970C9"/>
    <w:rsid w:val="00FA06A8"/>
    <w:rsid w:val="00FA3DF5"/>
    <w:rsid w:val="00FA741F"/>
    <w:rsid w:val="00FB4B3F"/>
    <w:rsid w:val="00FB4E07"/>
    <w:rsid w:val="00FB755A"/>
    <w:rsid w:val="00FC60A2"/>
    <w:rsid w:val="00FD1871"/>
    <w:rsid w:val="00FD3110"/>
    <w:rsid w:val="00FF5C3D"/>
    <w:rsid w:val="00FF6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D603410"/>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8121B6"/>
    <w:pPr>
      <w:numPr>
        <w:numId w:val="1"/>
      </w:numPr>
      <w:contextualSpacing/>
    </w:pPr>
  </w:style>
  <w:style w:type="paragraph" w:styleId="Revision">
    <w:name w:val="Revision"/>
    <w:hidden/>
    <w:uiPriority w:val="99"/>
    <w:semiHidden/>
    <w:rsid w:val="00304A27"/>
    <w:pPr>
      <w:spacing w:after="0" w:line="240" w:lineRule="auto"/>
    </w:pPr>
  </w:style>
  <w:style w:type="character" w:styleId="CommentReference">
    <w:name w:val="annotation reference"/>
    <w:basedOn w:val="DefaultParagraphFont"/>
    <w:uiPriority w:val="99"/>
    <w:semiHidden/>
    <w:unhideWhenUsed/>
    <w:rsid w:val="00783FBC"/>
    <w:rPr>
      <w:sz w:val="16"/>
      <w:szCs w:val="16"/>
    </w:rPr>
  </w:style>
  <w:style w:type="paragraph" w:styleId="CommentText">
    <w:name w:val="annotation text"/>
    <w:basedOn w:val="Normal"/>
    <w:link w:val="CommentTextChar"/>
    <w:uiPriority w:val="99"/>
    <w:semiHidden/>
    <w:unhideWhenUsed/>
    <w:rsid w:val="00783FBC"/>
    <w:pPr>
      <w:spacing w:line="240" w:lineRule="auto"/>
    </w:pPr>
    <w:rPr>
      <w:szCs w:val="20"/>
    </w:rPr>
  </w:style>
  <w:style w:type="character" w:customStyle="1" w:styleId="CommentTextChar">
    <w:name w:val="Comment Text Char"/>
    <w:basedOn w:val="DefaultParagraphFont"/>
    <w:link w:val="CommentText"/>
    <w:uiPriority w:val="99"/>
    <w:semiHidden/>
    <w:rsid w:val="00783FBC"/>
    <w:rPr>
      <w:szCs w:val="20"/>
    </w:rPr>
  </w:style>
  <w:style w:type="paragraph" w:styleId="CommentSubject">
    <w:name w:val="annotation subject"/>
    <w:basedOn w:val="CommentText"/>
    <w:next w:val="CommentText"/>
    <w:link w:val="CommentSubjectChar"/>
    <w:uiPriority w:val="99"/>
    <w:semiHidden/>
    <w:unhideWhenUsed/>
    <w:rsid w:val="00783FBC"/>
    <w:rPr>
      <w:b/>
      <w:bCs/>
    </w:rPr>
  </w:style>
  <w:style w:type="character" w:customStyle="1" w:styleId="CommentSubjectChar">
    <w:name w:val="Comment Subject Char"/>
    <w:basedOn w:val="CommentTextChar"/>
    <w:link w:val="CommentSubject"/>
    <w:uiPriority w:val="99"/>
    <w:semiHidden/>
    <w:rsid w:val="00783FB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861">
      <w:bodyDiv w:val="1"/>
      <w:marLeft w:val="0"/>
      <w:marRight w:val="0"/>
      <w:marTop w:val="0"/>
      <w:marBottom w:val="0"/>
      <w:divBdr>
        <w:top w:val="none" w:sz="0" w:space="0" w:color="auto"/>
        <w:left w:val="none" w:sz="0" w:space="0" w:color="auto"/>
        <w:bottom w:val="none" w:sz="0" w:space="0" w:color="auto"/>
        <w:right w:val="none" w:sz="0" w:space="0" w:color="auto"/>
      </w:divBdr>
    </w:div>
    <w:div w:id="1454250981">
      <w:bodyDiv w:val="1"/>
      <w:marLeft w:val="0"/>
      <w:marRight w:val="0"/>
      <w:marTop w:val="0"/>
      <w:marBottom w:val="0"/>
      <w:divBdr>
        <w:top w:val="none" w:sz="0" w:space="0" w:color="auto"/>
        <w:left w:val="none" w:sz="0" w:space="0" w:color="auto"/>
        <w:bottom w:val="none" w:sz="0" w:space="0" w:color="auto"/>
        <w:right w:val="none" w:sz="0" w:space="0" w:color="auto"/>
      </w:divBdr>
    </w:div>
    <w:div w:id="16689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
      <w:docPartPr>
        <w:name w:val="6C68A0962A9D4416813DAE29AC0F2301"/>
        <w:category>
          <w:name w:val="General"/>
          <w:gallery w:val="placeholder"/>
        </w:category>
        <w:types>
          <w:type w:val="bbPlcHdr"/>
        </w:types>
        <w:behaviors>
          <w:behavior w:val="content"/>
        </w:behaviors>
        <w:guid w:val="{5DB78C95-5D24-4DB3-9ED9-213FAE516271}"/>
      </w:docPartPr>
      <w:docPartBody>
        <w:p w:rsidR="00034AFB" w:rsidRDefault="002273A8" w:rsidP="002273A8">
          <w:pPr>
            <w:pStyle w:val="6C68A0962A9D4416813DAE29AC0F2301"/>
          </w:pPr>
          <w:r>
            <w:rPr>
              <w:rStyle w:val="PlaceholderText"/>
            </w:rPr>
            <w:t>Y</w:t>
          </w:r>
          <w:r w:rsidRPr="003365A5">
            <w:rPr>
              <w:rStyle w:val="PlaceholderText"/>
            </w:rPr>
            <w:t>ear</w:t>
          </w:r>
        </w:p>
      </w:docPartBody>
    </w:docPart>
    <w:docPart>
      <w:docPartPr>
        <w:name w:val="1D6424C12C184620B4FB480236DEAF04"/>
        <w:category>
          <w:name w:val="General"/>
          <w:gallery w:val="placeholder"/>
        </w:category>
        <w:types>
          <w:type w:val="bbPlcHdr"/>
        </w:types>
        <w:behaviors>
          <w:behavior w:val="content"/>
        </w:behaviors>
        <w:guid w:val="{D4344579-1D66-4079-B782-5C36E67A5115}"/>
      </w:docPartPr>
      <w:docPartBody>
        <w:p w:rsidR="00034AFB" w:rsidRDefault="002273A8" w:rsidP="002273A8">
          <w:pPr>
            <w:pStyle w:val="1D6424C12C184620B4FB480236DEAF04"/>
          </w:pPr>
          <w:r>
            <w:rPr>
              <w:rStyle w:val="PlaceholderText"/>
            </w:rPr>
            <w:t>Y</w:t>
          </w:r>
          <w:r w:rsidRPr="003365A5">
            <w:rPr>
              <w:rStyle w:val="PlaceholderText"/>
            </w:rPr>
            <w:t>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034AFB"/>
    <w:rsid w:val="00110D93"/>
    <w:rsid w:val="002273A8"/>
    <w:rsid w:val="00347D16"/>
    <w:rsid w:val="003E0149"/>
    <w:rsid w:val="00755FBF"/>
    <w:rsid w:val="00CA72D3"/>
    <w:rsid w:val="00D21A9F"/>
    <w:rsid w:val="00F80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A8"/>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6C68A0962A9D4416813DAE29AC0F2301">
    <w:name w:val="6C68A0962A9D4416813DAE29AC0F2301"/>
    <w:rsid w:val="002273A8"/>
  </w:style>
  <w:style w:type="paragraph" w:customStyle="1" w:styleId="1D6424C12C184620B4FB480236DEAF04">
    <w:name w:val="1D6424C12C184620B4FB480236DEAF04"/>
    <w:rsid w:val="002273A8"/>
  </w:style>
  <w:style w:type="paragraph" w:customStyle="1" w:styleId="618F7C329E87459F97D0846604AF90AD">
    <w:name w:val="618F7C329E87459F97D0846604AF90AD"/>
    <w:rsid w:val="002273A8"/>
  </w:style>
  <w:style w:type="paragraph" w:customStyle="1" w:styleId="AF1F95C86F7C4671B29074AA58903B81">
    <w:name w:val="AF1F95C86F7C4671B29074AA58903B81"/>
    <w:rsid w:val="00227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www.w3.org/XML/1998/namespace"/>
    <ds:schemaRef ds:uri="http://schemas.openxmlformats.org/package/2006/metadata/core-properties"/>
    <ds:schemaRef ds:uri="http://purl.org/dc/terms/"/>
    <ds:schemaRef ds:uri="http://purl.org/dc/elements/1.1/"/>
    <ds:schemaRef ds:uri="bf54d604-3e62-4e70-ba33-9e9084b96a66"/>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EC7CABBE-4882-4DD6-B4C4-DD43571A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A09F-7453-4742-B146-9563B663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24</cp:revision>
  <cp:lastPrinted>2018-10-22T22:41:00Z</cp:lastPrinted>
  <dcterms:created xsi:type="dcterms:W3CDTF">2019-10-07T04:29:00Z</dcterms:created>
  <dcterms:modified xsi:type="dcterms:W3CDTF">2020-06-19T00:42:00Z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