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6C314237" w:rsidR="00BD499F" w:rsidRPr="004C23F4" w:rsidRDefault="005469E7" w:rsidP="00B40C60">
          <w:pPr>
            <w:pStyle w:val="Heading1"/>
            <w:jc w:val="center"/>
            <w:rPr>
              <w:rFonts w:ascii="Arial" w:hAnsi="Arial" w:cs="Arial"/>
            </w:rPr>
          </w:pPr>
          <w:r w:rsidRPr="005469E7">
            <w:rPr>
              <w:rFonts w:ascii="Arial" w:hAnsi="Arial" w:cs="Arial"/>
            </w:rPr>
            <w:t>Rotenone (commercial)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1"/>
        <w:gridCol w:w="5045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2D9251B9" w:rsidR="00F43AD5" w:rsidRPr="00717D45" w:rsidRDefault="005469E7" w:rsidP="00B76A41">
            <w:pPr>
              <w:pStyle w:val="Tablefont"/>
            </w:pPr>
            <w:r w:rsidRPr="005469E7">
              <w:t>83-79-4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66EFF65F" w:rsidR="00F43AD5" w:rsidRPr="00717D45" w:rsidRDefault="00366967" w:rsidP="00B76A41">
            <w:pPr>
              <w:pStyle w:val="Tablefont"/>
            </w:pPr>
            <w:r>
              <w:t>Cube ENT 133, 5-beta-rotenone</w:t>
            </w:r>
            <w:r w:rsidR="005469E7">
              <w:t>, 1,2,12a-trahydro-8,9-dimethoxy-2-(1-methylethynyl)-[</w:t>
            </w:r>
            <w:proofErr w:type="gramStart"/>
            <w:r w:rsidR="005469E7">
              <w:t>1]benzopyranol</w:t>
            </w:r>
            <w:proofErr w:type="gramEnd"/>
            <w:r w:rsidR="00FB4451">
              <w:t>-</w:t>
            </w:r>
            <w:r w:rsidR="005469E7">
              <w:t>[3,4-b]furo[2,3-h][1]benzopyran-6(6H)-one</w:t>
            </w:r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0A80B0FC" w:rsidR="00F43AD5" w:rsidRPr="00717D45" w:rsidRDefault="005469E7" w:rsidP="00B76A41">
            <w:pPr>
              <w:pStyle w:val="Tablefont"/>
            </w:pPr>
            <w:r>
              <w:t>C</w:t>
            </w:r>
            <w:r w:rsidRPr="005469E7">
              <w:rPr>
                <w:vertAlign w:val="subscript"/>
              </w:rPr>
              <w:t>23</w:t>
            </w:r>
            <w:r>
              <w:t>H</w:t>
            </w:r>
            <w:r w:rsidRPr="005469E7">
              <w:rPr>
                <w:vertAlign w:val="subscript"/>
              </w:rPr>
              <w:t>22</w:t>
            </w:r>
            <w:r>
              <w:t>O</w:t>
            </w:r>
            <w:r w:rsidRPr="005469E7">
              <w:rPr>
                <w:vertAlign w:val="subscript"/>
              </w:rPr>
              <w:t>6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2E1640D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F24FE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2D1179A0" w:rsidR="002C7AFE" w:rsidRPr="00AB440A" w:rsidRDefault="00AB440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3B5A8F41" w:rsidR="00037E52" w:rsidRPr="00EB3D1B" w:rsidRDefault="001B11C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02407C4C" w:rsidR="00037E52" w:rsidRPr="00EB3D1B" w:rsidRDefault="009A0ADC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2,</w:t>
            </w:r>
            <w:r w:rsidRPr="005469E7">
              <w:rPr>
                <w:b/>
              </w:rPr>
              <w:t>500 mg/m</w:t>
            </w:r>
            <w:r w:rsidRPr="005469E7">
              <w:rPr>
                <w:b/>
                <w:vertAlign w:val="superscript"/>
              </w:rPr>
              <w:t>3</w:t>
            </w:r>
            <w:r w:rsidRPr="005469E7">
              <w:rPr>
                <w:b/>
              </w:rPr>
              <w:tab/>
            </w:r>
          </w:p>
        </w:tc>
      </w:tr>
      <w:tr w:rsidR="00155999" w:rsidRPr="004C23F4" w14:paraId="27D0E012" w14:textId="77777777" w:rsidTr="00434136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437BE0EA" w:rsidR="00155999" w:rsidRPr="00EB3D1B" w:rsidRDefault="00155999" w:rsidP="00037E52">
            <w:pPr>
              <w:pStyle w:val="Tablefont"/>
              <w:rPr>
                <w:b/>
              </w:rPr>
            </w:pPr>
            <w:r w:rsidRPr="00AF4E74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AB440A" w:rsidRPr="00AF4E7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087DE8C8" w:rsidR="006639B4" w:rsidRDefault="00915688" w:rsidP="000C139A">
      <w:pPr>
        <w:rPr>
          <w:rFonts w:cs="Arial"/>
        </w:rPr>
      </w:pPr>
      <w:r w:rsidRPr="00915688">
        <w:rPr>
          <w:rFonts w:cs="Arial"/>
        </w:rPr>
        <w:t xml:space="preserve">A TWA of </w:t>
      </w:r>
      <w:r>
        <w:rPr>
          <w:rFonts w:cs="Arial"/>
        </w:rPr>
        <w:t>5</w:t>
      </w:r>
      <w:r w:rsidRPr="00915688">
        <w:rPr>
          <w:rFonts w:cs="Arial"/>
        </w:rPr>
        <w:t xml:space="preserve"> mg/m</w:t>
      </w:r>
      <w:r w:rsidRPr="00915688">
        <w:rPr>
          <w:rFonts w:cs="Arial"/>
          <w:vertAlign w:val="superscript"/>
        </w:rPr>
        <w:t>3</w:t>
      </w:r>
      <w:r w:rsidRPr="00915688">
        <w:rPr>
          <w:rFonts w:cs="Arial"/>
        </w:rPr>
        <w:t xml:space="preserve"> is </w:t>
      </w:r>
      <w:r>
        <w:rPr>
          <w:rFonts w:cs="Arial"/>
        </w:rPr>
        <w:t xml:space="preserve">recommended </w:t>
      </w:r>
      <w:r w:rsidRPr="00915688">
        <w:rPr>
          <w:rFonts w:cs="Arial"/>
        </w:rPr>
        <w:t xml:space="preserve">to protect for </w:t>
      </w:r>
      <w:r>
        <w:rPr>
          <w:rFonts w:cs="Arial"/>
        </w:rPr>
        <w:t xml:space="preserve">potential </w:t>
      </w:r>
      <w:r w:rsidR="00AB440A">
        <w:rPr>
          <w:rFonts w:cs="Arial"/>
        </w:rPr>
        <w:t>adverse systemic and developmental effects in exposed workers.</w:t>
      </w:r>
    </w:p>
    <w:p w14:paraId="61580092" w14:textId="1C55FB0B" w:rsidR="00AB440A" w:rsidRPr="004C23F4" w:rsidRDefault="00AB440A" w:rsidP="000C139A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84D108C" w14:textId="77777777" w:rsidR="009A7289" w:rsidRDefault="003F0E65" w:rsidP="006639B4">
      <w:pPr>
        <w:rPr>
          <w:rFonts w:cs="Arial"/>
        </w:rPr>
      </w:pPr>
      <w:r>
        <w:rPr>
          <w:rFonts w:cs="Arial"/>
        </w:rPr>
        <w:t xml:space="preserve">Rotenone is used as a pesticide. </w:t>
      </w:r>
    </w:p>
    <w:p w14:paraId="3AF6C047" w14:textId="3333A3DF" w:rsidR="006639B4" w:rsidRDefault="001F24FE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9A7289">
        <w:rPr>
          <w:rFonts w:cs="Arial"/>
        </w:rPr>
        <w:t xml:space="preserve">of exposure </w:t>
      </w:r>
      <w:r>
        <w:rPr>
          <w:rFonts w:cs="Arial"/>
        </w:rPr>
        <w:t xml:space="preserve">are </w:t>
      </w:r>
      <w:r w:rsidRPr="001F24FE">
        <w:rPr>
          <w:rFonts w:cs="Arial"/>
        </w:rPr>
        <w:t>irritation of the mucous membranes and skin, dermatitis, rhinitis</w:t>
      </w:r>
      <w:r>
        <w:rPr>
          <w:rFonts w:cs="Arial"/>
        </w:rPr>
        <w:t xml:space="preserve"> and transient loss of olfaction</w:t>
      </w:r>
      <w:r w:rsidR="009A7289">
        <w:rPr>
          <w:rFonts w:cs="Arial"/>
        </w:rPr>
        <w:t xml:space="preserve"> (smell). At</w:t>
      </w:r>
      <w:r>
        <w:rPr>
          <w:rFonts w:cs="Arial"/>
        </w:rPr>
        <w:t xml:space="preserve"> higher concentrations, </w:t>
      </w:r>
      <w:r w:rsidR="00915688">
        <w:rPr>
          <w:rFonts w:cs="Arial"/>
        </w:rPr>
        <w:t xml:space="preserve">liver damage, </w:t>
      </w:r>
      <w:r>
        <w:rPr>
          <w:rFonts w:cs="Arial"/>
        </w:rPr>
        <w:t>breathing difficulties,</w:t>
      </w:r>
      <w:r w:rsidR="00915688">
        <w:rPr>
          <w:rFonts w:cs="Arial"/>
        </w:rPr>
        <w:t xml:space="preserve"> tremors and coma </w:t>
      </w:r>
      <w:r>
        <w:rPr>
          <w:rFonts w:cs="Arial"/>
        </w:rPr>
        <w:t>may occur.</w:t>
      </w:r>
    </w:p>
    <w:p w14:paraId="26B6698F" w14:textId="44B14FA2" w:rsidR="001F24FE" w:rsidRDefault="00915688" w:rsidP="006639B4">
      <w:pPr>
        <w:rPr>
          <w:rFonts w:cs="Arial"/>
        </w:rPr>
      </w:pPr>
      <w:r>
        <w:rPr>
          <w:rFonts w:cs="Arial"/>
        </w:rPr>
        <w:t>There are no qu</w:t>
      </w:r>
      <w:r w:rsidR="001F24FE">
        <w:rPr>
          <w:rFonts w:cs="Arial"/>
        </w:rPr>
        <w:t xml:space="preserve">antitative human exposure data </w:t>
      </w:r>
      <w:r>
        <w:rPr>
          <w:rFonts w:cs="Arial"/>
        </w:rPr>
        <w:t>available</w:t>
      </w:r>
      <w:r w:rsidR="00D75986">
        <w:rPr>
          <w:rFonts w:cs="Arial"/>
        </w:rPr>
        <w:t>,</w:t>
      </w:r>
      <w:r w:rsidR="009A0ADC">
        <w:rPr>
          <w:rFonts w:cs="Arial"/>
        </w:rPr>
        <w:t xml:space="preserve"> a</w:t>
      </w:r>
      <w:r w:rsidR="001F24FE">
        <w:rPr>
          <w:rFonts w:cs="Arial"/>
        </w:rPr>
        <w:t xml:space="preserve"> threshold for irritation </w:t>
      </w:r>
      <w:r w:rsidR="009A7289">
        <w:rPr>
          <w:rFonts w:cs="Arial"/>
        </w:rPr>
        <w:t>is not reported in</w:t>
      </w:r>
      <w:r w:rsidR="001F24FE">
        <w:rPr>
          <w:rFonts w:cs="Arial"/>
        </w:rPr>
        <w:t xml:space="preserve"> the available exposure data. </w:t>
      </w:r>
      <w:r w:rsidR="001B475C">
        <w:rPr>
          <w:rFonts w:cs="Arial"/>
        </w:rPr>
        <w:t>In chronically exposed rats, a NOAEL of 0.2 mg/kg</w:t>
      </w:r>
      <w:r w:rsidR="00EC70C0">
        <w:rPr>
          <w:rFonts w:cs="Arial"/>
        </w:rPr>
        <w:t>/day</w:t>
      </w:r>
      <w:r w:rsidR="001B475C">
        <w:rPr>
          <w:rFonts w:cs="Arial"/>
        </w:rPr>
        <w:t xml:space="preserve"> for </w:t>
      </w:r>
      <w:r w:rsidR="008D543F">
        <w:rPr>
          <w:rFonts w:cs="Arial"/>
        </w:rPr>
        <w:t xml:space="preserve">(unspecified) </w:t>
      </w:r>
      <w:r w:rsidR="001B475C">
        <w:rPr>
          <w:rFonts w:cs="Arial"/>
        </w:rPr>
        <w:t xml:space="preserve">tissue damage is reported </w:t>
      </w:r>
      <w:r w:rsidR="009A0ADC">
        <w:rPr>
          <w:rFonts w:cs="Arial"/>
        </w:rPr>
        <w:t xml:space="preserve">(ACGIH, 2018) and </w:t>
      </w:r>
      <w:r w:rsidR="008955E1">
        <w:rPr>
          <w:rFonts w:cs="Arial"/>
        </w:rPr>
        <w:t xml:space="preserve">equivocal evidence for carcinogenicity </w:t>
      </w:r>
      <w:r w:rsidR="009A0ADC">
        <w:rPr>
          <w:rFonts w:cs="Arial"/>
        </w:rPr>
        <w:t>is</w:t>
      </w:r>
      <w:r w:rsidR="008955E1">
        <w:rPr>
          <w:rFonts w:cs="Arial"/>
        </w:rPr>
        <w:t xml:space="preserve"> reported above </w:t>
      </w:r>
      <w:r w:rsidR="009A0ADC">
        <w:rPr>
          <w:rFonts w:cs="Arial"/>
        </w:rPr>
        <w:t xml:space="preserve">a NOAEL of </w:t>
      </w:r>
      <w:r w:rsidR="001B475C">
        <w:rPr>
          <w:rFonts w:cs="Arial"/>
        </w:rPr>
        <w:t>1.7 mg/kg</w:t>
      </w:r>
      <w:r w:rsidR="00EC70C0">
        <w:rPr>
          <w:rFonts w:cs="Arial"/>
        </w:rPr>
        <w:t>/day</w:t>
      </w:r>
      <w:r w:rsidR="008955E1">
        <w:rPr>
          <w:rFonts w:cs="Arial"/>
        </w:rPr>
        <w:t xml:space="preserve"> </w:t>
      </w:r>
      <w:r w:rsidR="002B133B">
        <w:rPr>
          <w:rFonts w:cs="Arial"/>
        </w:rPr>
        <w:t>(ACGIH, 2018; DFG, 2003).</w:t>
      </w:r>
      <w:r w:rsidR="00AB440A">
        <w:rPr>
          <w:rFonts w:cs="Arial"/>
        </w:rPr>
        <w:t xml:space="preserve"> </w:t>
      </w:r>
      <w:r w:rsidR="00EC70C0">
        <w:rPr>
          <w:rFonts w:cs="Arial"/>
        </w:rPr>
        <w:t>A NOAEL of 0.38 mg/kg/d</w:t>
      </w:r>
      <w:r w:rsidR="00143B8B">
        <w:rPr>
          <w:rFonts w:cs="Arial"/>
        </w:rPr>
        <w:t>ay is</w:t>
      </w:r>
      <w:r w:rsidR="00EC70C0">
        <w:rPr>
          <w:rFonts w:cs="Arial"/>
        </w:rPr>
        <w:t xml:space="preserve"> reported in a d</w:t>
      </w:r>
      <w:r w:rsidR="00AB440A">
        <w:rPr>
          <w:rFonts w:cs="Arial"/>
        </w:rPr>
        <w:t xml:space="preserve">evelopmental multigenerational feeding study </w:t>
      </w:r>
      <w:r w:rsidR="009A7289">
        <w:rPr>
          <w:rFonts w:cs="Arial"/>
        </w:rPr>
        <w:t>in</w:t>
      </w:r>
      <w:r w:rsidR="00AB440A">
        <w:rPr>
          <w:rFonts w:cs="Arial"/>
        </w:rPr>
        <w:t xml:space="preserve"> rats (US EPA, 1988).</w:t>
      </w:r>
      <w:r w:rsidR="009A0ADC">
        <w:rPr>
          <w:rFonts w:cs="Arial"/>
        </w:rPr>
        <w:t xml:space="preserve"> An acute dermal dose of 100</w:t>
      </w:r>
      <w:r w:rsidR="00143B8B">
        <w:rPr>
          <w:rFonts w:cs="Arial"/>
        </w:rPr>
        <w:t xml:space="preserve"> to </w:t>
      </w:r>
      <w:r w:rsidR="009A0ADC">
        <w:rPr>
          <w:rFonts w:cs="Arial"/>
        </w:rPr>
        <w:t xml:space="preserve">200 mg/kg </w:t>
      </w:r>
      <w:r w:rsidR="009A7289">
        <w:rPr>
          <w:rFonts w:cs="Arial"/>
        </w:rPr>
        <w:t>i</w:t>
      </w:r>
      <w:r w:rsidR="009A0ADC">
        <w:rPr>
          <w:rFonts w:cs="Arial"/>
        </w:rPr>
        <w:t>s lethal to rabbits (DFG, 2003).</w:t>
      </w:r>
    </w:p>
    <w:p w14:paraId="094BC054" w14:textId="3CD15618" w:rsidR="001F24FE" w:rsidRPr="004C23F4" w:rsidRDefault="001B475C" w:rsidP="006639B4">
      <w:pPr>
        <w:rPr>
          <w:rFonts w:cs="Arial"/>
        </w:rPr>
      </w:pPr>
      <w:r>
        <w:rPr>
          <w:rFonts w:cs="Arial"/>
        </w:rPr>
        <w:t>A</w:t>
      </w:r>
      <w:r w:rsidR="008955E1">
        <w:rPr>
          <w:rFonts w:cs="Arial"/>
        </w:rPr>
        <w:t xml:space="preserve"> threshold for mucous membrane and skin irritation cannot be determined</w:t>
      </w:r>
      <w:r w:rsidRPr="001B475C">
        <w:rPr>
          <w:rFonts w:cs="Arial"/>
        </w:rPr>
        <w:t xml:space="preserve"> </w:t>
      </w:r>
      <w:r>
        <w:rPr>
          <w:rFonts w:cs="Arial"/>
        </w:rPr>
        <w:t>from the available toxicological data</w:t>
      </w:r>
      <w:r w:rsidR="008955E1">
        <w:rPr>
          <w:rFonts w:cs="Arial"/>
        </w:rPr>
        <w:t xml:space="preserve">. </w:t>
      </w:r>
      <w:r w:rsidR="00EC70C0">
        <w:rPr>
          <w:rFonts w:cs="Arial"/>
        </w:rPr>
        <w:t xml:space="preserve">The </w:t>
      </w:r>
      <w:r w:rsidR="008955E1">
        <w:rPr>
          <w:rFonts w:cs="Arial"/>
        </w:rPr>
        <w:t>TWA of 5 mg/m</w:t>
      </w:r>
      <w:r w:rsidR="008955E1">
        <w:rPr>
          <w:rFonts w:cs="Arial"/>
          <w:vertAlign w:val="superscript"/>
        </w:rPr>
        <w:t>3</w:t>
      </w:r>
      <w:r w:rsidR="008955E1">
        <w:rPr>
          <w:rFonts w:cs="Arial"/>
        </w:rPr>
        <w:t xml:space="preserve"> </w:t>
      </w:r>
      <w:r w:rsidR="00EC70C0">
        <w:rPr>
          <w:rFonts w:cs="Arial"/>
        </w:rPr>
        <w:t xml:space="preserve">by SWA and ACGIH (2018) </w:t>
      </w:r>
      <w:r w:rsidR="008955E1">
        <w:rPr>
          <w:rFonts w:cs="Arial"/>
        </w:rPr>
        <w:t xml:space="preserve">is </w:t>
      </w:r>
      <w:r w:rsidR="00EC70C0">
        <w:rPr>
          <w:rFonts w:cs="Arial"/>
        </w:rPr>
        <w:t>recommended</w:t>
      </w:r>
      <w:r w:rsidR="00B55CCA">
        <w:rPr>
          <w:rFonts w:cs="Arial"/>
        </w:rPr>
        <w:t xml:space="preserve"> to</w:t>
      </w:r>
      <w:r w:rsidR="00EC70C0">
        <w:rPr>
          <w:rFonts w:cs="Arial"/>
        </w:rPr>
        <w:t xml:space="preserve"> be r</w:t>
      </w:r>
      <w:r w:rsidR="008955E1">
        <w:rPr>
          <w:rFonts w:cs="Arial"/>
        </w:rPr>
        <w:t xml:space="preserve">etained in the interim </w:t>
      </w:r>
      <w:r w:rsidR="00915688">
        <w:rPr>
          <w:rFonts w:cs="Arial"/>
        </w:rPr>
        <w:t>based on a</w:t>
      </w:r>
      <w:r w:rsidR="00820D42">
        <w:rPr>
          <w:rFonts w:cs="Arial"/>
        </w:rPr>
        <w:t>n absence of complaints in the workplace at this concentration and a</w:t>
      </w:r>
      <w:r w:rsidR="00915688">
        <w:rPr>
          <w:rFonts w:cs="Arial"/>
        </w:rPr>
        <w:t xml:space="preserve"> NOAEL of 0.2 mg/kg</w:t>
      </w:r>
      <w:r w:rsidR="00EC70C0">
        <w:rPr>
          <w:rFonts w:cs="Arial"/>
        </w:rPr>
        <w:t>/day</w:t>
      </w:r>
      <w:r w:rsidR="00915688">
        <w:rPr>
          <w:rFonts w:cs="Arial"/>
        </w:rPr>
        <w:t xml:space="preserve"> for systemic effects</w:t>
      </w:r>
      <w:r>
        <w:rPr>
          <w:rFonts w:cs="Arial"/>
        </w:rPr>
        <w:t xml:space="preserve"> in rats</w:t>
      </w:r>
      <w:r w:rsidR="00AB440A">
        <w:rPr>
          <w:rFonts w:cs="Arial"/>
        </w:rPr>
        <w:t xml:space="preserve"> (ACGIH, 2018). This value is also expected to be protective of potential developmental toxicity observed in rats above 0.38 mg/kg</w:t>
      </w:r>
      <w:r w:rsidR="00EC70C0">
        <w:rPr>
          <w:rFonts w:cs="Arial"/>
        </w:rPr>
        <w:t>/day</w:t>
      </w:r>
      <w:r w:rsidR="00AB440A">
        <w:rPr>
          <w:rFonts w:cs="Arial"/>
        </w:rPr>
        <w:t xml:space="preserve"> (US EPA, 1988). </w:t>
      </w:r>
      <w:r w:rsidR="00915688">
        <w:rPr>
          <w:rFonts w:cs="Arial"/>
        </w:rPr>
        <w:t>However,</w:t>
      </w:r>
      <w:r w:rsidR="008955E1">
        <w:rPr>
          <w:rFonts w:cs="Arial"/>
        </w:rPr>
        <w:t xml:space="preserve"> </w:t>
      </w:r>
      <w:r w:rsidR="00915688">
        <w:rPr>
          <w:rFonts w:cs="Arial"/>
        </w:rPr>
        <w:lastRenderedPageBreak/>
        <w:t>further assessment</w:t>
      </w:r>
      <w:r w:rsidR="008955E1">
        <w:rPr>
          <w:rFonts w:cs="Arial"/>
        </w:rPr>
        <w:t xml:space="preserve"> of additional</w:t>
      </w:r>
      <w:r w:rsidR="00366967">
        <w:rPr>
          <w:rFonts w:cs="Arial"/>
        </w:rPr>
        <w:t xml:space="preserve"> s</w:t>
      </w:r>
      <w:r w:rsidR="008955E1">
        <w:rPr>
          <w:rFonts w:cs="Arial"/>
        </w:rPr>
        <w:t xml:space="preserve">ources, specifically regarding quantitative </w:t>
      </w:r>
      <w:r w:rsidR="00EB7843">
        <w:rPr>
          <w:rFonts w:cs="Arial"/>
        </w:rPr>
        <w:t>data on irritation effects</w:t>
      </w:r>
      <w:r w:rsidR="009A0ADC">
        <w:rPr>
          <w:rFonts w:cs="Arial"/>
        </w:rPr>
        <w:t xml:space="preserve"> and skin absorption</w:t>
      </w:r>
      <w:r w:rsidR="008955E1">
        <w:rPr>
          <w:rFonts w:cs="Arial"/>
        </w:rPr>
        <w:t xml:space="preserve">, </w:t>
      </w:r>
      <w:r w:rsidR="00915688">
        <w:rPr>
          <w:rFonts w:cs="Arial"/>
        </w:rPr>
        <w:t>is recommended during subsequent reviews.</w:t>
      </w:r>
      <w:r w:rsidR="008955E1">
        <w:rPr>
          <w:rFonts w:cs="Arial"/>
        </w:rPr>
        <w:t xml:space="preserve"> 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AB440A" w:rsidRDefault="008E4F1F" w:rsidP="008E4F1F">
      <w:pPr>
        <w:rPr>
          <w:rFonts w:cs="Arial"/>
        </w:rPr>
      </w:pPr>
      <w:r w:rsidRPr="00AB440A">
        <w:rPr>
          <w:rFonts w:cs="Arial"/>
        </w:rPr>
        <w:t>Not classified as a carcinogen according to the Globally Harmonized System of</w:t>
      </w:r>
      <w:r w:rsidR="00155999" w:rsidRPr="00AB440A">
        <w:rPr>
          <w:rFonts w:cs="Arial"/>
        </w:rPr>
        <w:t xml:space="preserve"> Classification and Labelling of</w:t>
      </w:r>
      <w:r w:rsidRPr="00AB440A">
        <w:rPr>
          <w:rFonts w:cs="Arial"/>
        </w:rPr>
        <w:t xml:space="preserve"> Chemicals (GHS). </w:t>
      </w:r>
    </w:p>
    <w:p w14:paraId="03916CCC" w14:textId="77777777" w:rsidR="008E4F1F" w:rsidRPr="00AB440A" w:rsidRDefault="008E4F1F" w:rsidP="008E4F1F">
      <w:pPr>
        <w:rPr>
          <w:rFonts w:cs="Arial"/>
        </w:rPr>
      </w:pPr>
      <w:r w:rsidRPr="00AB440A">
        <w:rPr>
          <w:rFonts w:cs="Arial"/>
        </w:rPr>
        <w:t xml:space="preserve">Not classified as a skin </w:t>
      </w:r>
      <w:r w:rsidR="00155999" w:rsidRPr="00AB440A">
        <w:rPr>
          <w:rFonts w:cs="Arial"/>
        </w:rPr>
        <w:t xml:space="preserve">sensitiser </w:t>
      </w:r>
      <w:r w:rsidRPr="00AB440A">
        <w:rPr>
          <w:rFonts w:cs="Arial"/>
        </w:rPr>
        <w:t>or respiratory sensitiser according to the GHS.</w:t>
      </w:r>
    </w:p>
    <w:p w14:paraId="4C1F8D43" w14:textId="7FE996F2" w:rsidR="005E6979" w:rsidRPr="00AB440A" w:rsidRDefault="00FC031D">
      <w:pPr>
        <w:rPr>
          <w:rFonts w:cs="Arial"/>
        </w:rPr>
        <w:sectPr w:rsidR="005E6979" w:rsidRPr="00AB440A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AB440A">
        <w:rPr>
          <w:rFonts w:cs="Arial"/>
        </w:rPr>
        <w:t>A skin notation is recommended due to evidence of dermal absorption and contribut</w:t>
      </w:r>
      <w:r w:rsidR="00AB440A" w:rsidRPr="00AB440A">
        <w:rPr>
          <w:rFonts w:cs="Arial"/>
        </w:rPr>
        <w:t>ion to adverse systemic effects.</w:t>
      </w: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236E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236EE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4A2EBE5C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469E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469E7">
                  <w:t>TWA: 5 mg/m</w:t>
                </w:r>
                <w:r w:rsidR="005469E7" w:rsidRPr="005469E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236EEA">
        <w:trPr>
          <w:gridAfter w:val="1"/>
          <w:wAfter w:w="8" w:type="pct"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236EE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33B2783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469E7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469E7">
                  <w:t>TLV-TWA: 5 mg/m</w:t>
                </w:r>
                <w:r w:rsidR="005469E7" w:rsidRPr="005469E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236EEA">
        <w:trPr>
          <w:gridAfter w:val="1"/>
          <w:wAfter w:w="8" w:type="pct"/>
        </w:trPr>
        <w:tc>
          <w:tcPr>
            <w:tcW w:w="4992" w:type="pct"/>
          </w:tcPr>
          <w:p w14:paraId="2E94705D" w14:textId="4B761455" w:rsidR="00937166" w:rsidRDefault="00270B54" w:rsidP="003365A5">
            <w:pPr>
              <w:pStyle w:val="Tabletextprimarysource"/>
            </w:pPr>
            <w:r>
              <w:t>TLV-TWA intended to protect for irritation of the mucous membranes and skin, dermatitis, rhinitis, transient loss of olfaction</w:t>
            </w:r>
            <w:r w:rsidR="00D75986">
              <w:t>. A</w:t>
            </w:r>
            <w:r>
              <w:t xml:space="preserve">t higher concentrations, vomiting, drowsiness, abdominal pain, muscle tremors, incoordination, depressed respiration and coma. </w:t>
            </w:r>
          </w:p>
          <w:p w14:paraId="23E0FE25" w14:textId="56DE70A6" w:rsidR="00C978F0" w:rsidRDefault="00270B54" w:rsidP="003365A5">
            <w:pPr>
              <w:pStyle w:val="Tabletextprimarysource"/>
            </w:pPr>
            <w:r>
              <w:t>Not classifiable as a human carcinogen (A4) based on negative or equivocal evidence for carcinogenicity in animals.</w:t>
            </w:r>
            <w:r w:rsidR="002B133B">
              <w:t xml:space="preserve"> TLV-TWA </w:t>
            </w:r>
            <w:r w:rsidR="00EB7843">
              <w:t>presumably</w:t>
            </w:r>
            <w:r w:rsidR="002B133B">
              <w:t xml:space="preserve"> based on recommendation of a cited arti</w:t>
            </w:r>
            <w:r w:rsidR="00EB7843">
              <w:t xml:space="preserve">cle that a daily dose of 7 mg/d </w:t>
            </w:r>
            <w:r w:rsidR="00EB7843">
              <w:rPr>
                <w:rFonts w:cs="Arial"/>
              </w:rPr>
              <w:t>≡</w:t>
            </w:r>
            <w:r w:rsidR="00EB7843">
              <w:t>5 mg/m</w:t>
            </w:r>
            <w:r w:rsidR="00EB7843">
              <w:rPr>
                <w:vertAlign w:val="superscript"/>
              </w:rPr>
              <w:t>3</w:t>
            </w:r>
            <w:r w:rsidR="00EB7843">
              <w:t xml:space="preserve"> </w:t>
            </w:r>
            <w:r w:rsidR="002B133B">
              <w:t xml:space="preserve">should not be exceeded in occupationally exposed workers based on systemic effects reported in </w:t>
            </w:r>
            <w:r w:rsidR="001B475C">
              <w:t>rats above 0.2 mg/kg/d</w:t>
            </w:r>
            <w:r w:rsidR="002B133B">
              <w:t>.</w:t>
            </w:r>
          </w:p>
          <w:p w14:paraId="71B4A9BB" w14:textId="4A4DBEC4" w:rsidR="00270B54" w:rsidRDefault="00270B54" w:rsidP="003365A5">
            <w:pPr>
              <w:pStyle w:val="Tabletextprimarysource"/>
            </w:pPr>
            <w:r>
              <w:t>Summary of information:</w:t>
            </w:r>
          </w:p>
          <w:p w14:paraId="1B715AC6" w14:textId="0BF6F013" w:rsidR="00270B54" w:rsidRPr="00072695" w:rsidRDefault="002610A6" w:rsidP="003365A5">
            <w:pPr>
              <w:pStyle w:val="Tabletextprimarysource"/>
            </w:pPr>
            <w:r>
              <w:t>N</w:t>
            </w:r>
            <w:r w:rsidR="00072695">
              <w:t>o adverse effects in exposed workers at 5 mg/m</w:t>
            </w:r>
            <w:r w:rsidR="00072695">
              <w:rPr>
                <w:vertAlign w:val="superscript"/>
              </w:rPr>
              <w:t>3</w:t>
            </w:r>
            <w:r>
              <w:t xml:space="preserve"> since TLV-TWA establishment in 1957. Exposure at TLV-TWA</w:t>
            </w:r>
            <w:r w:rsidR="00072695">
              <w:t xml:space="preserve"> is equivalent to an oral dose of 0.7 mg/kg/d and considered sufficiently low to be protective of systemic effects. A</w:t>
            </w:r>
            <w:r w:rsidR="00D75986">
              <w:t>CGIH</w:t>
            </w:r>
            <w:r w:rsidR="00072695">
              <w:t xml:space="preserve"> notes that a lower OEL, based on particle size, derivation is discussed.</w:t>
            </w:r>
            <w:r w:rsidR="002B133B">
              <w:t xml:space="preserve"> </w:t>
            </w:r>
          </w:p>
          <w:p w14:paraId="239C39BA" w14:textId="06418AAA" w:rsidR="00270B54" w:rsidRDefault="00270B54" w:rsidP="003365A5">
            <w:pPr>
              <w:pStyle w:val="Tabletextprimarysource"/>
            </w:pPr>
            <w:r>
              <w:t>Human data:</w:t>
            </w:r>
          </w:p>
          <w:p w14:paraId="2BFA6923" w14:textId="1665E148" w:rsidR="00270B54" w:rsidRDefault="009A63D8" w:rsidP="009A63D8">
            <w:pPr>
              <w:pStyle w:val="Tabletextprimarysource"/>
              <w:numPr>
                <w:ilvl w:val="0"/>
                <w:numId w:val="2"/>
              </w:numPr>
            </w:pPr>
            <w:r>
              <w:t>Estimated lethal dose from accidental poisoning 40 mg/kg</w:t>
            </w:r>
            <w:r w:rsidR="00D75986">
              <w:t>:</w:t>
            </w:r>
          </w:p>
          <w:p w14:paraId="65C345FC" w14:textId="1B64D1A9" w:rsidR="009A63D8" w:rsidRDefault="002C78BF" w:rsidP="000F7A0E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symptoms were drowsiness, vomiting, depressed respiration, apnoea and coma</w:t>
            </w:r>
          </w:p>
          <w:p w14:paraId="3EB8DA74" w14:textId="05CC022F" w:rsidR="002C78BF" w:rsidRDefault="002C78BF" w:rsidP="002C78BF">
            <w:pPr>
              <w:pStyle w:val="Tabletextprimarysource"/>
              <w:numPr>
                <w:ilvl w:val="0"/>
                <w:numId w:val="2"/>
              </w:numPr>
            </w:pPr>
            <w:r>
              <w:t>Dermatitis near genitals, ulcerative rhinitis with anosmia and skin and mucous membrane irritation reported in workers exposed to powder (no details on exposure provided)</w:t>
            </w:r>
            <w:r w:rsidR="00AF4E74">
              <w:t>.</w:t>
            </w:r>
          </w:p>
          <w:p w14:paraId="16077DAE" w14:textId="584122AF" w:rsidR="00270B54" w:rsidRDefault="00270B54" w:rsidP="003365A5">
            <w:pPr>
              <w:pStyle w:val="Tabletextprimarysource"/>
            </w:pPr>
            <w:r>
              <w:t>Animal data:</w:t>
            </w:r>
          </w:p>
          <w:p w14:paraId="4E219CB7" w14:textId="0D323DA6" w:rsidR="00937166" w:rsidRDefault="003F0E65" w:rsidP="003F0E65">
            <w:pPr>
              <w:pStyle w:val="Tabletextprimarysource"/>
              <w:numPr>
                <w:ilvl w:val="0"/>
                <w:numId w:val="1"/>
              </w:numPr>
            </w:pPr>
            <w:r>
              <w:t>Toxicity depends on particle size; suspensions less toxic than solutions</w:t>
            </w:r>
            <w:r w:rsidR="008507FC">
              <w:t>:</w:t>
            </w:r>
          </w:p>
          <w:p w14:paraId="0075CAE3" w14:textId="7E7C8AFB" w:rsidR="00270B54" w:rsidRDefault="009A63D8" w:rsidP="000F7A0E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mechanism of toxicity due to inhibition mitochondrial respiration at the site of interaction</w:t>
            </w:r>
          </w:p>
          <w:p w14:paraId="12EBB956" w14:textId="2662CB57" w:rsidR="003F0E65" w:rsidRDefault="003F0E65" w:rsidP="003F0E65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25–132 mg/kg (rats), 1,500 mg/kg (rabbits), 13–130 mg/kg (guinea pigs)</w:t>
            </w:r>
          </w:p>
          <w:p w14:paraId="02D2B868" w14:textId="058DAEC2" w:rsidR="00937166" w:rsidRDefault="003F0E65" w:rsidP="003F0E6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Fatty liver and kidney degeneration at 5 mg/kg/d in repeat feeding study (dogs, 1 </w:t>
            </w:r>
            <w:proofErr w:type="spellStart"/>
            <w:r>
              <w:t>mo</w:t>
            </w:r>
            <w:proofErr w:type="spellEnd"/>
            <w:r>
              <w:t>)</w:t>
            </w:r>
            <w:r w:rsidR="008507FC">
              <w:t>:</w:t>
            </w:r>
            <w:r>
              <w:t xml:space="preserve"> </w:t>
            </w:r>
          </w:p>
          <w:p w14:paraId="1F098333" w14:textId="49740438" w:rsidR="003F0E65" w:rsidRDefault="003F0E65" w:rsidP="000F7A0E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10 mg/kg/d lethal</w:t>
            </w:r>
          </w:p>
          <w:p w14:paraId="7AE72A90" w14:textId="0AECAB15" w:rsidR="00E9094E" w:rsidRDefault="00072695" w:rsidP="003F0E65">
            <w:pPr>
              <w:pStyle w:val="Tabletextprimarysource"/>
              <w:numPr>
                <w:ilvl w:val="0"/>
                <w:numId w:val="1"/>
              </w:numPr>
            </w:pPr>
            <w:r>
              <w:t>Bone marrow atrophy</w:t>
            </w:r>
            <w:r w:rsidR="00E9094E">
              <w:t>, reduced b</w:t>
            </w:r>
            <w:r w:rsidR="00F44579">
              <w:t>ody</w:t>
            </w:r>
            <w:r w:rsidR="00E9094E">
              <w:t>w</w:t>
            </w:r>
            <w:r w:rsidR="00F44579">
              <w:t>eight</w:t>
            </w:r>
            <w:r w:rsidR="00E9094E">
              <w:t xml:space="preserve"> </w:t>
            </w:r>
            <w:proofErr w:type="gramStart"/>
            <w:r w:rsidR="00E9094E">
              <w:t>gain</w:t>
            </w:r>
            <w:proofErr w:type="gramEnd"/>
            <w:r>
              <w:t xml:space="preserve"> and inflammatio</w:t>
            </w:r>
            <w:r w:rsidR="00E9094E">
              <w:t>n of the forestomach at 150/300 </w:t>
            </w:r>
            <w:r>
              <w:t xml:space="preserve">ppm of diet (female/male) in </w:t>
            </w:r>
            <w:proofErr w:type="spellStart"/>
            <w:r>
              <w:t>subchronic</w:t>
            </w:r>
            <w:proofErr w:type="spellEnd"/>
            <w:r>
              <w:t xml:space="preserve"> feeding study </w:t>
            </w:r>
            <w:r w:rsidR="00E9094E">
              <w:t xml:space="preserve">with exposure groups 0, </w:t>
            </w:r>
            <w:r w:rsidR="005C0CC6">
              <w:t>7</w:t>
            </w:r>
            <w:r w:rsidR="00E9094E">
              <w:t xml:space="preserve">5, 150, 300, 600, and 1,200 </w:t>
            </w:r>
            <w:r>
              <w:t xml:space="preserve">(rats, 13 </w:t>
            </w:r>
            <w:proofErr w:type="spellStart"/>
            <w:r>
              <w:t>wk</w:t>
            </w:r>
            <w:proofErr w:type="spellEnd"/>
            <w:r>
              <w:t>)</w:t>
            </w:r>
            <w:r w:rsidR="00E9094E">
              <w:t>; increased mortality at 600 ppm of diet</w:t>
            </w:r>
            <w:r w:rsidR="00D75986">
              <w:t>:</w:t>
            </w:r>
          </w:p>
          <w:p w14:paraId="07C9B592" w14:textId="21B2791C" w:rsidR="003F0E65" w:rsidRDefault="00E9094E" w:rsidP="000F7A0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similar study with exposure groups 0, 600, 1,900, 5,000, 16,000, and 50,000 ppm of diet (mice, 13 </w:t>
            </w:r>
            <w:proofErr w:type="spellStart"/>
            <w:r>
              <w:t>wk</w:t>
            </w:r>
            <w:proofErr w:type="spellEnd"/>
            <w:r>
              <w:t>); increased mortality at 16,000 ppm of diet</w:t>
            </w:r>
          </w:p>
          <w:p w14:paraId="13920DB9" w14:textId="74FC098D" w:rsidR="00937166" w:rsidRDefault="00A00BE2" w:rsidP="00E9094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NOAEL: 2 ppm of diet </w:t>
            </w:r>
            <w:r w:rsidR="00915688">
              <w:t xml:space="preserve">(0.2 mg/kg/d) </w:t>
            </w:r>
            <w:r>
              <w:t>for tissue damage (not specified) in chronic feeding study (rats, 2 </w:t>
            </w:r>
            <w:proofErr w:type="spellStart"/>
            <w:r>
              <w:t>yr</w:t>
            </w:r>
            <w:proofErr w:type="spellEnd"/>
            <w:r>
              <w:t>)</w:t>
            </w:r>
            <w:r w:rsidR="008507FC">
              <w:t>:</w:t>
            </w:r>
            <w:r>
              <w:t xml:space="preserve"> </w:t>
            </w:r>
          </w:p>
          <w:p w14:paraId="5ABC2C91" w14:textId="3D7D8632" w:rsidR="00E9094E" w:rsidRDefault="00A00BE2" w:rsidP="000F7A0E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LOAEL: 5 ppm of diet</w:t>
            </w:r>
            <w:r w:rsidR="00915688">
              <w:t xml:space="preserve"> (0.5 mg/kg/d)</w:t>
            </w:r>
            <w:r>
              <w:t>, cited article recommends daily occupational exposure should not exceed 7 mg/d</w:t>
            </w:r>
          </w:p>
          <w:p w14:paraId="360CA3E6" w14:textId="363B86EA" w:rsidR="00A00BE2" w:rsidRDefault="00A00BE2" w:rsidP="00E9094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Reduced </w:t>
            </w:r>
            <w:r w:rsidR="00801E72">
              <w:t xml:space="preserve">body weight </w:t>
            </w:r>
            <w:r>
              <w:t xml:space="preserve">gain at 2.5 ppm of drinking water in chronic feeding study (rats, 2 </w:t>
            </w:r>
            <w:proofErr w:type="spellStart"/>
            <w:r>
              <w:t>yr</w:t>
            </w:r>
            <w:proofErr w:type="spellEnd"/>
            <w:r>
              <w:t>)</w:t>
            </w:r>
          </w:p>
          <w:p w14:paraId="0DF2E5D9" w14:textId="2BAB832E" w:rsidR="00937166" w:rsidRDefault="00A00BE2" w:rsidP="00E9094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Equivocal evidence for carcinogenic activity (parathyroid adenomas) in males, but none in females, at 3.5 mg/kg/d in controlled lifetime feeding study (rats, 2 </w:t>
            </w:r>
            <w:proofErr w:type="spellStart"/>
            <w:r>
              <w:t>yr</w:t>
            </w:r>
            <w:proofErr w:type="spellEnd"/>
            <w:r>
              <w:t>)</w:t>
            </w:r>
            <w:r w:rsidR="008507FC">
              <w:t>:</w:t>
            </w:r>
            <w:r>
              <w:t xml:space="preserve"> </w:t>
            </w:r>
          </w:p>
          <w:p w14:paraId="31970131" w14:textId="631A95D5" w:rsidR="00A00BE2" w:rsidRDefault="00A00BE2" w:rsidP="000F7A0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 1.7 mg/kg/d</w:t>
            </w:r>
            <w:r w:rsidR="00D75986">
              <w:t>:</w:t>
            </w:r>
          </w:p>
          <w:p w14:paraId="6C79756A" w14:textId="59E645F0" w:rsidR="00A00BE2" w:rsidRDefault="00A00BE2" w:rsidP="000F7A0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 evidence for carcinogenic activity in parallel study at 115 and 250 mg/kg/d (mice, 2</w:t>
            </w:r>
            <w:r w:rsidR="00D75986">
              <w:t> </w:t>
            </w:r>
            <w:proofErr w:type="spellStart"/>
            <w:r>
              <w:t>yr</w:t>
            </w:r>
            <w:proofErr w:type="spellEnd"/>
            <w:r>
              <w:t>)</w:t>
            </w:r>
          </w:p>
          <w:p w14:paraId="7DB7456B" w14:textId="02D0AAFA" w:rsidR="00937166" w:rsidRDefault="00A00BE2" w:rsidP="00A00BE2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NOAEL: 2.5 mg/kg/d for foetal and maternal toxicity (reduced maternal </w:t>
            </w:r>
            <w:r w:rsidR="00801E72">
              <w:t xml:space="preserve">body weight      </w:t>
            </w:r>
            <w:r>
              <w:t xml:space="preserve">gain, foetal weight and ossification, and increased </w:t>
            </w:r>
            <w:r w:rsidR="00890441">
              <w:t>incidence</w:t>
            </w:r>
            <w:r>
              <w:t xml:space="preserve"> </w:t>
            </w:r>
            <w:r w:rsidR="00890441">
              <w:t>of extra ribs) in oral dose study (rats, GD 6–15)</w:t>
            </w:r>
            <w:r w:rsidR="008507FC">
              <w:t>:</w:t>
            </w:r>
            <w:r w:rsidR="00890441">
              <w:t xml:space="preserve"> </w:t>
            </w:r>
          </w:p>
          <w:p w14:paraId="484087A8" w14:textId="2F702E91" w:rsidR="00A00BE2" w:rsidRDefault="00890441" w:rsidP="000F7A0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LOAEL: 5 mg/kg/d, maternal mortality (60%) at 10 mg/kg/d</w:t>
            </w:r>
          </w:p>
          <w:p w14:paraId="59543783" w14:textId="55FDEA51" w:rsidR="009A63D8" w:rsidRDefault="00890441" w:rsidP="009A63D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Non-genotoxic </w:t>
            </w:r>
            <w:r>
              <w:rPr>
                <w:i/>
              </w:rPr>
              <w:t>in vitro</w:t>
            </w:r>
            <w:r>
              <w:t xml:space="preserve"> in bacteria and mammalian cell l</w:t>
            </w:r>
            <w:r w:rsidR="009A63D8">
              <w:t>ines; evidence for DNA damage in leukaemia cells likely due to ATP depletion and subsequent inhibition of DNA repair</w:t>
            </w:r>
            <w:r w:rsidR="00C45672">
              <w:t>.</w:t>
            </w:r>
          </w:p>
          <w:p w14:paraId="6612F834" w14:textId="77777777" w:rsidR="00D75986" w:rsidRDefault="00D75986" w:rsidP="003365A5">
            <w:pPr>
              <w:pStyle w:val="Tabletextprimarysource"/>
            </w:pPr>
          </w:p>
          <w:p w14:paraId="03C88E48" w14:textId="77777777" w:rsidR="00270B54" w:rsidRDefault="00270B54" w:rsidP="003365A5">
            <w:pPr>
              <w:pStyle w:val="Tabletextprimarysource"/>
            </w:pPr>
            <w:r>
              <w:t>Insufficient data to recommend a TLV-STEL, or notations for skin absorption, or sensitisation.</w:t>
            </w:r>
          </w:p>
          <w:p w14:paraId="0CE4D35D" w14:textId="518C05D5" w:rsidR="00D75986" w:rsidRPr="00DA352E" w:rsidRDefault="00D75986" w:rsidP="003365A5">
            <w:pPr>
              <w:pStyle w:val="Tabletextprimarysource"/>
            </w:pPr>
          </w:p>
        </w:tc>
      </w:tr>
      <w:tr w:rsidR="00C978F0" w:rsidRPr="00DA352E" w14:paraId="174F8B79" w14:textId="77777777" w:rsidTr="00236EE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219A9EA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C7FED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C7FED">
                  <w:t>Not assigned</w:t>
                </w:r>
              </w:sdtContent>
            </w:sdt>
          </w:p>
        </w:tc>
      </w:tr>
      <w:tr w:rsidR="00C978F0" w:rsidRPr="00DA352E" w14:paraId="4433014F" w14:textId="77777777" w:rsidTr="00236EEA">
        <w:trPr>
          <w:gridAfter w:val="1"/>
          <w:wAfter w:w="8" w:type="pct"/>
        </w:trPr>
        <w:tc>
          <w:tcPr>
            <w:tcW w:w="4992" w:type="pct"/>
          </w:tcPr>
          <w:p w14:paraId="65589A9B" w14:textId="77777777" w:rsidR="00C978F0" w:rsidRDefault="002C78BF" w:rsidP="003365A5">
            <w:pPr>
              <w:pStyle w:val="Tabletextprimarysource"/>
            </w:pPr>
            <w:r>
              <w:t>Summary of additional information:</w:t>
            </w:r>
          </w:p>
          <w:p w14:paraId="101BB405" w14:textId="3CD1BA9E" w:rsidR="002C78BF" w:rsidRDefault="002C78BF" w:rsidP="003365A5">
            <w:pPr>
              <w:pStyle w:val="Tabletextprimarysource"/>
            </w:pPr>
            <w:r>
              <w:t xml:space="preserve">Previous MAK </w:t>
            </w:r>
            <w:r w:rsidR="002610A6">
              <w:t>of 5 mg/m</w:t>
            </w:r>
            <w:r w:rsidR="002610A6">
              <w:rPr>
                <w:vertAlign w:val="superscript"/>
              </w:rPr>
              <w:t>3</w:t>
            </w:r>
            <w:r w:rsidR="002610A6">
              <w:t xml:space="preserve"> </w:t>
            </w:r>
            <w:r>
              <w:t>withdrawn due to insufficient data regarding irritation threshold</w:t>
            </w:r>
            <w:r w:rsidR="002A4346">
              <w:t xml:space="preserve"> in animals and humans</w:t>
            </w:r>
            <w:r>
              <w:t>; previous MAK based on systemic effects observed in animal feeding studies.</w:t>
            </w:r>
          </w:p>
          <w:p w14:paraId="088CF01D" w14:textId="77777777" w:rsidR="00943B33" w:rsidRDefault="00943B33" w:rsidP="003365A5">
            <w:pPr>
              <w:pStyle w:val="Tabletextprimarysource"/>
            </w:pPr>
            <w:r>
              <w:t>Not considered carcinogenic based on available chronic carcinogenicity studies with animals and negative mutagenicity.</w:t>
            </w:r>
          </w:p>
          <w:p w14:paraId="45E67B15" w14:textId="5DAD7752" w:rsidR="00943B33" w:rsidRDefault="00943B33" w:rsidP="003365A5">
            <w:pPr>
              <w:pStyle w:val="Tabletextprimarysource"/>
            </w:pPr>
            <w:r>
              <w:t xml:space="preserve">Skin notation warranted due to </w:t>
            </w:r>
            <w:r w:rsidR="00687BAB">
              <w:t>low</w:t>
            </w:r>
            <w:r>
              <w:t xml:space="preserve"> dermal LD</w:t>
            </w:r>
            <w:r>
              <w:rPr>
                <w:vertAlign w:val="subscript"/>
              </w:rPr>
              <w:t>50</w:t>
            </w:r>
            <w:r>
              <w:t xml:space="preserve"> in rabbits.</w:t>
            </w:r>
          </w:p>
          <w:p w14:paraId="7DBC52AD" w14:textId="46FE0F31" w:rsidR="00943B33" w:rsidRDefault="00943B33" w:rsidP="003365A5">
            <w:pPr>
              <w:pStyle w:val="Tabletextprimarysource"/>
            </w:pPr>
            <w:r>
              <w:t>Human data:</w:t>
            </w:r>
          </w:p>
          <w:p w14:paraId="1C3DAE08" w14:textId="0912F9A6" w:rsidR="00943B33" w:rsidRDefault="00943B33" w:rsidP="00943B33">
            <w:pPr>
              <w:pStyle w:val="Tabletextprimarysource"/>
              <w:numPr>
                <w:ilvl w:val="0"/>
                <w:numId w:val="1"/>
              </w:numPr>
            </w:pPr>
            <w:r>
              <w:t>Mild transient rash in 1 volunteer and mild stinging sensation in another when applied as powder (no further details) to armpits in volunteer study (n=4, 2 times/d, 30 d)</w:t>
            </w:r>
            <w:r w:rsidR="00C45672">
              <w:t>.</w:t>
            </w:r>
          </w:p>
          <w:p w14:paraId="1B999BE0" w14:textId="16D59EE6" w:rsidR="00943B33" w:rsidRDefault="00943B33" w:rsidP="003365A5">
            <w:pPr>
              <w:pStyle w:val="Tabletextprimarysource"/>
            </w:pPr>
            <w:r>
              <w:t>Animal data:</w:t>
            </w:r>
          </w:p>
          <w:p w14:paraId="6E20C3DE" w14:textId="786D3F31" w:rsidR="00687BAB" w:rsidRDefault="00687BAB" w:rsidP="005C0CC6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100–200 mg/kg (rabbits</w:t>
            </w:r>
            <w:r w:rsidR="00F44579">
              <w:t>, dermal</w:t>
            </w:r>
            <w:r>
              <w:t>)</w:t>
            </w:r>
          </w:p>
          <w:p w14:paraId="019A2463" w14:textId="71A4EC6D" w:rsidR="00937166" w:rsidRDefault="005C0CC6" w:rsidP="005C0CC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Delayed </w:t>
            </w:r>
            <w:r w:rsidR="00F37738">
              <w:t xml:space="preserve">body weight </w:t>
            </w:r>
            <w:r>
              <w:t xml:space="preserve">gain and increased relative liver weight at 30 mg/kg/d in </w:t>
            </w:r>
            <w:proofErr w:type="spellStart"/>
            <w:r>
              <w:t>subchronic</w:t>
            </w:r>
            <w:proofErr w:type="spellEnd"/>
            <w:r>
              <w:t xml:space="preserve"> feeding study with exposure group 7.5, 15, 30, 60, and 120 mg/kg/d (rats, 13 </w:t>
            </w:r>
            <w:proofErr w:type="spellStart"/>
            <w:r>
              <w:t>wk</w:t>
            </w:r>
            <w:proofErr w:type="spellEnd"/>
            <w:r>
              <w:t>, also cited by ACGIH, 2018)</w:t>
            </w:r>
            <w:r w:rsidR="008507FC">
              <w:t>:</w:t>
            </w:r>
            <w:r w:rsidR="00E36CFC">
              <w:t xml:space="preserve"> </w:t>
            </w:r>
          </w:p>
          <w:p w14:paraId="265038F5" w14:textId="5163ED79" w:rsidR="00943B33" w:rsidRDefault="00E36CFC" w:rsidP="000F7A0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 7.5 mg/kg/d</w:t>
            </w:r>
            <w:r w:rsidR="00D75986">
              <w:t>:</w:t>
            </w:r>
          </w:p>
          <w:p w14:paraId="5B3CD23E" w14:textId="7A60F294" w:rsidR="00E36CFC" w:rsidRDefault="00E36CFC" w:rsidP="000F7A0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no NOAEL determined </w:t>
            </w:r>
            <w:r w:rsidR="000F7A0E">
              <w:t>in</w:t>
            </w:r>
            <w:r>
              <w:t xml:space="preserve"> similar 13</w:t>
            </w:r>
            <w:r w:rsidR="000F7A0E">
              <w:t xml:space="preserve"> </w:t>
            </w:r>
            <w:proofErr w:type="spellStart"/>
            <w:r>
              <w:t>wk</w:t>
            </w:r>
            <w:proofErr w:type="spellEnd"/>
            <w:r>
              <w:t xml:space="preserve"> feeding study with mice (also cited by ACGIH, 2018), exposure groups 90, 285, 750, 2,400, 7,500 mg/kg/d; relative liver weights increased at 90 mg/kg/d, no pathological or clinical effects noted</w:t>
            </w:r>
            <w:r w:rsidR="000F7A0E">
              <w:t>)</w:t>
            </w:r>
          </w:p>
          <w:p w14:paraId="638FBFF7" w14:textId="7FFC2F82" w:rsidR="008955E1" w:rsidRDefault="008955E1" w:rsidP="008955E1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Equivocal evidence for carcinogenicity observed in chronically fed rats above a NOAEL of 1.7 mg/kg/d (rats, 2 </w:t>
            </w:r>
            <w:proofErr w:type="spellStart"/>
            <w:r>
              <w:t>yr</w:t>
            </w:r>
            <w:proofErr w:type="spellEnd"/>
            <w:r>
              <w:t>, also cited by ACGIH, 2018) considered non-significant with respect to historical incidences of parathyroid adenomas in controls</w:t>
            </w:r>
          </w:p>
          <w:p w14:paraId="2B02FEF2" w14:textId="5CF07638" w:rsidR="00E36CFC" w:rsidRDefault="00E36CFC" w:rsidP="00E36CFC">
            <w:pPr>
              <w:pStyle w:val="Tabletextprimarysource"/>
              <w:numPr>
                <w:ilvl w:val="0"/>
                <w:numId w:val="1"/>
              </w:numPr>
            </w:pPr>
            <w:r>
              <w:t>Slightly irritating to rabbit skin (no further details provided)</w:t>
            </w:r>
          </w:p>
          <w:p w14:paraId="0FF42434" w14:textId="2D94FD6A" w:rsidR="002610A6" w:rsidRDefault="002610A6" w:rsidP="00E36CF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Does not interact with DNA, not considered mutagenic based on negative results of available </w:t>
            </w:r>
            <w:r>
              <w:rPr>
                <w:i/>
              </w:rPr>
              <w:t>in vitro</w:t>
            </w:r>
            <w:r>
              <w:t xml:space="preserve"> studies with bacterial and mammalian cells</w:t>
            </w:r>
          </w:p>
          <w:p w14:paraId="0DA915D2" w14:textId="754F2776" w:rsidR="002610A6" w:rsidRDefault="00E36CFC" w:rsidP="002610A6">
            <w:pPr>
              <w:pStyle w:val="Tabletextprimarysource"/>
              <w:numPr>
                <w:ilvl w:val="0"/>
                <w:numId w:val="1"/>
              </w:numPr>
            </w:pPr>
            <w:r>
              <w:t>Maternal toxicity (no further details), but no spontaneous abortions or resorptions at 40 mg/kg/d in developmental feeding study with exposure groups 1, 10, 20, 40, 60, 80 </w:t>
            </w:r>
            <w:r w:rsidR="002610A6">
              <w:t>mg/kg/d (rats, GD 6–15)</w:t>
            </w:r>
            <w:r w:rsidR="00C45672">
              <w:t>.</w:t>
            </w:r>
          </w:p>
          <w:p w14:paraId="0BB3641E" w14:textId="77777777" w:rsidR="00D75986" w:rsidRDefault="00D75986" w:rsidP="003365A5">
            <w:pPr>
              <w:pStyle w:val="Tabletextprimarysource"/>
            </w:pPr>
          </w:p>
          <w:p w14:paraId="09F37F6C" w14:textId="77777777" w:rsidR="00943B33" w:rsidRDefault="00943B33" w:rsidP="003365A5">
            <w:pPr>
              <w:pStyle w:val="Tabletextprimarysource"/>
            </w:pPr>
            <w:r>
              <w:t>Insufficient data to recommend a sensitiser notation.</w:t>
            </w:r>
          </w:p>
          <w:p w14:paraId="61A64F09" w14:textId="0D54D170" w:rsidR="00D75986" w:rsidRPr="00943B33" w:rsidRDefault="00D75986" w:rsidP="003365A5">
            <w:pPr>
              <w:pStyle w:val="Tabletextprimarysource"/>
            </w:pPr>
          </w:p>
        </w:tc>
      </w:tr>
      <w:tr w:rsidR="00C978F0" w:rsidRPr="00DA352E" w14:paraId="0E6A0B2C" w14:textId="77777777" w:rsidTr="00236EE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2622459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C7FE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2C7FED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236EEA">
        <w:trPr>
          <w:gridAfter w:val="1"/>
          <w:wAfter w:w="8" w:type="pct"/>
        </w:trPr>
        <w:tc>
          <w:tcPr>
            <w:tcW w:w="4992" w:type="pct"/>
          </w:tcPr>
          <w:p w14:paraId="153B53C1" w14:textId="78A9D8B8" w:rsidR="00C978F0" w:rsidRPr="00DA352E" w:rsidRDefault="00F3256A" w:rsidP="003365A5">
            <w:pPr>
              <w:pStyle w:val="Tabletextprimarysource"/>
            </w:pPr>
            <w:r>
              <w:t>No report</w:t>
            </w:r>
            <w:r w:rsidR="00C45672">
              <w:t>.</w:t>
            </w:r>
          </w:p>
        </w:tc>
      </w:tr>
      <w:tr w:rsidR="00DA352E" w:rsidRPr="00DA352E" w14:paraId="12BAB90D" w14:textId="77777777" w:rsidTr="00236EE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1D76C0A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F62E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sdt>
                  <w:sdtPr>
                    <w:id w:val="-1971814017"/>
                    <w:placeholder>
                      <w:docPart w:val="CAB2285C97DA4ECBBC89FF61B7C9CBFC"/>
                    </w:placeholder>
                    <w:text/>
                  </w:sdtPr>
                  <w:sdtEndPr/>
                  <w:sdtContent>
                    <w:proofErr w:type="spellStart"/>
                    <w:r w:rsidR="001F62EF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33AAF4A6" w14:textId="77777777" w:rsidTr="00236EEA">
        <w:trPr>
          <w:gridAfter w:val="1"/>
          <w:wAfter w:w="8" w:type="pct"/>
        </w:trPr>
        <w:tc>
          <w:tcPr>
            <w:tcW w:w="4992" w:type="pct"/>
          </w:tcPr>
          <w:p w14:paraId="2059E4CB" w14:textId="26EBF89E" w:rsidR="00DA352E" w:rsidRPr="00DA352E" w:rsidRDefault="00F3256A" w:rsidP="003365A5">
            <w:pPr>
              <w:pStyle w:val="Tabletextprimarysource"/>
            </w:pPr>
            <w:r>
              <w:t>No report</w:t>
            </w:r>
            <w:r w:rsidR="00C45672">
              <w:t>.</w:t>
            </w:r>
          </w:p>
        </w:tc>
      </w:tr>
      <w:tr w:rsidR="00DA352E" w:rsidRPr="00DA352E" w14:paraId="605F758C" w14:textId="77777777" w:rsidTr="00236EE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2B0BD0F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F62E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id w:val="1266117063"/>
                    <w:placeholder>
                      <w:docPart w:val="D85F84B217844EEF971194D849FF60BE"/>
                    </w:placeholder>
                    <w:text/>
                  </w:sdtPr>
                  <w:sdtEndPr/>
                  <w:sdtContent>
                    <w:proofErr w:type="spellStart"/>
                    <w:r w:rsidR="001F62EF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7050CB3E" w14:textId="77777777" w:rsidTr="00236EEA">
        <w:trPr>
          <w:gridAfter w:val="1"/>
          <w:wAfter w:w="8" w:type="pct"/>
        </w:trPr>
        <w:tc>
          <w:tcPr>
            <w:tcW w:w="4992" w:type="pct"/>
          </w:tcPr>
          <w:p w14:paraId="492D7791" w14:textId="45AD7CEC" w:rsidR="00DA352E" w:rsidRPr="00DA352E" w:rsidRDefault="001F62EF" w:rsidP="003365A5">
            <w:pPr>
              <w:pStyle w:val="Tabletextprimarysource"/>
            </w:pPr>
            <w:r>
              <w:t>No report</w:t>
            </w:r>
            <w:r w:rsidR="00C45672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8"/>
        <w:gridCol w:w="421"/>
        <w:gridCol w:w="661"/>
        <w:gridCol w:w="6456"/>
      </w:tblGrid>
      <w:tr w:rsidR="004966BF" w:rsidRPr="00263255" w14:paraId="6AE89AB3" w14:textId="77777777" w:rsidTr="00236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6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236EEA">
        <w:trPr>
          <w:cantSplit/>
        </w:trPr>
        <w:tc>
          <w:tcPr>
            <w:tcW w:w="1488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1" w:type="dxa"/>
          </w:tcPr>
          <w:p w14:paraId="37DAB09E" w14:textId="70E2EE54" w:rsidR="004966BF" w:rsidRPr="00CE617F" w:rsidRDefault="00236EEA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87BAB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5BB66CBF" w14:textId="169A07F2" w:rsidR="004966BF" w:rsidRPr="004C23F4" w:rsidRDefault="00687BA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56" w:type="dxa"/>
          </w:tcPr>
          <w:p w14:paraId="0076C2F1" w14:textId="33F1D26F" w:rsidR="004966BF" w:rsidRPr="004C23F4" w:rsidRDefault="00687BAB" w:rsidP="000F7A0E">
            <w:pPr>
              <w:pStyle w:val="Tablefont"/>
              <w:numPr>
                <w:ilvl w:val="0"/>
                <w:numId w:val="4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Tier I: agricultural and therapeutic use not assessed</w:t>
            </w:r>
            <w:r w:rsidR="00D75986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5B6AED63" w14:textId="77777777" w:rsidTr="00236EEA">
        <w:trPr>
          <w:cantSplit/>
        </w:trPr>
        <w:tc>
          <w:tcPr>
            <w:tcW w:w="1488" w:type="dxa"/>
          </w:tcPr>
          <w:p w14:paraId="01321F42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1" w:type="dxa"/>
          </w:tcPr>
          <w:p w14:paraId="7AE5C94A" w14:textId="73BA2599" w:rsidR="004966BF" w:rsidRPr="00CE617F" w:rsidRDefault="00236EEA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610A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C68236E" w14:textId="325D58D9" w:rsidR="004966BF" w:rsidRPr="004C23F4" w:rsidRDefault="002610A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1988</w:t>
            </w:r>
          </w:p>
        </w:tc>
        <w:tc>
          <w:tcPr>
            <w:tcW w:w="6456" w:type="dxa"/>
          </w:tcPr>
          <w:p w14:paraId="4680F410" w14:textId="08F8AA61" w:rsidR="004966BF" w:rsidRDefault="00687BAB" w:rsidP="000F7A0E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Reduced </w:t>
            </w:r>
            <w:r w:rsidR="002610A6">
              <w:rPr>
                <w:rStyle w:val="checkbox"/>
                <w:rFonts w:ascii="Arial" w:hAnsi="Arial" w:cs="Arial"/>
              </w:rPr>
              <w:t xml:space="preserve">offspring weight at 1.88 mg/kg/d and reduced </w:t>
            </w:r>
            <w:r>
              <w:rPr>
                <w:rStyle w:val="checkbox"/>
                <w:rFonts w:ascii="Arial" w:hAnsi="Arial" w:cs="Arial"/>
              </w:rPr>
              <w:t xml:space="preserve">litter sizes at 3.8 mg/kg/d </w:t>
            </w:r>
            <w:r w:rsidR="002610A6">
              <w:rPr>
                <w:rStyle w:val="checkbox"/>
                <w:rFonts w:ascii="Arial" w:hAnsi="Arial" w:cs="Arial"/>
              </w:rPr>
              <w:t>in 2</w:t>
            </w:r>
            <w:r w:rsidR="000F7A0E">
              <w:rPr>
                <w:rStyle w:val="checkbox"/>
                <w:rFonts w:ascii="Arial" w:hAnsi="Arial" w:cs="Arial"/>
              </w:rPr>
              <w:t xml:space="preserve"> </w:t>
            </w:r>
            <w:r w:rsidR="002610A6" w:rsidRPr="00EC70C0">
              <w:rPr>
                <w:rStyle w:val="checkbox"/>
                <w:rFonts w:ascii="Arial" w:hAnsi="Arial" w:cs="Arial"/>
              </w:rPr>
              <w:t>gen</w:t>
            </w:r>
            <w:r w:rsidR="00EC70C0" w:rsidRPr="00EC70C0">
              <w:rPr>
                <w:rStyle w:val="checkbox"/>
                <w:rFonts w:ascii="Arial" w:hAnsi="Arial" w:cs="Arial"/>
              </w:rPr>
              <w:t>e</w:t>
            </w:r>
            <w:r w:rsidR="00EC70C0" w:rsidRPr="008507FC">
              <w:rPr>
                <w:rStyle w:val="checkbox"/>
                <w:rFonts w:ascii="Arial" w:hAnsi="Arial" w:cs="Arial"/>
              </w:rPr>
              <w:t>ration</w:t>
            </w:r>
            <w:r w:rsidR="002610A6">
              <w:rPr>
                <w:rStyle w:val="checkbox"/>
                <w:rFonts w:ascii="Arial" w:hAnsi="Arial" w:cs="Arial"/>
              </w:rPr>
              <w:t xml:space="preserve"> chronic feeding study with dose groups 0, 0.38, 1.88, and 3.8 mg/kg/d (rats, F</w:t>
            </w:r>
            <w:r w:rsidR="002610A6">
              <w:rPr>
                <w:rStyle w:val="checkbox"/>
                <w:rFonts w:ascii="Arial" w:hAnsi="Arial" w:cs="Arial"/>
                <w:vertAlign w:val="subscript"/>
              </w:rPr>
              <w:t>0</w:t>
            </w:r>
            <w:r w:rsidR="002610A6">
              <w:rPr>
                <w:rStyle w:val="checkbox"/>
                <w:rFonts w:ascii="Arial" w:hAnsi="Arial" w:cs="Arial"/>
              </w:rPr>
              <w:t>:</w:t>
            </w:r>
            <w:r w:rsidR="00D75986">
              <w:rPr>
                <w:rStyle w:val="checkbox"/>
                <w:rFonts w:ascii="Arial" w:hAnsi="Arial" w:cs="Arial"/>
              </w:rPr>
              <w:t xml:space="preserve"> </w:t>
            </w:r>
            <w:r w:rsidR="002610A6">
              <w:rPr>
                <w:rStyle w:val="checkbox"/>
                <w:rFonts w:ascii="Arial" w:hAnsi="Arial" w:cs="Arial"/>
              </w:rPr>
              <w:t>105</w:t>
            </w:r>
            <w:r w:rsidR="00D75986">
              <w:rPr>
                <w:rStyle w:val="checkbox"/>
                <w:rFonts w:ascii="Arial" w:hAnsi="Arial" w:cs="Arial"/>
              </w:rPr>
              <w:t> </w:t>
            </w:r>
            <w:r w:rsidR="002610A6">
              <w:rPr>
                <w:rStyle w:val="checkbox"/>
                <w:rFonts w:ascii="Arial" w:hAnsi="Arial" w:cs="Arial"/>
              </w:rPr>
              <w:t>d, F</w:t>
            </w:r>
            <w:r w:rsidR="002610A6">
              <w:rPr>
                <w:rStyle w:val="checkbox"/>
                <w:rFonts w:ascii="Arial" w:hAnsi="Arial" w:cs="Arial"/>
                <w:vertAlign w:val="subscript"/>
              </w:rPr>
              <w:t>1</w:t>
            </w:r>
            <w:r w:rsidR="002610A6">
              <w:rPr>
                <w:rStyle w:val="checkbox"/>
                <w:rFonts w:ascii="Arial" w:hAnsi="Arial" w:cs="Arial"/>
              </w:rPr>
              <w:t>: 120 d); NOAEL: 0.38 mg/kg/d</w:t>
            </w:r>
            <w:r w:rsidR="00D75986">
              <w:rPr>
                <w:rStyle w:val="checkbox"/>
                <w:rFonts w:ascii="Arial" w:hAnsi="Arial" w:cs="Arial"/>
              </w:rPr>
              <w:t>:</w:t>
            </w:r>
          </w:p>
          <w:p w14:paraId="4F2B72E9" w14:textId="142F8F61" w:rsidR="002610A6" w:rsidRDefault="002610A6" w:rsidP="000F7A0E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used principally to derive oral </w:t>
            </w:r>
            <w:proofErr w:type="spellStart"/>
            <w:r>
              <w:rPr>
                <w:rStyle w:val="checkbox"/>
                <w:rFonts w:ascii="Arial" w:hAnsi="Arial" w:cs="Arial"/>
              </w:rPr>
              <w:t>RfD</w:t>
            </w:r>
            <w:proofErr w:type="spellEnd"/>
          </w:p>
          <w:p w14:paraId="2224089B" w14:textId="56E9EE5F" w:rsidR="002610A6" w:rsidRPr="002610A6" w:rsidRDefault="002610A6" w:rsidP="000F7A0E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Inhalational </w:t>
            </w:r>
            <w:proofErr w:type="spellStart"/>
            <w:r>
              <w:rPr>
                <w:rStyle w:val="checkbox"/>
                <w:rFonts w:ascii="Arial" w:hAnsi="Arial" w:cs="Arial"/>
              </w:rPr>
              <w:t>RfD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and carcinogenic activity not assessed</w:t>
            </w:r>
            <w:r w:rsidR="00D75986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20C4323A" w14:textId="77777777" w:rsidTr="00236EEA">
        <w:trPr>
          <w:cantSplit/>
        </w:trPr>
        <w:tc>
          <w:tcPr>
            <w:tcW w:w="1488" w:type="dxa"/>
          </w:tcPr>
          <w:p w14:paraId="76D0E357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1" w:type="dxa"/>
          </w:tcPr>
          <w:p w14:paraId="46AE65C2" w14:textId="17BB55F7" w:rsidR="004966BF" w:rsidRDefault="00236EEA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87BA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B82A5B6" w14:textId="4D58321F" w:rsidR="004966BF" w:rsidRPr="004C23F4" w:rsidRDefault="00687BA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6" w:type="dxa"/>
          </w:tcPr>
          <w:p w14:paraId="4E1BEF9D" w14:textId="6E277553" w:rsidR="004966BF" w:rsidRPr="004C23F4" w:rsidRDefault="00687BAB" w:rsidP="000F7A0E">
            <w:pPr>
              <w:pStyle w:val="Tablefont"/>
              <w:numPr>
                <w:ilvl w:val="0"/>
                <w:numId w:val="4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687BAB">
              <w:rPr>
                <w:rFonts w:cs="Arial"/>
              </w:rPr>
              <w:t>IDLH based on acute oral toxicity data in humans</w:t>
            </w:r>
            <w:r>
              <w:rPr>
                <w:rFonts w:cs="Arial"/>
              </w:rPr>
              <w:t>.</w:t>
            </w:r>
          </w:p>
        </w:tc>
      </w:tr>
    </w:tbl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2610A6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7F5A5902" w:rsidR="002E0D61" w:rsidRDefault="002610A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2610A6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24325011" w:rsidR="008A36CF" w:rsidRPr="006901A2" w:rsidRDefault="002610A6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236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236EEA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58EA7C0D" w:rsidR="00687890" w:rsidRPr="00DD2F9B" w:rsidRDefault="00732060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236EEA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79BA2917" w:rsidR="007925F0" w:rsidRPr="00DD2F9B" w:rsidRDefault="00732060" w:rsidP="00DD2F9B">
            <w:pPr>
              <w:pStyle w:val="Tablefont"/>
            </w:pPr>
            <w:r>
              <w:t>—</w:t>
            </w:r>
            <w:bookmarkStart w:id="3" w:name="_GoBack"/>
            <w:bookmarkEnd w:id="3"/>
          </w:p>
        </w:tc>
      </w:tr>
      <w:tr w:rsidR="00AF483F" w:rsidRPr="004C23F4" w14:paraId="4C1044B3" w14:textId="77777777" w:rsidTr="00236EEA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7D9BF4F7" w:rsidR="00AF483F" w:rsidRPr="00DD2F9B" w:rsidRDefault="0073206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236EEA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3A9505A9" w:rsidR="00687890" w:rsidRPr="00DD2F9B" w:rsidRDefault="00687BAB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403F0800" w14:textId="77777777" w:rsidTr="00236EEA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568C5415" w:rsidR="00E41A26" w:rsidRPr="00DD2F9B" w:rsidRDefault="00732060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7A490EF" w14:textId="77777777" w:rsidTr="00236EEA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5F3B1EC2" w:rsidR="002E0D61" w:rsidRPr="00DD2F9B" w:rsidRDefault="00732060" w:rsidP="00DD2F9B">
            <w:pPr>
              <w:pStyle w:val="Tablefont"/>
            </w:pPr>
            <w:r w:rsidRPr="00732060">
              <w:t>Carcinogenicity – A4</w:t>
            </w:r>
          </w:p>
        </w:tc>
      </w:tr>
      <w:tr w:rsidR="002E0D61" w:rsidRPr="004C23F4" w14:paraId="43FA3590" w14:textId="77777777" w:rsidTr="00236EEA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7A2F9FAA" w:rsidR="002E0D61" w:rsidRPr="00DD2F9B" w:rsidRDefault="00732060" w:rsidP="00DD2F9B">
            <w:pPr>
              <w:pStyle w:val="Tablefont"/>
            </w:pPr>
            <w:r>
              <w:t>H(skin)</w:t>
            </w:r>
          </w:p>
        </w:tc>
      </w:tr>
      <w:tr w:rsidR="002E0D61" w:rsidRPr="004C23F4" w14:paraId="2AC7B866" w14:textId="77777777" w:rsidTr="00236EEA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61CB1D10" w:rsidR="002E0D61" w:rsidRPr="00DD2F9B" w:rsidRDefault="0073206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236EEA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0D711EC5" w:rsidR="002E0D61" w:rsidRPr="00DD2F9B" w:rsidRDefault="0073206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236EEA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365331A4" w:rsidR="00386093" w:rsidRPr="00DD2F9B" w:rsidRDefault="0073206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236EEA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77A7437D" w:rsidR="00386093" w:rsidRPr="00DD2F9B" w:rsidRDefault="00732060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564"/>
              <w:gridCol w:w="1074"/>
              <w:gridCol w:w="1074"/>
              <w:gridCol w:w="3098"/>
            </w:tblGrid>
            <w:tr w:rsidR="00F44579" w:rsidRPr="002610A6" w14:paraId="0B71AC2C" w14:textId="77777777" w:rsidTr="00F44579">
              <w:trPr>
                <w:trHeight w:val="231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A420C3" w14:textId="77777777" w:rsidR="00F44579" w:rsidRPr="002610A6" w:rsidRDefault="00F44579" w:rsidP="00F4457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3899C34" w14:textId="4A0F8DFE" w:rsidR="00F44579" w:rsidRPr="002610A6" w:rsidRDefault="00F44579" w:rsidP="00F4457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3A35AE" w14:textId="77777777" w:rsidR="00F44579" w:rsidRPr="002610A6" w:rsidRDefault="00F44579" w:rsidP="00F445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2A364B" w14:textId="77777777" w:rsidR="00F44579" w:rsidRPr="002610A6" w:rsidRDefault="00F44579" w:rsidP="00F445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610A6" w:rsidRPr="002610A6" w14:paraId="7A07A881" w14:textId="77777777" w:rsidTr="00F44579">
              <w:trPr>
                <w:trHeight w:val="231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E6CE0E" w14:textId="77777777" w:rsidR="002610A6" w:rsidRPr="002610A6" w:rsidRDefault="002610A6" w:rsidP="002610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B7BC029" w14:textId="77777777" w:rsidR="002610A6" w:rsidRPr="002610A6" w:rsidRDefault="002610A6" w:rsidP="002610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87ACE7" w14:textId="77777777" w:rsidR="002610A6" w:rsidRPr="002610A6" w:rsidRDefault="002610A6" w:rsidP="002610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00E2BF" w14:textId="77777777" w:rsidR="002610A6" w:rsidRPr="002610A6" w:rsidRDefault="002610A6" w:rsidP="002610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610A6" w:rsidRPr="002610A6" w14:paraId="09F4B38A" w14:textId="77777777" w:rsidTr="00F44579">
              <w:trPr>
                <w:trHeight w:val="231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D84504" w14:textId="77777777" w:rsidR="002610A6" w:rsidRPr="002610A6" w:rsidRDefault="002610A6" w:rsidP="002610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DC7084" w14:textId="77777777" w:rsidR="002610A6" w:rsidRPr="002610A6" w:rsidRDefault="002610A6" w:rsidP="002610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D5250F" w14:textId="77777777" w:rsidR="002610A6" w:rsidRPr="002610A6" w:rsidRDefault="002610A6" w:rsidP="002610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FB979F" w14:textId="77777777" w:rsidR="002610A6" w:rsidRPr="002610A6" w:rsidRDefault="002610A6" w:rsidP="002610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610A6" w:rsidRPr="002610A6" w14:paraId="28A224D7" w14:textId="77777777" w:rsidTr="00F44579">
              <w:trPr>
                <w:trHeight w:val="231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986384" w14:textId="77777777" w:rsidR="002610A6" w:rsidRPr="002610A6" w:rsidRDefault="002610A6" w:rsidP="002610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2E8323" w14:textId="77777777" w:rsidR="002610A6" w:rsidRPr="002610A6" w:rsidRDefault="002610A6" w:rsidP="002610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69BACB" w14:textId="77777777" w:rsidR="002610A6" w:rsidRPr="002610A6" w:rsidRDefault="002610A6" w:rsidP="002610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2FD8EF" w14:textId="77777777" w:rsidR="002610A6" w:rsidRPr="002610A6" w:rsidRDefault="002610A6" w:rsidP="002610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610A6" w:rsidRPr="002610A6" w14:paraId="56994C74" w14:textId="77777777" w:rsidTr="00F44579">
              <w:trPr>
                <w:trHeight w:val="231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6C01AD" w14:textId="77777777" w:rsidR="002610A6" w:rsidRPr="002610A6" w:rsidRDefault="002610A6" w:rsidP="002610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89452F" w14:textId="77777777" w:rsidR="002610A6" w:rsidRPr="002610A6" w:rsidRDefault="002610A6" w:rsidP="002610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2FCEF4" w14:textId="77777777" w:rsidR="002610A6" w:rsidRPr="002610A6" w:rsidRDefault="002610A6" w:rsidP="002610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2326ED" w14:textId="77777777" w:rsidR="002610A6" w:rsidRPr="002610A6" w:rsidRDefault="002610A6" w:rsidP="002610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610A6" w:rsidRPr="002610A6" w14:paraId="0FEB4F97" w14:textId="77777777" w:rsidTr="00F44579">
              <w:trPr>
                <w:trHeight w:val="231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16EFBB" w14:textId="77777777" w:rsidR="002610A6" w:rsidRPr="002610A6" w:rsidRDefault="002610A6" w:rsidP="002610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F7C0DC" w14:textId="77777777" w:rsidR="002610A6" w:rsidRPr="002610A6" w:rsidRDefault="002610A6" w:rsidP="002610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AE8F4A" w14:textId="77777777" w:rsidR="002610A6" w:rsidRPr="002610A6" w:rsidRDefault="002610A6" w:rsidP="002610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BBDBC8" w14:textId="77777777" w:rsidR="002610A6" w:rsidRPr="002610A6" w:rsidRDefault="002610A6" w:rsidP="002610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610A6" w:rsidRPr="002610A6" w14:paraId="61B804F0" w14:textId="77777777" w:rsidTr="00F44579">
              <w:trPr>
                <w:trHeight w:val="231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5915B7" w14:textId="77777777" w:rsidR="002610A6" w:rsidRPr="002610A6" w:rsidRDefault="002610A6" w:rsidP="002610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A300B8" w14:textId="77777777" w:rsidR="002610A6" w:rsidRPr="002610A6" w:rsidRDefault="002610A6" w:rsidP="002610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5F7A9F" w14:textId="77777777" w:rsidR="002610A6" w:rsidRPr="002610A6" w:rsidRDefault="002610A6" w:rsidP="002610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EFEF30" w14:textId="5F43EC45" w:rsidR="002610A6" w:rsidRPr="002610A6" w:rsidRDefault="002610A6" w:rsidP="002610A6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2610A6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</w:t>
                  </w:r>
                  <w:r w:rsidR="00F4457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 xml:space="preserve"> is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236D1286" w:rsidR="00EB3D1B" w:rsidRDefault="00732060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7264834C" w:rsidR="001B79E5" w:rsidRDefault="001F24FE" w:rsidP="001B79E5">
                <w:pPr>
                  <w:pStyle w:val="Tablefont"/>
                </w:pPr>
                <w:r>
                  <w:t>394.4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5048B0B8" w:rsidR="00687890" w:rsidRPr="004C23F4" w:rsidRDefault="003F0E65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6CD53F2C" w:rsidR="00687890" w:rsidRPr="004C23F4" w:rsidRDefault="003F0E65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236EEA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63E37043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B95555">
        <w:t>2003</w:t>
      </w:r>
      <w:r>
        <w:t xml:space="preserve">) </w:t>
      </w:r>
      <w:r w:rsidR="00B95555">
        <w:t>Rotenone</w:t>
      </w:r>
      <w:r>
        <w:t xml:space="preserve"> – MAK value documentation.</w:t>
      </w:r>
    </w:p>
    <w:p w14:paraId="3A7B0715" w14:textId="2973B481" w:rsidR="00901CE8" w:rsidRDefault="00901CE8" w:rsidP="00C45672">
      <w:r>
        <w:t>National Industrial Chemicals Notification and</w:t>
      </w:r>
      <w:r w:rsidR="00E90908">
        <w:t xml:space="preserve"> Assessment Scheme (NICNAS) (2018</w:t>
      </w:r>
      <w:r>
        <w:t xml:space="preserve">) [1]Benzopyrano[3,4-b]furo[2,3-h][1]benzopyran-6(6aH)-one,1,2,12,12a-tetrahydro-8,9-dimethoxy-2(1-methylethenyl)-,[2R-(2.alpha.,12alpha.)]: Human </w:t>
      </w:r>
      <w:r w:rsidR="00E90908">
        <w:t>health tier I assessment – IMAP report.</w:t>
      </w:r>
    </w:p>
    <w:p w14:paraId="2C796F4D" w14:textId="6D5D971C" w:rsidR="00C45672" w:rsidRPr="00E40007" w:rsidRDefault="00C45672" w:rsidP="00C45672">
      <w:r>
        <w:t xml:space="preserve">US Environmental Protection Authority (US EPA) (1988)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</w:t>
      </w:r>
      <w:r w:rsidRPr="00E40007">
        <w:t>Rotenone</w:t>
      </w:r>
      <w:r>
        <w:t>.</w:t>
      </w:r>
    </w:p>
    <w:p w14:paraId="77EFB18B" w14:textId="03D825F7" w:rsidR="008E4F1F" w:rsidRDefault="008E4F1F" w:rsidP="008E4F1F">
      <w:r w:rsidRPr="00D86E03">
        <w:t>US National Institute for Occupational Safety and Health (NIOSH)</w:t>
      </w:r>
      <w:r>
        <w:t xml:space="preserve"> (</w:t>
      </w:r>
      <w:r w:rsidR="00B95555" w:rsidRPr="00B95555">
        <w:t>1994</w:t>
      </w:r>
      <w:r>
        <w:t xml:space="preserve">) Immediately dangerous to life or health concentrations – </w:t>
      </w:r>
      <w:r w:rsidR="00B95555" w:rsidRPr="00B95555">
        <w:t>Rotenone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4A535" w14:textId="77777777" w:rsidR="00693256" w:rsidRDefault="00693256" w:rsidP="00F43AD5">
      <w:pPr>
        <w:spacing w:after="0" w:line="240" w:lineRule="auto"/>
      </w:pPr>
      <w:r>
        <w:separator/>
      </w:r>
    </w:p>
  </w:endnote>
  <w:endnote w:type="continuationSeparator" w:id="0">
    <w:p w14:paraId="478EA3B6" w14:textId="77777777" w:rsidR="00693256" w:rsidRDefault="0069325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BBBF" w14:textId="77777777" w:rsidR="00236EEA" w:rsidRDefault="00236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19D40D50" w:rsidR="00A73F2B" w:rsidRDefault="00A73F2B" w:rsidP="0034744C">
        <w:pPr>
          <w:pStyle w:val="Footer"/>
          <w:rPr>
            <w:sz w:val="18"/>
            <w:szCs w:val="18"/>
          </w:rPr>
        </w:pPr>
        <w:r w:rsidRPr="005469E7">
          <w:rPr>
            <w:b/>
            <w:sz w:val="18"/>
            <w:szCs w:val="18"/>
          </w:rPr>
          <w:t>Rotenone (commercial)</w:t>
        </w:r>
        <w:r>
          <w:rPr>
            <w:b/>
            <w:sz w:val="18"/>
            <w:szCs w:val="18"/>
          </w:rPr>
          <w:t xml:space="preserve"> (</w:t>
        </w:r>
        <w:r w:rsidRPr="005469E7">
          <w:rPr>
            <w:b/>
            <w:sz w:val="18"/>
            <w:szCs w:val="18"/>
          </w:rPr>
          <w:t>83-79-4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2D517F5E" w14:textId="4E00D364" w:rsidR="00A73F2B" w:rsidRPr="00F43AD5" w:rsidRDefault="00A73F2B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935C2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BE01" w14:textId="77777777" w:rsidR="00236EEA" w:rsidRDefault="00236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F38E3" w14:textId="77777777" w:rsidR="00693256" w:rsidRDefault="00693256" w:rsidP="00F43AD5">
      <w:pPr>
        <w:spacing w:after="0" w:line="240" w:lineRule="auto"/>
      </w:pPr>
      <w:r>
        <w:separator/>
      </w:r>
    </w:p>
  </w:footnote>
  <w:footnote w:type="continuationSeparator" w:id="0">
    <w:p w14:paraId="53849831" w14:textId="77777777" w:rsidR="00693256" w:rsidRDefault="0069325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D6C6" w14:textId="77777777" w:rsidR="00236EEA" w:rsidRDefault="00236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8792" w14:textId="271B1BFF" w:rsidR="00A73F2B" w:rsidRPr="00236EEA" w:rsidRDefault="00236EEA" w:rsidP="00236EEA">
    <w:pPr>
      <w:pStyle w:val="Header"/>
      <w:jc w:val="right"/>
    </w:pPr>
    <w:r>
      <w:pict w14:anchorId="5305D3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19372EB" wp14:editId="1FD34BF0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4372" w14:textId="77777777" w:rsidR="00236EEA" w:rsidRDefault="00236E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F870" w14:textId="17CDCDA6" w:rsidR="00236EEA" w:rsidRDefault="00236EEA" w:rsidP="00236EEA">
    <w:pPr>
      <w:pStyle w:val="Header"/>
      <w:jc w:val="right"/>
    </w:pPr>
    <w:r>
      <w:pict w14:anchorId="39054D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B70F02F" wp14:editId="4819909E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A73F2B" w:rsidRDefault="00A73F2B" w:rsidP="00236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17E30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6C00067"/>
    <w:multiLevelType w:val="hybridMultilevel"/>
    <w:tmpl w:val="341C7254"/>
    <w:lvl w:ilvl="0" w:tplc="175EDF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5563C"/>
    <w:multiLevelType w:val="hybridMultilevel"/>
    <w:tmpl w:val="1806FABE"/>
    <w:lvl w:ilvl="0" w:tplc="6A1E7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41693"/>
    <w:multiLevelType w:val="hybridMultilevel"/>
    <w:tmpl w:val="D78C9462"/>
    <w:lvl w:ilvl="0" w:tplc="97BCB7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2341"/>
    <w:multiLevelType w:val="hybridMultilevel"/>
    <w:tmpl w:val="8E7ED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72695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02D"/>
    <w:rsid w:val="000E63D3"/>
    <w:rsid w:val="000E67CF"/>
    <w:rsid w:val="000F7A0E"/>
    <w:rsid w:val="0010461E"/>
    <w:rsid w:val="00106FAA"/>
    <w:rsid w:val="00113443"/>
    <w:rsid w:val="001269A7"/>
    <w:rsid w:val="00131092"/>
    <w:rsid w:val="00140E6A"/>
    <w:rsid w:val="00143B8B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11C2"/>
    <w:rsid w:val="001B475C"/>
    <w:rsid w:val="001B79E5"/>
    <w:rsid w:val="001D56F0"/>
    <w:rsid w:val="001D663B"/>
    <w:rsid w:val="001D7B41"/>
    <w:rsid w:val="001E46DA"/>
    <w:rsid w:val="001E7D80"/>
    <w:rsid w:val="001F24FE"/>
    <w:rsid w:val="001F4B6C"/>
    <w:rsid w:val="001F62CB"/>
    <w:rsid w:val="001F62EF"/>
    <w:rsid w:val="001F6ED0"/>
    <w:rsid w:val="001F72E6"/>
    <w:rsid w:val="001F73C5"/>
    <w:rsid w:val="002046A6"/>
    <w:rsid w:val="00204956"/>
    <w:rsid w:val="00211D37"/>
    <w:rsid w:val="00213640"/>
    <w:rsid w:val="00221547"/>
    <w:rsid w:val="002216FC"/>
    <w:rsid w:val="00222533"/>
    <w:rsid w:val="00222F30"/>
    <w:rsid w:val="00224EE2"/>
    <w:rsid w:val="00227EC7"/>
    <w:rsid w:val="00236EEA"/>
    <w:rsid w:val="00244AD1"/>
    <w:rsid w:val="002463BC"/>
    <w:rsid w:val="002465CE"/>
    <w:rsid w:val="0025734A"/>
    <w:rsid w:val="002610A6"/>
    <w:rsid w:val="00263255"/>
    <w:rsid w:val="00270B54"/>
    <w:rsid w:val="00276494"/>
    <w:rsid w:val="00277B0C"/>
    <w:rsid w:val="002A4346"/>
    <w:rsid w:val="002B133B"/>
    <w:rsid w:val="002B1A2C"/>
    <w:rsid w:val="002C34F2"/>
    <w:rsid w:val="002C58FF"/>
    <w:rsid w:val="002C78BF"/>
    <w:rsid w:val="002C7AFE"/>
    <w:rsid w:val="002C7FED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6967"/>
    <w:rsid w:val="00370DBF"/>
    <w:rsid w:val="00371FA7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0E65"/>
    <w:rsid w:val="004030BC"/>
    <w:rsid w:val="00403F7D"/>
    <w:rsid w:val="00406785"/>
    <w:rsid w:val="004079B4"/>
    <w:rsid w:val="00417A56"/>
    <w:rsid w:val="00420957"/>
    <w:rsid w:val="00422A10"/>
    <w:rsid w:val="00423B11"/>
    <w:rsid w:val="00430179"/>
    <w:rsid w:val="00434136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5DA7"/>
    <w:rsid w:val="005142C4"/>
    <w:rsid w:val="0051509C"/>
    <w:rsid w:val="005272E2"/>
    <w:rsid w:val="0053108F"/>
    <w:rsid w:val="00532B56"/>
    <w:rsid w:val="00534B10"/>
    <w:rsid w:val="005446A2"/>
    <w:rsid w:val="00544D2F"/>
    <w:rsid w:val="005469E7"/>
    <w:rsid w:val="00551BD8"/>
    <w:rsid w:val="00581055"/>
    <w:rsid w:val="00591E38"/>
    <w:rsid w:val="005A19C5"/>
    <w:rsid w:val="005A3034"/>
    <w:rsid w:val="005A462D"/>
    <w:rsid w:val="005B253B"/>
    <w:rsid w:val="005B771D"/>
    <w:rsid w:val="005C0CC6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87BAB"/>
    <w:rsid w:val="006901A2"/>
    <w:rsid w:val="00690368"/>
    <w:rsid w:val="0069079C"/>
    <w:rsid w:val="00690B53"/>
    <w:rsid w:val="00693256"/>
    <w:rsid w:val="006935C2"/>
    <w:rsid w:val="00695B72"/>
    <w:rsid w:val="006B160A"/>
    <w:rsid w:val="006B2B17"/>
    <w:rsid w:val="006B4E6C"/>
    <w:rsid w:val="006B50B6"/>
    <w:rsid w:val="006B5BB3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2060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86036"/>
    <w:rsid w:val="00791847"/>
    <w:rsid w:val="007925F0"/>
    <w:rsid w:val="007939B3"/>
    <w:rsid w:val="0079509C"/>
    <w:rsid w:val="00796708"/>
    <w:rsid w:val="007A710A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1E72"/>
    <w:rsid w:val="00804F5A"/>
    <w:rsid w:val="00810C6D"/>
    <w:rsid w:val="00812887"/>
    <w:rsid w:val="00820D42"/>
    <w:rsid w:val="00826F21"/>
    <w:rsid w:val="00834CC8"/>
    <w:rsid w:val="00835E00"/>
    <w:rsid w:val="00837113"/>
    <w:rsid w:val="008414E4"/>
    <w:rsid w:val="00843E21"/>
    <w:rsid w:val="0084508E"/>
    <w:rsid w:val="008507FC"/>
    <w:rsid w:val="00857A8A"/>
    <w:rsid w:val="008630EE"/>
    <w:rsid w:val="00864D13"/>
    <w:rsid w:val="00871CD5"/>
    <w:rsid w:val="008745A2"/>
    <w:rsid w:val="008768A8"/>
    <w:rsid w:val="0088798F"/>
    <w:rsid w:val="00887A1B"/>
    <w:rsid w:val="00887E4B"/>
    <w:rsid w:val="00890441"/>
    <w:rsid w:val="008915C8"/>
    <w:rsid w:val="008955E1"/>
    <w:rsid w:val="008A36CF"/>
    <w:rsid w:val="008A3BC4"/>
    <w:rsid w:val="008B403C"/>
    <w:rsid w:val="008B7983"/>
    <w:rsid w:val="008C2511"/>
    <w:rsid w:val="008D026D"/>
    <w:rsid w:val="008D23AB"/>
    <w:rsid w:val="008D4B8B"/>
    <w:rsid w:val="008D543F"/>
    <w:rsid w:val="008D5A78"/>
    <w:rsid w:val="008E4F1F"/>
    <w:rsid w:val="008E7B64"/>
    <w:rsid w:val="008F5DCD"/>
    <w:rsid w:val="00900951"/>
    <w:rsid w:val="00901CE8"/>
    <w:rsid w:val="00903AE4"/>
    <w:rsid w:val="009118A6"/>
    <w:rsid w:val="00915688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166"/>
    <w:rsid w:val="0093760E"/>
    <w:rsid w:val="00943B33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0ADC"/>
    <w:rsid w:val="009A1254"/>
    <w:rsid w:val="009A63D8"/>
    <w:rsid w:val="009A7289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0BE2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3F2B"/>
    <w:rsid w:val="00A84504"/>
    <w:rsid w:val="00A8672F"/>
    <w:rsid w:val="00A93057"/>
    <w:rsid w:val="00A968B0"/>
    <w:rsid w:val="00AB2672"/>
    <w:rsid w:val="00AB2817"/>
    <w:rsid w:val="00AB43C4"/>
    <w:rsid w:val="00AB440A"/>
    <w:rsid w:val="00AC32E7"/>
    <w:rsid w:val="00AC3A9F"/>
    <w:rsid w:val="00AC6D2F"/>
    <w:rsid w:val="00AE2745"/>
    <w:rsid w:val="00AE2F64"/>
    <w:rsid w:val="00AF42CB"/>
    <w:rsid w:val="00AF483F"/>
    <w:rsid w:val="00AF4E74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55CCA"/>
    <w:rsid w:val="00B71188"/>
    <w:rsid w:val="00B76A41"/>
    <w:rsid w:val="00B823FA"/>
    <w:rsid w:val="00B87D4C"/>
    <w:rsid w:val="00B93646"/>
    <w:rsid w:val="00B95555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4567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3359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5986"/>
    <w:rsid w:val="00D76624"/>
    <w:rsid w:val="00D87570"/>
    <w:rsid w:val="00D9026D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05AD"/>
    <w:rsid w:val="00E32595"/>
    <w:rsid w:val="00E36CFC"/>
    <w:rsid w:val="00E37CFD"/>
    <w:rsid w:val="00E40007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0908"/>
    <w:rsid w:val="00E9094E"/>
    <w:rsid w:val="00E92499"/>
    <w:rsid w:val="00E949AF"/>
    <w:rsid w:val="00E96077"/>
    <w:rsid w:val="00EA0A06"/>
    <w:rsid w:val="00EA6243"/>
    <w:rsid w:val="00EA74AB"/>
    <w:rsid w:val="00EB3D1B"/>
    <w:rsid w:val="00EB7843"/>
    <w:rsid w:val="00EC70C0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3E38"/>
    <w:rsid w:val="00F16019"/>
    <w:rsid w:val="00F20E68"/>
    <w:rsid w:val="00F22093"/>
    <w:rsid w:val="00F236DF"/>
    <w:rsid w:val="00F3256A"/>
    <w:rsid w:val="00F37738"/>
    <w:rsid w:val="00F43AD5"/>
    <w:rsid w:val="00F4402E"/>
    <w:rsid w:val="00F44579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451"/>
    <w:rsid w:val="00FB4E07"/>
    <w:rsid w:val="00FB755A"/>
    <w:rsid w:val="00FC031D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Number3">
    <w:name w:val="List Number 3"/>
    <w:basedOn w:val="Normal"/>
    <w:uiPriority w:val="99"/>
    <w:unhideWhenUsed/>
    <w:rsid w:val="002C78BF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5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68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688"/>
    <w:rPr>
      <w:szCs w:val="20"/>
    </w:rPr>
  </w:style>
  <w:style w:type="paragraph" w:styleId="Revision">
    <w:name w:val="Revision"/>
    <w:hidden/>
    <w:uiPriority w:val="99"/>
    <w:semiHidden/>
    <w:rsid w:val="00F4457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FA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CAB2285C97DA4ECBBC89FF61B7C9C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808D9-E5D4-4568-904C-DCAF4909DCE7}"/>
      </w:docPartPr>
      <w:docPartBody>
        <w:p w:rsidR="00127C1E" w:rsidRDefault="00E8368E" w:rsidP="00E8368E">
          <w:pPr>
            <w:pStyle w:val="CAB2285C97DA4ECBBC89FF61B7C9CBFC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D85F84B217844EEF971194D849FF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6F566-AC47-4D88-BB7B-FAB9F176DDD2}"/>
      </w:docPartPr>
      <w:docPartBody>
        <w:p w:rsidR="00127C1E" w:rsidRDefault="00E8368E" w:rsidP="00E8368E">
          <w:pPr>
            <w:pStyle w:val="D85F84B217844EEF971194D849FF60BE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127C1E"/>
    <w:rsid w:val="002A0801"/>
    <w:rsid w:val="00347D16"/>
    <w:rsid w:val="003E0149"/>
    <w:rsid w:val="005F69DF"/>
    <w:rsid w:val="00755FBF"/>
    <w:rsid w:val="00CA72D3"/>
    <w:rsid w:val="00D21A9F"/>
    <w:rsid w:val="00E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68E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CAB2285C97DA4ECBBC89FF61B7C9CBFC">
    <w:name w:val="CAB2285C97DA4ECBBC89FF61B7C9CBFC"/>
    <w:rsid w:val="00E8368E"/>
  </w:style>
  <w:style w:type="paragraph" w:customStyle="1" w:styleId="D85F84B217844EEF971194D849FF60BE">
    <w:name w:val="D85F84B217844EEF971194D849FF60BE"/>
    <w:rsid w:val="00E83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9017-6D46-440D-B55B-BEEC4F94C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f54d604-3e62-4e70-ba33-9e9084b96a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DFC40-8C23-4C04-9C33-2715BA32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8</cp:revision>
  <cp:lastPrinted>2018-10-22T22:41:00Z</cp:lastPrinted>
  <dcterms:created xsi:type="dcterms:W3CDTF">2020-03-05T06:38:00Z</dcterms:created>
  <dcterms:modified xsi:type="dcterms:W3CDTF">2020-06-19T00:34:00Z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