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28C3C10B" w:rsidR="00BD499F" w:rsidRPr="004C23F4" w:rsidRDefault="00E95480" w:rsidP="00B40C60">
          <w:pPr>
            <w:pStyle w:val="Heading1"/>
            <w:jc w:val="center"/>
            <w:rPr>
              <w:rFonts w:ascii="Arial" w:hAnsi="Arial" w:cs="Arial"/>
            </w:rPr>
          </w:pPr>
          <w:r w:rsidRPr="00E95480">
            <w:rPr>
              <w:rFonts w:ascii="Arial" w:hAnsi="Arial" w:cs="Arial"/>
            </w:rPr>
            <w:t>Sesone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3"/>
        <w:gridCol w:w="5053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4A01FE70" w:rsidR="00F43AD5" w:rsidRPr="00717D45" w:rsidRDefault="00E95480" w:rsidP="00B76A41">
            <w:pPr>
              <w:pStyle w:val="Tablefont"/>
            </w:pPr>
            <w:r w:rsidRPr="00E95480">
              <w:t>136-78-7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F44F8FC" w14:textId="77777777" w:rsidR="00BB4851" w:rsidRDefault="00E95480" w:rsidP="00B76A41">
            <w:pPr>
              <w:pStyle w:val="Tablefont"/>
            </w:pPr>
            <w:r>
              <w:t>Crag</w:t>
            </w:r>
            <w:r w:rsidRPr="00E95480">
              <w:rPr>
                <w:rFonts w:cs="Arial"/>
                <w:vertAlign w:val="superscript"/>
              </w:rPr>
              <w:t>®</w:t>
            </w:r>
            <w:r>
              <w:t xml:space="preserve"> Herbicide-1, 2,4-DES sodium, </w:t>
            </w:r>
          </w:p>
          <w:p w14:paraId="32648AB9" w14:textId="07AE2819" w:rsidR="00F43AD5" w:rsidRPr="00717D45" w:rsidRDefault="00E95480" w:rsidP="00B76A41">
            <w:pPr>
              <w:pStyle w:val="Tablefont"/>
            </w:pPr>
            <w:r>
              <w:t xml:space="preserve">2,4-dichlorophenoxyethyl hydrogen </w:t>
            </w:r>
            <w:proofErr w:type="spellStart"/>
            <w:r>
              <w:t>sulfate</w:t>
            </w:r>
            <w:proofErr w:type="spellEnd"/>
            <w:r>
              <w:t xml:space="preserve"> salt, </w:t>
            </w:r>
            <w:proofErr w:type="spellStart"/>
            <w:r>
              <w:t>disul</w:t>
            </w:r>
            <w:proofErr w:type="spellEnd"/>
            <w:r>
              <w:t>-sodium, sodium-2(2,4-</w:t>
            </w:r>
            <w:proofErr w:type="gramStart"/>
            <w:r>
              <w:t>dichlorophenoxy)ethyl</w:t>
            </w:r>
            <w:proofErr w:type="gramEnd"/>
            <w:r>
              <w:t xml:space="preserve"> sulphate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7A54255B" w:rsidR="00F43AD5" w:rsidRPr="00717D45" w:rsidRDefault="00E95480" w:rsidP="00B76A41">
            <w:pPr>
              <w:pStyle w:val="Tablefont"/>
            </w:pPr>
            <w:r>
              <w:t>C</w:t>
            </w:r>
            <w:r w:rsidRPr="00E95480">
              <w:rPr>
                <w:vertAlign w:val="subscript"/>
              </w:rPr>
              <w:t>8</w:t>
            </w:r>
            <w:r>
              <w:t>H</w:t>
            </w:r>
            <w:r w:rsidRPr="00E95480">
              <w:rPr>
                <w:vertAlign w:val="subscript"/>
              </w:rPr>
              <w:t>7</w:t>
            </w:r>
            <w:r>
              <w:t>Cl</w:t>
            </w:r>
            <w:r w:rsidRPr="00E95480">
              <w:rPr>
                <w:vertAlign w:val="subscript"/>
              </w:rPr>
              <w:t>2</w:t>
            </w:r>
            <w:r>
              <w:t>NaO</w:t>
            </w:r>
            <w:r w:rsidRPr="00E95480">
              <w:rPr>
                <w:vertAlign w:val="subscript"/>
              </w:rPr>
              <w:t>5</w:t>
            </w:r>
            <w:r>
              <w:t>S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56CFDAA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B4851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20A0B0F2" w:rsidR="002C7AFE" w:rsidRPr="00182371" w:rsidRDefault="00873A96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527E43EB" w:rsidR="00037E52" w:rsidRPr="00EB3D1B" w:rsidRDefault="00873A96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13C3947D" w:rsidR="00155999" w:rsidRPr="00EB3D1B" w:rsidRDefault="00155999" w:rsidP="00873A96">
            <w:pPr>
              <w:pStyle w:val="Tablefont"/>
              <w:rPr>
                <w:b/>
              </w:rPr>
            </w:pPr>
            <w:r w:rsidRPr="00E907B5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873A96">
                  <w:rPr>
                    <w:rStyle w:val="WESstatus"/>
                    <w:color w:val="auto"/>
                  </w:rPr>
                  <w:t xml:space="preserve">N/A.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ACEB7C4" w14:textId="62D15065" w:rsidR="00182371" w:rsidRPr="004C23F4" w:rsidRDefault="00873A96" w:rsidP="000C139A">
      <w:pPr>
        <w:rPr>
          <w:rFonts w:cs="Arial"/>
        </w:rPr>
      </w:pPr>
      <w:r w:rsidRPr="00873A96">
        <w:rPr>
          <w:rFonts w:cs="Arial"/>
        </w:rPr>
        <w:t xml:space="preserve">This chemical has been nominated for removal from the </w:t>
      </w:r>
      <w:r w:rsidRPr="004866EB">
        <w:rPr>
          <w:rFonts w:cs="Arial"/>
          <w:i/>
        </w:rPr>
        <w:t>Workplace exposure standards for airborne contaminants</w:t>
      </w:r>
      <w:r w:rsidR="00DA2234">
        <w:rPr>
          <w:rFonts w:cs="Arial"/>
          <w:i/>
        </w:rPr>
        <w:t xml:space="preserve"> </w:t>
      </w:r>
      <w:r w:rsidR="00DA2234">
        <w:rPr>
          <w:rFonts w:cs="Arial"/>
        </w:rPr>
        <w:t>(WES)</w:t>
      </w:r>
      <w:r w:rsidRPr="004866EB">
        <w:rPr>
          <w:rFonts w:cs="Arial"/>
          <w:i/>
        </w:rPr>
        <w:t xml:space="preserve"> </w:t>
      </w:r>
      <w:r w:rsidRPr="00873A96">
        <w:rPr>
          <w:rFonts w:cs="Arial"/>
        </w:rPr>
        <w:t>due to a lack of evidence that it is used or generated in Australian workplaces or that it presents a potential for legacy exposure. Therefore, a TWA is not recommended.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080277F" w14:textId="7A292D92" w:rsidR="00BB4851" w:rsidRDefault="00640CE1" w:rsidP="006639B4">
      <w:pPr>
        <w:rPr>
          <w:rFonts w:cs="Arial"/>
        </w:rPr>
      </w:pPr>
      <w:proofErr w:type="spellStart"/>
      <w:r>
        <w:rPr>
          <w:rFonts w:cs="Arial"/>
        </w:rPr>
        <w:t>Sesone</w:t>
      </w:r>
      <w:proofErr w:type="spellEnd"/>
      <w:r>
        <w:rPr>
          <w:rFonts w:cs="Arial"/>
        </w:rPr>
        <w:t xml:space="preserve"> </w:t>
      </w:r>
      <w:r w:rsidR="000A046D">
        <w:rPr>
          <w:rFonts w:cs="Arial"/>
        </w:rPr>
        <w:t>wa</w:t>
      </w:r>
      <w:r>
        <w:rPr>
          <w:rFonts w:cs="Arial"/>
        </w:rPr>
        <w:t xml:space="preserve">s a </w:t>
      </w:r>
      <w:r w:rsidR="000A046D">
        <w:rPr>
          <w:rFonts w:cs="Arial"/>
        </w:rPr>
        <w:t xml:space="preserve">commercially used </w:t>
      </w:r>
      <w:r>
        <w:rPr>
          <w:rFonts w:cs="Arial"/>
        </w:rPr>
        <w:t>herbicide</w:t>
      </w:r>
      <w:r w:rsidR="000C20B9">
        <w:rPr>
          <w:rFonts w:cs="Arial"/>
        </w:rPr>
        <w:t xml:space="preserve"> of which</w:t>
      </w:r>
      <w:r w:rsidR="00BB4851">
        <w:rPr>
          <w:rFonts w:cs="Arial"/>
        </w:rPr>
        <w:t>,</w:t>
      </w:r>
      <w:r w:rsidR="000C20B9">
        <w:rPr>
          <w:rFonts w:cs="Arial"/>
        </w:rPr>
        <w:t xml:space="preserve"> commercial production has been discontinued</w:t>
      </w:r>
      <w:r w:rsidR="004F0BF6">
        <w:rPr>
          <w:rFonts w:cs="Arial"/>
        </w:rPr>
        <w:t>.</w:t>
      </w:r>
      <w:r w:rsidR="004866EB">
        <w:rPr>
          <w:rFonts w:cs="Arial"/>
        </w:rPr>
        <w:t xml:space="preserve"> </w:t>
      </w:r>
      <w:r w:rsidR="004866EB">
        <w:t>There is lack of evidence that this chemical is used or generated in Australian workplaces or that it presents a potential for legacy exposure.</w:t>
      </w:r>
    </w:p>
    <w:p w14:paraId="3AF6C047" w14:textId="64DC74F8" w:rsidR="006639B4" w:rsidRDefault="004F0BF6" w:rsidP="006639B4">
      <w:r>
        <w:rPr>
          <w:rFonts w:cs="Arial"/>
        </w:rPr>
        <w:t>No human toxicological data and very limited animal data</w:t>
      </w:r>
      <w:r w:rsidR="00640CE1">
        <w:rPr>
          <w:rFonts w:cs="Arial"/>
        </w:rPr>
        <w:t xml:space="preserve"> </w:t>
      </w:r>
      <w:r w:rsidR="00E6628B">
        <w:rPr>
          <w:rFonts w:cs="Arial"/>
        </w:rPr>
        <w:t>are</w:t>
      </w:r>
      <w:r>
        <w:rPr>
          <w:rFonts w:cs="Arial"/>
        </w:rPr>
        <w:t xml:space="preserve"> available. </w:t>
      </w:r>
      <w:r w:rsidR="003C7B1F">
        <w:rPr>
          <w:rFonts w:cs="Arial"/>
        </w:rPr>
        <w:t>Oral LD</w:t>
      </w:r>
      <w:r w:rsidR="003C7B1F" w:rsidRPr="003C7B1F">
        <w:rPr>
          <w:rFonts w:cs="Arial"/>
          <w:vertAlign w:val="subscript"/>
        </w:rPr>
        <w:t>50</w:t>
      </w:r>
      <w:r w:rsidR="003C7B1F">
        <w:rPr>
          <w:rFonts w:cs="Arial"/>
        </w:rPr>
        <w:t xml:space="preserve"> values for rats ranged from </w:t>
      </w:r>
      <w:r w:rsidR="003C7B1F">
        <w:t>730</w:t>
      </w:r>
      <w:r w:rsidR="00E6628B">
        <w:t xml:space="preserve"> to </w:t>
      </w:r>
      <w:r w:rsidR="003C7B1F">
        <w:t xml:space="preserve">1,500 mg/kg, with </w:t>
      </w:r>
      <w:r w:rsidR="00B227D6">
        <w:t xml:space="preserve">death caused by </w:t>
      </w:r>
      <w:r w:rsidR="003C7B1F">
        <w:t xml:space="preserve">respiratory paralysis. </w:t>
      </w:r>
      <w:r w:rsidR="00D85F18">
        <w:t xml:space="preserve">No adverse effects </w:t>
      </w:r>
      <w:r w:rsidR="00BB4851">
        <w:t>a</w:t>
      </w:r>
      <w:r w:rsidR="00D85F18">
        <w:t xml:space="preserve">re noted </w:t>
      </w:r>
      <w:r w:rsidR="003964B1">
        <w:t>in a</w:t>
      </w:r>
      <w:r w:rsidR="00D85F18">
        <w:t xml:space="preserve"> two</w:t>
      </w:r>
      <w:r w:rsidR="004866EB">
        <w:t>-</w:t>
      </w:r>
      <w:r w:rsidR="00D85F18">
        <w:t>year feeding study in rats (</w:t>
      </w:r>
      <w:r w:rsidR="00B227D6">
        <w:t xml:space="preserve">dose </w:t>
      </w:r>
      <w:r w:rsidR="00D85F18">
        <w:t>0.02% of diet) or one year feeding study in dogs (</w:t>
      </w:r>
      <w:r w:rsidR="00B227D6">
        <w:t xml:space="preserve">dose </w:t>
      </w:r>
      <w:r w:rsidR="00D85F18">
        <w:t xml:space="preserve">0.036% of diet) (ACGIH, </w:t>
      </w:r>
      <w:r w:rsidR="000C20B9">
        <w:t>2018</w:t>
      </w:r>
      <w:r w:rsidR="00D85F18">
        <w:t>).</w:t>
      </w:r>
    </w:p>
    <w:p w14:paraId="7880465A" w14:textId="6C17D8FD" w:rsidR="004866EB" w:rsidRDefault="004866EB" w:rsidP="006639B4">
      <w:r>
        <w:t>This chemical has been nominated for removal from the WES list. A TWA is not recommended.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352423" w:rsidRDefault="008E4F1F" w:rsidP="008E4F1F">
      <w:pPr>
        <w:rPr>
          <w:rFonts w:cs="Arial"/>
        </w:rPr>
      </w:pPr>
      <w:r w:rsidRPr="00352423">
        <w:rPr>
          <w:rFonts w:cs="Arial"/>
        </w:rPr>
        <w:t>Not classified as a carcinogen according to the Globally Harmonized System of</w:t>
      </w:r>
      <w:r w:rsidR="00155999" w:rsidRPr="00352423">
        <w:rPr>
          <w:rFonts w:cs="Arial"/>
        </w:rPr>
        <w:t xml:space="preserve"> Classification and Labelling of</w:t>
      </w:r>
      <w:r w:rsidRPr="00352423">
        <w:rPr>
          <w:rFonts w:cs="Arial"/>
        </w:rPr>
        <w:t xml:space="preserve"> Chemicals (GHS). </w:t>
      </w:r>
    </w:p>
    <w:p w14:paraId="03916CCC" w14:textId="77777777" w:rsidR="008E4F1F" w:rsidRPr="00352423" w:rsidRDefault="008E4F1F" w:rsidP="008E4F1F">
      <w:pPr>
        <w:rPr>
          <w:rFonts w:cs="Arial"/>
        </w:rPr>
      </w:pPr>
      <w:r w:rsidRPr="00352423">
        <w:rPr>
          <w:rFonts w:cs="Arial"/>
        </w:rPr>
        <w:t xml:space="preserve">Not classified as a skin </w:t>
      </w:r>
      <w:r w:rsidR="00155999" w:rsidRPr="00352423">
        <w:rPr>
          <w:rFonts w:cs="Arial"/>
        </w:rPr>
        <w:t xml:space="preserve">sensitiser </w:t>
      </w:r>
      <w:r w:rsidRPr="00352423">
        <w:rPr>
          <w:rFonts w:cs="Arial"/>
        </w:rPr>
        <w:t>or respiratory sensitiser according to the GHS.</w:t>
      </w:r>
    </w:p>
    <w:p w14:paraId="7D0772D2" w14:textId="609A231C" w:rsidR="004529F0" w:rsidRPr="004C23F4" w:rsidRDefault="000C20B9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352423">
        <w:rPr>
          <w:rFonts w:cs="Arial"/>
        </w:rPr>
        <w:t xml:space="preserve">nsufficient </w:t>
      </w:r>
      <w:r>
        <w:rPr>
          <w:rFonts w:cs="Arial"/>
        </w:rPr>
        <w:t>data</w:t>
      </w:r>
      <w:r w:rsidRPr="00352423">
        <w:rPr>
          <w:rFonts w:cs="Arial"/>
        </w:rPr>
        <w:t xml:space="preserve"> </w:t>
      </w:r>
      <w:r w:rsidR="008E4F1F" w:rsidRPr="00352423">
        <w:rPr>
          <w:rFonts w:cs="Arial"/>
        </w:rPr>
        <w:t>to recommend a skin notation.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542B6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542B6B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051EE9D0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9548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95480">
                  <w:t>TWA: 10 mg/m</w:t>
                </w:r>
                <w:r w:rsidR="00E95480" w:rsidRPr="00E9548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542B6B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542B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72092A4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9548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95480">
                  <w:t>TLV-TWA: 10 mg/m</w:t>
                </w:r>
                <w:r w:rsidR="00E95480" w:rsidRPr="00E9548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542B6B">
        <w:trPr>
          <w:gridAfter w:val="1"/>
          <w:wAfter w:w="8" w:type="pct"/>
          <w:cantSplit/>
        </w:trPr>
        <w:tc>
          <w:tcPr>
            <w:tcW w:w="4992" w:type="pct"/>
          </w:tcPr>
          <w:p w14:paraId="7BD74F78" w14:textId="153BA1E3" w:rsidR="00640CE1" w:rsidRDefault="00640CE1" w:rsidP="00640CE1">
            <w:pPr>
              <w:pStyle w:val="Tabletextprimarysource"/>
            </w:pPr>
            <w:r>
              <w:t>TLV-TWA recommended to minimise irritation to skin, eye</w:t>
            </w:r>
            <w:r w:rsidR="00352423">
              <w:t>s</w:t>
            </w:r>
            <w:r>
              <w:t xml:space="preserve"> and </w:t>
            </w:r>
            <w:r w:rsidR="00352423">
              <w:t>gastrointestinal system</w:t>
            </w:r>
            <w:r>
              <w:t xml:space="preserve"> in exposed workers.</w:t>
            </w:r>
          </w:p>
          <w:p w14:paraId="0E10A12A" w14:textId="77777777" w:rsidR="00640CE1" w:rsidRDefault="00640CE1" w:rsidP="00640CE1">
            <w:pPr>
              <w:pStyle w:val="Tabletextprimarysource"/>
            </w:pPr>
            <w:r>
              <w:t>Summary of data:</w:t>
            </w:r>
          </w:p>
          <w:p w14:paraId="26F0215E" w14:textId="30218EB8" w:rsidR="00C978F0" w:rsidRDefault="00640CE1" w:rsidP="000C20B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human data available.</w:t>
            </w:r>
          </w:p>
          <w:p w14:paraId="126CE8E7" w14:textId="1A0A5EB5" w:rsidR="00640CE1" w:rsidRDefault="00640CE1" w:rsidP="003365A5">
            <w:pPr>
              <w:pStyle w:val="Tabletextprimarysource"/>
            </w:pPr>
            <w:r>
              <w:t>Animal data:</w:t>
            </w:r>
          </w:p>
          <w:p w14:paraId="4C89DA98" w14:textId="6D4A9641" w:rsidR="00640CE1" w:rsidRDefault="000A046D" w:rsidP="002D2628">
            <w:pPr>
              <w:pStyle w:val="ListBullet"/>
              <w:spacing w:before="60" w:afterLines="60" w:after="144"/>
              <w:ind w:left="714" w:hanging="357"/>
              <w:contextualSpacing w:val="0"/>
            </w:pPr>
            <w:r>
              <w:t>LD</w:t>
            </w:r>
            <w:r w:rsidRPr="000A046D">
              <w:rPr>
                <w:vertAlign w:val="subscript"/>
              </w:rPr>
              <w:t>50</w:t>
            </w:r>
            <w:r>
              <w:t xml:space="preserve">: </w:t>
            </w:r>
            <w:r w:rsidR="00A22504">
              <w:t>730</w:t>
            </w:r>
            <w:r w:rsidR="002D2628">
              <w:t>–</w:t>
            </w:r>
            <w:r>
              <w:t>1,500 mg/kg (rats, oral)</w:t>
            </w:r>
            <w:r w:rsidR="00A22504">
              <w:t>; death cause</w:t>
            </w:r>
            <w:r w:rsidR="003C7B1F">
              <w:t>d</w:t>
            </w:r>
            <w:r w:rsidR="00A22504">
              <w:t xml:space="preserve"> by respiratory paralysis, </w:t>
            </w:r>
            <w:r w:rsidR="00814A97">
              <w:t>impact to liver and kidney; no further information</w:t>
            </w:r>
          </w:p>
          <w:p w14:paraId="5F68E630" w14:textId="0B510193" w:rsidR="000A046D" w:rsidRDefault="00A22504" w:rsidP="002D2628">
            <w:pPr>
              <w:pStyle w:val="ListBullet"/>
              <w:spacing w:before="60" w:afterLines="60" w:after="144"/>
              <w:ind w:left="714" w:hanging="357"/>
              <w:contextualSpacing w:val="0"/>
            </w:pPr>
            <w:r>
              <w:t>1</w:t>
            </w:r>
            <w:r w:rsidR="00E907B5">
              <w:t>–</w:t>
            </w:r>
            <w:r>
              <w:t xml:space="preserve">10% solutions caused irritation to rabbit skin and eyes; </w:t>
            </w:r>
            <w:r>
              <w:rPr>
                <w:rFonts w:cs="Arial"/>
              </w:rPr>
              <w:t>≥</w:t>
            </w:r>
            <w:r>
              <w:t>5% caused dermal necrosis</w:t>
            </w:r>
          </w:p>
          <w:p w14:paraId="6A0EAEEF" w14:textId="717E8180" w:rsidR="00A22504" w:rsidRDefault="00A22504" w:rsidP="002D2628">
            <w:pPr>
              <w:pStyle w:val="ListBullet"/>
              <w:spacing w:before="60" w:afterLines="60" w:after="144"/>
              <w:ind w:left="714" w:hanging="357"/>
              <w:contextualSpacing w:val="0"/>
            </w:pPr>
            <w:r>
              <w:t>60 mg/100 g (0.06%) fed to rats (2 y</w:t>
            </w:r>
            <w:r w:rsidR="00E907B5">
              <w:t>r</w:t>
            </w:r>
            <w:r>
              <w:t xml:space="preserve"> duration) caused gastrointestinal irritation and minor liver injury; 20 mg/100 g (0.0</w:t>
            </w:r>
            <w:r w:rsidR="00814A97">
              <w:t>2</w:t>
            </w:r>
            <w:r>
              <w:t>%) no adverse effects</w:t>
            </w:r>
            <w:r w:rsidR="00814A97">
              <w:t>; 36 mg/100 g (0.036%) tolerated by dogs (1 y</w:t>
            </w:r>
            <w:r w:rsidR="00E907B5">
              <w:t>r</w:t>
            </w:r>
            <w:r w:rsidR="00814A97">
              <w:t xml:space="preserve"> duration)</w:t>
            </w:r>
            <w:r w:rsidR="003C7B1F">
              <w:t xml:space="preserve">; no signs of </w:t>
            </w:r>
            <w:proofErr w:type="spellStart"/>
            <w:r w:rsidR="003964B1">
              <w:t>tumourigenicity</w:t>
            </w:r>
            <w:proofErr w:type="spellEnd"/>
            <w:r w:rsidR="003C7B1F">
              <w:t>.</w:t>
            </w:r>
          </w:p>
          <w:p w14:paraId="28C5B2A6" w14:textId="77777777" w:rsidR="00E6628B" w:rsidRDefault="00E6628B" w:rsidP="004866EB">
            <w:pPr>
              <w:pStyle w:val="BodyText"/>
              <w:spacing w:before="0" w:after="0"/>
            </w:pPr>
          </w:p>
          <w:p w14:paraId="4E817AFD" w14:textId="286B8C23" w:rsidR="00A22504" w:rsidRDefault="00814A97" w:rsidP="004866EB">
            <w:pPr>
              <w:pStyle w:val="BodyText"/>
              <w:spacing w:after="0"/>
            </w:pPr>
            <w:r>
              <w:t xml:space="preserve">Metabolised </w:t>
            </w:r>
            <w:r>
              <w:rPr>
                <w:i/>
              </w:rPr>
              <w:t>in vivo</w:t>
            </w:r>
            <w:r>
              <w:t xml:space="preserve"> to 2,4-D. TLV-TWA assigned based on no adverse effects reported from field use. Insufficient data to recommend Skin or SEN notations or a TLV-STEL.</w:t>
            </w:r>
          </w:p>
          <w:p w14:paraId="0CE4D35D" w14:textId="7CCC8E71" w:rsidR="00E6628B" w:rsidRPr="00814A97" w:rsidRDefault="00E6628B" w:rsidP="00814A97">
            <w:pPr>
              <w:pStyle w:val="BodyText"/>
            </w:pPr>
          </w:p>
        </w:tc>
      </w:tr>
      <w:tr w:rsidR="00C978F0" w:rsidRPr="00DA352E" w14:paraId="174F8B79" w14:textId="77777777" w:rsidTr="00542B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6907B63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E9548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sdt>
                  <w:sdtPr>
                    <w:id w:val="-1935822064"/>
                    <w:placeholder>
                      <w:docPart w:val="DBAE2823398E456989FDC373BDC1139C"/>
                    </w:placeholder>
                    <w:text/>
                  </w:sdtPr>
                  <w:sdtEndPr/>
                  <w:sdtContent>
                    <w:proofErr w:type="spellStart"/>
                    <w:r w:rsidR="00E95480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C978F0" w:rsidRPr="00DA352E" w14:paraId="4433014F" w14:textId="77777777" w:rsidTr="00542B6B">
        <w:trPr>
          <w:gridAfter w:val="1"/>
          <w:wAfter w:w="8" w:type="pct"/>
          <w:cantSplit/>
        </w:trPr>
        <w:tc>
          <w:tcPr>
            <w:tcW w:w="4992" w:type="pct"/>
          </w:tcPr>
          <w:p w14:paraId="61A64F09" w14:textId="004C87C8" w:rsidR="00C978F0" w:rsidRPr="00DA352E" w:rsidRDefault="00370003" w:rsidP="003365A5">
            <w:pPr>
              <w:pStyle w:val="Tabletextprimarysource"/>
            </w:pPr>
            <w:r>
              <w:t>No report</w:t>
            </w:r>
            <w:r w:rsidR="00E907B5">
              <w:t>.</w:t>
            </w:r>
          </w:p>
        </w:tc>
      </w:tr>
      <w:tr w:rsidR="00C978F0" w:rsidRPr="00DA352E" w14:paraId="0E6A0B2C" w14:textId="77777777" w:rsidTr="00542B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695E697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7000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id w:val="-1800603092"/>
                    <w:placeholder>
                      <w:docPart w:val="B8F285C818894D179387B170C17E0A0B"/>
                    </w:placeholder>
                    <w:text/>
                  </w:sdtPr>
                  <w:sdtEndPr/>
                  <w:sdtContent>
                    <w:r w:rsidR="00370003">
                      <w:t>NA</w:t>
                    </w:r>
                  </w:sdtContent>
                </w:sdt>
              </w:sdtContent>
            </w:sdt>
          </w:p>
        </w:tc>
      </w:tr>
      <w:tr w:rsidR="00C978F0" w:rsidRPr="00DA352E" w14:paraId="2008D281" w14:textId="77777777" w:rsidTr="00542B6B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1301A54D" w:rsidR="00C978F0" w:rsidRPr="00DA352E" w:rsidRDefault="00370003" w:rsidP="003365A5">
            <w:pPr>
              <w:pStyle w:val="Tabletextprimarysource"/>
            </w:pPr>
            <w:r>
              <w:t>No report</w:t>
            </w:r>
            <w:r w:rsidR="00E907B5">
              <w:t>.</w:t>
            </w:r>
          </w:p>
        </w:tc>
      </w:tr>
      <w:tr w:rsidR="00DA352E" w:rsidRPr="00DA352E" w14:paraId="12BAB90D" w14:textId="77777777" w:rsidTr="00542B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6AEB41B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7000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349227700"/>
                    <w:placeholder>
                      <w:docPart w:val="A94DF4CECAD6457F8A20429FF48DB3AF"/>
                    </w:placeholder>
                    <w:text/>
                  </w:sdtPr>
                  <w:sdtEndPr/>
                  <w:sdtContent>
                    <w:r w:rsidR="00370003">
                      <w:t>NA</w:t>
                    </w:r>
                  </w:sdtContent>
                </w:sdt>
              </w:sdtContent>
            </w:sdt>
          </w:p>
        </w:tc>
      </w:tr>
      <w:tr w:rsidR="00DA352E" w:rsidRPr="00DA352E" w14:paraId="33AAF4A6" w14:textId="77777777" w:rsidTr="00542B6B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412F43CE" w:rsidR="00DA352E" w:rsidRPr="00DA352E" w:rsidRDefault="00370003" w:rsidP="003365A5">
            <w:pPr>
              <w:pStyle w:val="Tabletextprimarysource"/>
            </w:pPr>
            <w:r>
              <w:t>No report</w:t>
            </w:r>
            <w:r w:rsidR="00E907B5">
              <w:t>.</w:t>
            </w:r>
          </w:p>
        </w:tc>
      </w:tr>
      <w:tr w:rsidR="00DA352E" w:rsidRPr="00DA352E" w14:paraId="605F758C" w14:textId="77777777" w:rsidTr="00542B6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564ADEA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7000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id w:val="42490592"/>
                    <w:placeholder>
                      <w:docPart w:val="C0469157C94047C494D3A885B6569560"/>
                    </w:placeholder>
                    <w:text/>
                  </w:sdtPr>
                  <w:sdtEndPr/>
                  <w:sdtContent>
                    <w:r w:rsidR="00370003">
                      <w:t>NA</w:t>
                    </w:r>
                  </w:sdtContent>
                </w:sdt>
              </w:sdtContent>
            </w:sdt>
          </w:p>
        </w:tc>
      </w:tr>
      <w:tr w:rsidR="00DA352E" w:rsidRPr="00DA352E" w14:paraId="7050CB3E" w14:textId="77777777" w:rsidTr="00542B6B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4D490CF5" w:rsidR="00DA352E" w:rsidRPr="00DA352E" w:rsidRDefault="00370003" w:rsidP="003365A5">
            <w:pPr>
              <w:pStyle w:val="Tabletextprimarysource"/>
            </w:pPr>
            <w:r>
              <w:t>No report</w:t>
            </w:r>
            <w:r w:rsidR="00E907B5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6AE89AB3" w14:textId="77777777" w:rsidTr="00542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1B5CF9D" w14:textId="77777777" w:rsidTr="00542B6B">
        <w:trPr>
          <w:cantSplit/>
        </w:trPr>
        <w:tc>
          <w:tcPr>
            <w:tcW w:w="1496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1B271840" w14:textId="7F86BF0B" w:rsidR="004966BF" w:rsidRPr="00CE617F" w:rsidRDefault="0082420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446A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DA2066" w14:textId="106F7FF1" w:rsidR="004966BF" w:rsidRPr="004C23F4" w:rsidRDefault="005446A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6" w:type="dxa"/>
          </w:tcPr>
          <w:p w14:paraId="5C19B807" w14:textId="0385C83D" w:rsidR="004966BF" w:rsidRPr="004C23F4" w:rsidRDefault="005446A9" w:rsidP="000C20B9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Pr="000C20B9">
              <w:t>additional</w:t>
            </w:r>
            <w:r>
              <w:rPr>
                <w:rStyle w:val="checkbox"/>
                <w:rFonts w:ascii="Arial" w:hAnsi="Arial" w:cs="Arial"/>
              </w:rPr>
              <w:t xml:space="preserve"> information</w:t>
            </w:r>
            <w:r w:rsidR="0020535E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20C4323A" w14:textId="77777777" w:rsidTr="00542B6B">
        <w:trPr>
          <w:cantSplit/>
        </w:trPr>
        <w:tc>
          <w:tcPr>
            <w:tcW w:w="1496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46AE65C2" w14:textId="293089E9" w:rsidR="004966BF" w:rsidRDefault="0082420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446A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B82A5B6" w14:textId="28C87C73" w:rsidR="004966BF" w:rsidRPr="004C23F4" w:rsidRDefault="005446A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6" w:type="dxa"/>
          </w:tcPr>
          <w:p w14:paraId="050AD97F" w14:textId="77777777" w:rsidR="004966BF" w:rsidRDefault="00301EE4" w:rsidP="000C20B9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REL 10 mg/m</w:t>
            </w:r>
            <w:r w:rsidRPr="00301EE4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(total dust), 5 mg/m</w:t>
            </w:r>
            <w:r w:rsidRPr="00301EE4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(respirable dust)</w:t>
            </w:r>
          </w:p>
          <w:p w14:paraId="3970CCE2" w14:textId="17621F7B" w:rsidR="00301EE4" w:rsidRDefault="00301EE4" w:rsidP="000C20B9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Reported low toxicity to mammals, no further information</w:t>
            </w:r>
          </w:p>
          <w:p w14:paraId="4E1BEF9D" w14:textId="11A927AE" w:rsidR="00301EE4" w:rsidRPr="004C23F4" w:rsidRDefault="00301EE4" w:rsidP="000C20B9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acute inhalation data available; IDLH estimated based on LD</w:t>
            </w:r>
            <w:r w:rsidRPr="00301EE4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0C20B9">
              <w:rPr>
                <w:rStyle w:val="checkbox"/>
                <w:rFonts w:ascii="Arial" w:hAnsi="Arial" w:cs="Arial"/>
              </w:rPr>
              <w:t>:</w:t>
            </w:r>
            <w:r w:rsidR="004866EB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730 mg/kg (rat, oral)</w:t>
            </w:r>
            <w:r w:rsidR="0020535E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21C7ACE5" w14:textId="77777777" w:rsidR="007E2A4B" w:rsidRDefault="007E2A4B"/>
    <w:bookmarkEnd w:id="0"/>
    <w:p w14:paraId="04408E2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20535E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4780971C" w:rsidR="002E0D61" w:rsidRDefault="0020535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20535E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524CE2D3" w:rsidR="008A36CF" w:rsidRDefault="0020535E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73A96" w14:paraId="4D6DDFA3" w14:textId="77777777" w:rsidTr="007B04D4">
        <w:trPr>
          <w:trHeight w:val="454"/>
        </w:trPr>
        <w:sdt>
          <w:sdtPr>
            <w:rPr>
              <w:b/>
            </w:rPr>
            <w:id w:val="1830936485"/>
            <w:placeholder>
              <w:docPart w:val="B4045131DFD741B1AC9ECFAF710548B0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08B05F16" w:rsidR="00873A96" w:rsidRDefault="00873A9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542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542B6B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4ECE433A" w:rsidR="00687890" w:rsidRPr="00DD2F9B" w:rsidRDefault="00370003" w:rsidP="00DD2F9B">
            <w:pPr>
              <w:pStyle w:val="Tablefont"/>
            </w:pPr>
            <w:r w:rsidRPr="00370003">
              <w:t>—</w:t>
            </w:r>
          </w:p>
        </w:tc>
      </w:tr>
      <w:tr w:rsidR="007925F0" w:rsidRPr="004C23F4" w14:paraId="2A0C13EF" w14:textId="77777777" w:rsidTr="00542B6B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5262CDBA" w:rsidR="007925F0" w:rsidRPr="00DD2F9B" w:rsidRDefault="00370003" w:rsidP="00DD2F9B">
            <w:pPr>
              <w:pStyle w:val="Tablefont"/>
            </w:pPr>
            <w:r w:rsidRPr="00370003">
              <w:t>—</w:t>
            </w:r>
          </w:p>
        </w:tc>
      </w:tr>
      <w:tr w:rsidR="00AF483F" w:rsidRPr="004C23F4" w14:paraId="4C1044B3" w14:textId="77777777" w:rsidTr="00542B6B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7BB25561" w:rsidR="00AF483F" w:rsidRPr="00DD2F9B" w:rsidRDefault="00370003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542B6B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099C1DBC" w:rsidR="00687890" w:rsidRPr="00DD2F9B" w:rsidRDefault="0037000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542B6B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5DFFDCD2" w:rsidR="00E41A26" w:rsidRPr="00DD2F9B" w:rsidRDefault="0037000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542B6B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4863EB46" w:rsidR="002E0D61" w:rsidRPr="00DD2F9B" w:rsidRDefault="00370003" w:rsidP="00DD2F9B">
            <w:pPr>
              <w:pStyle w:val="Tablefont"/>
            </w:pPr>
            <w:r w:rsidRPr="00370003">
              <w:t>Carcinogenicity – A4</w:t>
            </w:r>
          </w:p>
        </w:tc>
      </w:tr>
      <w:tr w:rsidR="002E0D61" w:rsidRPr="004C23F4" w14:paraId="43FA3590" w14:textId="77777777" w:rsidTr="00542B6B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759A874D" w:rsidR="002E0D61" w:rsidRPr="00DD2F9B" w:rsidRDefault="0037000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542B6B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0A168FAD" w:rsidR="002E0D61" w:rsidRPr="00DD2F9B" w:rsidRDefault="0037000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542B6B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1067362B" w:rsidR="002E0D61" w:rsidRPr="00DD2F9B" w:rsidRDefault="0037000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542B6B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6BABEF31" w:rsidR="00386093" w:rsidRPr="00DD2F9B" w:rsidRDefault="0037000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542B6B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53D4E628" w:rsidR="00386093" w:rsidRPr="00DD2F9B" w:rsidRDefault="0037000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5741A33A" w:rsidR="00932DCE" w:rsidRPr="004C23F4" w:rsidRDefault="00352423" w:rsidP="00F9496B">
            <w:pPr>
              <w:pStyle w:val="Tablefont"/>
            </w:pPr>
            <w:bookmarkStart w:id="3" w:name="SkinNot"/>
            <w:r w:rsidRPr="00352423">
              <w:t>Insufficient data to assign a skin notation</w:t>
            </w:r>
            <w:r>
              <w:t>.</w:t>
            </w:r>
          </w:p>
        </w:tc>
      </w:tr>
    </w:tbl>
    <w:bookmarkEnd w:id="3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048CD33A" w:rsidR="00EB3D1B" w:rsidRDefault="00370003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3F46D47C" w:rsidR="001B79E5" w:rsidRDefault="00370003" w:rsidP="001B79E5">
                <w:pPr>
                  <w:pStyle w:val="Tablefont"/>
                </w:pPr>
                <w:r w:rsidRPr="00370003">
                  <w:t>309.1</w:t>
                </w:r>
                <w:r>
                  <w:t>0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FB952C" w:rsidR="00687890" w:rsidRPr="004C23F4" w:rsidRDefault="00640CE1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82420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2D92D219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492E1F2" w14:textId="45A0EA88" w:rsidR="00352423" w:rsidRDefault="00352423" w:rsidP="00084859">
      <w:r w:rsidRPr="00E461B8">
        <w:t>European Chemicals Agency Regulation (ECHA)</w:t>
      </w:r>
      <w:r>
        <w:t xml:space="preserve"> (2019) </w:t>
      </w:r>
      <w:proofErr w:type="spellStart"/>
      <w:r>
        <w:t>Disul</w:t>
      </w:r>
      <w:proofErr w:type="spellEnd"/>
      <w:r>
        <w:t xml:space="preserve"> – </w:t>
      </w:r>
      <w:proofErr w:type="spellStart"/>
      <w:r>
        <w:t>Infocard</w:t>
      </w:r>
      <w:proofErr w:type="spellEnd"/>
      <w:r>
        <w:t>.</w:t>
      </w:r>
    </w:p>
    <w:p w14:paraId="77EFB18B" w14:textId="610D55D9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r w:rsidR="00370003" w:rsidRPr="00370003">
        <w:t>1994</w:t>
      </w:r>
      <w:r>
        <w:t xml:space="preserve">) Immediately dangerous to life or health concentrations – </w:t>
      </w:r>
      <w:r w:rsidR="00370003" w:rsidRPr="00370003">
        <w:t>Crag® herbicide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93E6" w14:textId="77777777" w:rsidR="003D67D9" w:rsidRDefault="003D67D9" w:rsidP="00F43AD5">
      <w:pPr>
        <w:spacing w:after="0" w:line="240" w:lineRule="auto"/>
      </w:pPr>
      <w:r>
        <w:separator/>
      </w:r>
    </w:p>
  </w:endnote>
  <w:endnote w:type="continuationSeparator" w:id="0">
    <w:p w14:paraId="59FF6192" w14:textId="77777777" w:rsidR="003D67D9" w:rsidRDefault="003D67D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E7CD" w14:textId="77777777" w:rsidR="0082420D" w:rsidRDefault="0082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29C3972C" w:rsidR="008A36CF" w:rsidRDefault="00E95480" w:rsidP="0034744C">
        <w:pPr>
          <w:pStyle w:val="Footer"/>
          <w:rPr>
            <w:sz w:val="18"/>
            <w:szCs w:val="18"/>
          </w:rPr>
        </w:pPr>
        <w:proofErr w:type="spellStart"/>
        <w:r w:rsidRPr="00E95480">
          <w:rPr>
            <w:b/>
            <w:sz w:val="18"/>
            <w:szCs w:val="18"/>
          </w:rPr>
          <w:t>Sesone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E95480">
          <w:rPr>
            <w:b/>
            <w:sz w:val="18"/>
            <w:szCs w:val="18"/>
          </w:rPr>
          <w:t>136-78-7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0C20B9">
          <w:rPr>
            <w:sz w:val="18"/>
            <w:szCs w:val="18"/>
          </w:rPr>
          <w:t>20</w:t>
        </w:r>
      </w:p>
      <w:p w14:paraId="2D517F5E" w14:textId="2C4268F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73A96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B100" w14:textId="77777777" w:rsidR="0082420D" w:rsidRDefault="00824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0146" w14:textId="77777777" w:rsidR="003D67D9" w:rsidRDefault="003D67D9" w:rsidP="00F43AD5">
      <w:pPr>
        <w:spacing w:after="0" w:line="240" w:lineRule="auto"/>
      </w:pPr>
      <w:r>
        <w:separator/>
      </w:r>
    </w:p>
  </w:footnote>
  <w:footnote w:type="continuationSeparator" w:id="0">
    <w:p w14:paraId="5E07C5C1" w14:textId="77777777" w:rsidR="003D67D9" w:rsidRDefault="003D67D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CF88" w14:textId="77777777" w:rsidR="0082420D" w:rsidRDefault="0082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1633" w14:textId="408DAAAB" w:rsidR="0082420D" w:rsidRDefault="0082420D" w:rsidP="0082420D">
    <w:pPr>
      <w:pStyle w:val="Header"/>
      <w:jc w:val="right"/>
    </w:pPr>
    <w:r>
      <w:pict w14:anchorId="6BF3D3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2289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416C249" wp14:editId="37A7EF22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562531C9" w:rsidR="008A36CF" w:rsidRPr="0082420D" w:rsidRDefault="008A36CF" w:rsidP="00824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B745" w14:textId="77777777" w:rsidR="0082420D" w:rsidRDefault="008242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5727" w14:textId="613EFAC4" w:rsidR="0082420D" w:rsidRDefault="0082420D" w:rsidP="0082420D">
    <w:pPr>
      <w:pStyle w:val="Header"/>
      <w:jc w:val="right"/>
    </w:pPr>
    <w:bookmarkStart w:id="5" w:name="_GoBack"/>
    <w:r>
      <w:pict w14:anchorId="505A9B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0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bookmarkEnd w:id="5"/>
    <w:r>
      <w:rPr>
        <w:noProof/>
        <w:lang w:eastAsia="en-AU"/>
      </w:rPr>
      <w:drawing>
        <wp:inline distT="0" distB="0" distL="0" distR="0" wp14:anchorId="3F12EDFA" wp14:editId="74D317A5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824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24A9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046D"/>
    <w:rsid w:val="000B0868"/>
    <w:rsid w:val="000B3E12"/>
    <w:rsid w:val="000B3E78"/>
    <w:rsid w:val="000B7B48"/>
    <w:rsid w:val="000C096D"/>
    <w:rsid w:val="000C139A"/>
    <w:rsid w:val="000C2053"/>
    <w:rsid w:val="000C20B9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2371"/>
    <w:rsid w:val="00183823"/>
    <w:rsid w:val="00183942"/>
    <w:rsid w:val="001915F6"/>
    <w:rsid w:val="00197C61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535E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2628"/>
    <w:rsid w:val="002E0D61"/>
    <w:rsid w:val="002E4C7B"/>
    <w:rsid w:val="00301EE4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423"/>
    <w:rsid w:val="00352615"/>
    <w:rsid w:val="0035412B"/>
    <w:rsid w:val="003567A8"/>
    <w:rsid w:val="00362895"/>
    <w:rsid w:val="00370003"/>
    <w:rsid w:val="00370DBF"/>
    <w:rsid w:val="00386093"/>
    <w:rsid w:val="003904A4"/>
    <w:rsid w:val="00391841"/>
    <w:rsid w:val="00391B6D"/>
    <w:rsid w:val="00394922"/>
    <w:rsid w:val="003964B1"/>
    <w:rsid w:val="003A0E32"/>
    <w:rsid w:val="003A2B94"/>
    <w:rsid w:val="003B387D"/>
    <w:rsid w:val="003C0D58"/>
    <w:rsid w:val="003C7B1F"/>
    <w:rsid w:val="003D4FA3"/>
    <w:rsid w:val="003D67D9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6EB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0BF6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2B6B"/>
    <w:rsid w:val="005446A2"/>
    <w:rsid w:val="005446A9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0CE1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4A97"/>
    <w:rsid w:val="0082420D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3A96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2504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27D6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4851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5F18"/>
    <w:rsid w:val="00D87570"/>
    <w:rsid w:val="00D91CB9"/>
    <w:rsid w:val="00D97989"/>
    <w:rsid w:val="00D97D8D"/>
    <w:rsid w:val="00DA2234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628B"/>
    <w:rsid w:val="00E67C2F"/>
    <w:rsid w:val="00E67EF5"/>
    <w:rsid w:val="00E804EA"/>
    <w:rsid w:val="00E80A71"/>
    <w:rsid w:val="00E82337"/>
    <w:rsid w:val="00E907B5"/>
    <w:rsid w:val="00E92499"/>
    <w:rsid w:val="00E949AF"/>
    <w:rsid w:val="00E95480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61D3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77DBA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640CE1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14A97"/>
  </w:style>
  <w:style w:type="character" w:customStyle="1" w:styleId="BodyTextChar">
    <w:name w:val="Body Text Char"/>
    <w:basedOn w:val="DefaultParagraphFont"/>
    <w:link w:val="BodyText"/>
    <w:uiPriority w:val="99"/>
    <w:rsid w:val="00814A97"/>
  </w:style>
  <w:style w:type="character" w:styleId="CommentReference">
    <w:name w:val="annotation reference"/>
    <w:basedOn w:val="DefaultParagraphFont"/>
    <w:uiPriority w:val="99"/>
    <w:semiHidden/>
    <w:unhideWhenUsed/>
    <w:rsid w:val="00E66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8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8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8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DBAE2823398E456989FDC373BDC1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588C-D6BC-446A-971A-3722FD28828B}"/>
      </w:docPartPr>
      <w:docPartBody>
        <w:p w:rsidR="00BB037B" w:rsidRDefault="00745221" w:rsidP="00745221">
          <w:pPr>
            <w:pStyle w:val="DBAE2823398E456989FDC373BDC1139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B8F285C818894D179387B170C17E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912BC-8944-4F80-BC25-43D8FB62C3FB}"/>
      </w:docPartPr>
      <w:docPartBody>
        <w:p w:rsidR="00BB037B" w:rsidRDefault="00745221" w:rsidP="00745221">
          <w:pPr>
            <w:pStyle w:val="B8F285C818894D179387B170C17E0A0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A94DF4CECAD6457F8A20429FF48D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C9F0-84BF-4913-830A-3BC78D194C03}"/>
      </w:docPartPr>
      <w:docPartBody>
        <w:p w:rsidR="00BB037B" w:rsidRDefault="00745221" w:rsidP="00745221">
          <w:pPr>
            <w:pStyle w:val="A94DF4CECAD6457F8A20429FF48DB3A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C0469157C94047C494D3A885B6569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88AA-7A03-47A4-9CF3-338322B57BF0}"/>
      </w:docPartPr>
      <w:docPartBody>
        <w:p w:rsidR="00BB037B" w:rsidRDefault="00745221" w:rsidP="00745221">
          <w:pPr>
            <w:pStyle w:val="C0469157C94047C494D3A885B656956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B4045131DFD741B1AC9ECFAF7105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CD56-FD0E-46A0-A548-9A7151808B22}"/>
      </w:docPartPr>
      <w:docPartBody>
        <w:p w:rsidR="009D0D93" w:rsidRDefault="008A60DD" w:rsidP="008A60DD">
          <w:pPr>
            <w:pStyle w:val="B4045131DFD741B1AC9ECFAF710548B0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4E3502"/>
    <w:rsid w:val="00745221"/>
    <w:rsid w:val="00755FBF"/>
    <w:rsid w:val="008A60DD"/>
    <w:rsid w:val="009D0D93"/>
    <w:rsid w:val="00BB037B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D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DBAE2823398E456989FDC373BDC1139C">
    <w:name w:val="DBAE2823398E456989FDC373BDC1139C"/>
    <w:rsid w:val="00745221"/>
  </w:style>
  <w:style w:type="paragraph" w:customStyle="1" w:styleId="B8F285C818894D179387B170C17E0A0B">
    <w:name w:val="B8F285C818894D179387B170C17E0A0B"/>
    <w:rsid w:val="00745221"/>
  </w:style>
  <w:style w:type="paragraph" w:customStyle="1" w:styleId="A94DF4CECAD6457F8A20429FF48DB3AF">
    <w:name w:val="A94DF4CECAD6457F8A20429FF48DB3AF"/>
    <w:rsid w:val="00745221"/>
  </w:style>
  <w:style w:type="paragraph" w:customStyle="1" w:styleId="C0469157C94047C494D3A885B6569560">
    <w:name w:val="C0469157C94047C494D3A885B6569560"/>
    <w:rsid w:val="00745221"/>
  </w:style>
  <w:style w:type="paragraph" w:customStyle="1" w:styleId="B4045131DFD741B1AC9ECFAF710548B0">
    <w:name w:val="B4045131DFD741B1AC9ECFAF710548B0"/>
    <w:rsid w:val="008A6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226A5-C5A1-4D8E-8C1C-DCCC52F21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bf54d604-3e62-4e70-ba33-9e9084b96a66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78E1C4-E0EC-4ADD-BE59-4EEB52F4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2020-01-17T05:49:00Z</dcterms:created>
  <dcterms:modified xsi:type="dcterms:W3CDTF">2020-06-19T00:58:00Z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