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4D4B8945" w:rsidR="00BD499F" w:rsidRPr="004C23F4" w:rsidRDefault="006711FB" w:rsidP="00B40C60">
          <w:pPr>
            <w:pStyle w:val="Heading1"/>
            <w:jc w:val="center"/>
            <w:rPr>
              <w:rFonts w:ascii="Arial" w:hAnsi="Arial" w:cs="Arial"/>
            </w:rPr>
          </w:pPr>
          <w:r w:rsidRPr="006711FB">
            <w:rPr>
              <w:rFonts w:ascii="Arial" w:hAnsi="Arial" w:cs="Arial"/>
            </w:rPr>
            <w:t>Silicon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4"/>
        <w:gridCol w:w="5032"/>
      </w:tblGrid>
      <w:tr w:rsidR="00F43AD5" w:rsidRPr="004C23F4" w14:paraId="189D6E38" w14:textId="77777777" w:rsidTr="00A77A84">
        <w:trPr>
          <w:cantSplit/>
          <w:tblHeader/>
        </w:trPr>
        <w:tc>
          <w:tcPr>
            <w:tcW w:w="3994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2" w:type="dxa"/>
          </w:tcPr>
          <w:p w14:paraId="3EDBFD9E" w14:textId="2528EBFA" w:rsidR="00F43AD5" w:rsidRPr="00717D45" w:rsidRDefault="006711FB" w:rsidP="00B76A41">
            <w:pPr>
              <w:pStyle w:val="Tablefont"/>
            </w:pPr>
            <w:r w:rsidRPr="006711FB">
              <w:t>7440-21-3</w:t>
            </w:r>
          </w:p>
        </w:tc>
      </w:tr>
      <w:tr w:rsidR="00F43AD5" w:rsidRPr="004C23F4" w14:paraId="562A9F51" w14:textId="77777777" w:rsidTr="00A77A84">
        <w:trPr>
          <w:cantSplit/>
        </w:trPr>
        <w:tc>
          <w:tcPr>
            <w:tcW w:w="3994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2" w:type="dxa"/>
          </w:tcPr>
          <w:p w14:paraId="32648AB9" w14:textId="43BB38AB" w:rsidR="00F43AD5" w:rsidRPr="00717D45" w:rsidRDefault="006711FB" w:rsidP="00B76A41">
            <w:pPr>
              <w:pStyle w:val="Tablefont"/>
            </w:pPr>
            <w:r>
              <w:t>—</w:t>
            </w:r>
          </w:p>
        </w:tc>
      </w:tr>
      <w:tr w:rsidR="00F43AD5" w:rsidRPr="004C23F4" w14:paraId="6EE54A08" w14:textId="77777777" w:rsidTr="00A77A84">
        <w:trPr>
          <w:cantSplit/>
        </w:trPr>
        <w:tc>
          <w:tcPr>
            <w:tcW w:w="3994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2" w:type="dxa"/>
          </w:tcPr>
          <w:p w14:paraId="69369B00" w14:textId="231F20FE" w:rsidR="00F43AD5" w:rsidRPr="00717D45" w:rsidRDefault="006711FB" w:rsidP="00B76A41">
            <w:pPr>
              <w:pStyle w:val="Tablefont"/>
            </w:pPr>
            <w:r>
              <w:t>Si</w:t>
            </w:r>
          </w:p>
        </w:tc>
      </w:tr>
    </w:tbl>
    <w:p w14:paraId="71D72173" w14:textId="4FC3F960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6754B5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18668E19" w:rsidR="002C7AFE" w:rsidRPr="006754B5" w:rsidRDefault="006754B5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10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6A7A06F2" w:rsidR="00155999" w:rsidRPr="00EB3D1B" w:rsidRDefault="00155999" w:rsidP="00037E52">
            <w:pPr>
              <w:pStyle w:val="Tablefont"/>
              <w:rPr>
                <w:b/>
              </w:rPr>
            </w:pPr>
            <w:r w:rsidRPr="00A77A84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6754B5" w:rsidRPr="00A77A84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10AD9DAB" w:rsidR="006639B4" w:rsidRDefault="006754B5" w:rsidP="000C139A">
      <w:pPr>
        <w:rPr>
          <w:rFonts w:cs="Arial"/>
        </w:rPr>
      </w:pPr>
      <w:r>
        <w:rPr>
          <w:rFonts w:cs="Arial"/>
        </w:rPr>
        <w:t xml:space="preserve">A </w:t>
      </w:r>
      <w:r w:rsidRPr="006754B5">
        <w:rPr>
          <w:rFonts w:cs="Arial"/>
        </w:rPr>
        <w:t xml:space="preserve">TWA of </w:t>
      </w:r>
      <w:r>
        <w:rPr>
          <w:rFonts w:cs="Arial"/>
        </w:rPr>
        <w:t>10</w:t>
      </w:r>
      <w:r w:rsidRPr="006754B5">
        <w:rPr>
          <w:rFonts w:cs="Arial"/>
        </w:rPr>
        <w:t xml:space="preserve"> mg/m</w:t>
      </w:r>
      <w:r w:rsidRPr="006754B5">
        <w:rPr>
          <w:rFonts w:cs="Arial"/>
          <w:vertAlign w:val="superscript"/>
        </w:rPr>
        <w:t>3</w:t>
      </w:r>
      <w:r w:rsidRPr="006754B5">
        <w:rPr>
          <w:rFonts w:cs="Arial"/>
        </w:rPr>
        <w:t xml:space="preserve"> is </w:t>
      </w:r>
      <w:r>
        <w:rPr>
          <w:rFonts w:cs="Arial"/>
        </w:rPr>
        <w:t>recommended</w:t>
      </w:r>
      <w:r w:rsidRPr="006754B5">
        <w:rPr>
          <w:rFonts w:cs="Arial"/>
        </w:rPr>
        <w:t xml:space="preserve"> to protect for chronic respiratory conditions in exposed workers</w:t>
      </w:r>
      <w:r>
        <w:rPr>
          <w:rFonts w:cs="Arial"/>
        </w:rPr>
        <w:t>.</w:t>
      </w:r>
    </w:p>
    <w:p w14:paraId="6F867159" w14:textId="71FFAF3E" w:rsidR="006754B5" w:rsidRPr="004C23F4" w:rsidRDefault="006754B5" w:rsidP="000C139A">
      <w:pPr>
        <w:rPr>
          <w:rFonts w:cs="Arial"/>
        </w:rPr>
      </w:pPr>
      <w:r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43EE703" w14:textId="3FC890C3" w:rsidR="00BC5593" w:rsidRDefault="00701FBF" w:rsidP="006639B4">
      <w:pPr>
        <w:rPr>
          <w:rFonts w:cs="Arial"/>
        </w:rPr>
      </w:pPr>
      <w:r>
        <w:rPr>
          <w:rFonts w:cs="Arial"/>
        </w:rPr>
        <w:t xml:space="preserve">Silicon is used in the manufacture of electronics, alloys and polymers. </w:t>
      </w:r>
    </w:p>
    <w:p w14:paraId="28B80246" w14:textId="77777777" w:rsidR="00DD69FC" w:rsidRDefault="001C714D" w:rsidP="006639B4">
      <w:pPr>
        <w:rPr>
          <w:rFonts w:cs="Arial"/>
        </w:rPr>
      </w:pPr>
      <w:r>
        <w:rPr>
          <w:rFonts w:cs="Arial"/>
        </w:rPr>
        <w:t xml:space="preserve">The critical effect of exposure is chronic bronchitis. </w:t>
      </w:r>
    </w:p>
    <w:p w14:paraId="026036BC" w14:textId="59623C81" w:rsidR="001C714D" w:rsidRDefault="001C714D" w:rsidP="006639B4">
      <w:pPr>
        <w:rPr>
          <w:rFonts w:cs="Arial"/>
        </w:rPr>
      </w:pPr>
      <w:r>
        <w:rPr>
          <w:rFonts w:cs="Arial"/>
        </w:rPr>
        <w:t>The toxicological database is extremely limited. Epidemiological data indicate that critical effects are likely due to non-substance-specific effects arising from exposure to nuisance dusts (ECHA, 2020). Pulmonary pneumoconiosis is evidenced only at high acute exposures when administered as intratracheal instillations in animals (HCOTN, 2002).</w:t>
      </w:r>
    </w:p>
    <w:p w14:paraId="04520D2F" w14:textId="77777777" w:rsidR="00906B44" w:rsidRDefault="001C714D" w:rsidP="006639B4">
      <w:pPr>
        <w:rPr>
          <w:rFonts w:cs="Arial"/>
        </w:rPr>
      </w:pPr>
      <w:r>
        <w:rPr>
          <w:rFonts w:cs="Arial"/>
        </w:rPr>
        <w:t xml:space="preserve">The exposure data in the available source material are insufficient to recommend a health-based OEL (HCOTN, 2002). </w:t>
      </w:r>
      <w:r w:rsidR="006754B5">
        <w:rPr>
          <w:rFonts w:cs="Arial"/>
        </w:rPr>
        <w:t xml:space="preserve">However, epidemiological data indicate the substance </w:t>
      </w:r>
      <w:r w:rsidR="00DB53E5">
        <w:rPr>
          <w:rFonts w:cs="Arial"/>
        </w:rPr>
        <w:t>is</w:t>
      </w:r>
      <w:r w:rsidR="006754B5">
        <w:rPr>
          <w:rFonts w:cs="Arial"/>
        </w:rPr>
        <w:t xml:space="preserve"> inert under workplace conditions and effects of exposure </w:t>
      </w:r>
      <w:r w:rsidR="00DB53E5">
        <w:rPr>
          <w:rFonts w:cs="Arial"/>
        </w:rPr>
        <w:t>are</w:t>
      </w:r>
      <w:r w:rsidR="006754B5">
        <w:rPr>
          <w:rFonts w:cs="Arial"/>
        </w:rPr>
        <w:t xml:space="preserve"> attributable to nuisance dust effects.</w:t>
      </w:r>
    </w:p>
    <w:p w14:paraId="2E2A1566" w14:textId="0354EEA2" w:rsidR="001C714D" w:rsidRPr="001C714D" w:rsidRDefault="006754B5" w:rsidP="006639B4">
      <w:pPr>
        <w:rPr>
          <w:rFonts w:cs="Arial"/>
        </w:rPr>
      </w:pPr>
      <w:r>
        <w:rPr>
          <w:rFonts w:cs="Arial"/>
        </w:rPr>
        <w:t>In the absence of quantitative human or animal exposure data, t</w:t>
      </w:r>
      <w:r w:rsidR="001C714D">
        <w:rPr>
          <w:rFonts w:cs="Arial"/>
        </w:rPr>
        <w:t>he TWA of 10 mg/m</w:t>
      </w:r>
      <w:r w:rsidR="001C714D">
        <w:rPr>
          <w:rFonts w:cs="Arial"/>
          <w:vertAlign w:val="superscript"/>
        </w:rPr>
        <w:t>3</w:t>
      </w:r>
      <w:r w:rsidR="001C714D">
        <w:rPr>
          <w:rFonts w:cs="Arial"/>
        </w:rPr>
        <w:t xml:space="preserve"> is </w:t>
      </w:r>
      <w:r w:rsidR="00DB7963">
        <w:rPr>
          <w:rFonts w:cs="Arial"/>
        </w:rPr>
        <w:t xml:space="preserve">recommended </w:t>
      </w:r>
      <w:r w:rsidR="00906B44">
        <w:rPr>
          <w:rFonts w:cs="Arial"/>
        </w:rPr>
        <w:t xml:space="preserve">be retained </w:t>
      </w:r>
      <w:r w:rsidR="001C714D">
        <w:rPr>
          <w:rFonts w:cs="Arial"/>
        </w:rPr>
        <w:t>in the interim</w:t>
      </w:r>
      <w:r w:rsidR="00DB53E5">
        <w:rPr>
          <w:rFonts w:cs="Arial"/>
        </w:rPr>
        <w:t xml:space="preserve"> and</w:t>
      </w:r>
      <w:r>
        <w:rPr>
          <w:rFonts w:cs="Arial"/>
        </w:rPr>
        <w:t xml:space="preserve"> further assessment of additional source material is recommended during subsequent reviews.</w:t>
      </w:r>
    </w:p>
    <w:p w14:paraId="273B44A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7C6755E" w14:textId="77777777" w:rsidR="008E4F1F" w:rsidRPr="006754B5" w:rsidRDefault="008E4F1F" w:rsidP="008E4F1F">
      <w:pPr>
        <w:rPr>
          <w:rFonts w:cs="Arial"/>
        </w:rPr>
      </w:pPr>
      <w:r w:rsidRPr="006754B5">
        <w:rPr>
          <w:rFonts w:cs="Arial"/>
        </w:rPr>
        <w:t>Not classified as a carcinogen according to the Globally Harmonized System of</w:t>
      </w:r>
      <w:r w:rsidR="00155999" w:rsidRPr="006754B5">
        <w:rPr>
          <w:rFonts w:cs="Arial"/>
        </w:rPr>
        <w:t xml:space="preserve"> Classification and Labelling of</w:t>
      </w:r>
      <w:r w:rsidRPr="006754B5">
        <w:rPr>
          <w:rFonts w:cs="Arial"/>
        </w:rPr>
        <w:t xml:space="preserve"> Chemicals (GHS). </w:t>
      </w:r>
    </w:p>
    <w:p w14:paraId="03916CCC" w14:textId="77777777" w:rsidR="008E4F1F" w:rsidRPr="006754B5" w:rsidRDefault="008E4F1F" w:rsidP="008E4F1F">
      <w:pPr>
        <w:rPr>
          <w:rFonts w:cs="Arial"/>
        </w:rPr>
      </w:pPr>
      <w:r w:rsidRPr="006754B5">
        <w:rPr>
          <w:rFonts w:cs="Arial"/>
        </w:rPr>
        <w:t xml:space="preserve">Not classified as a skin </w:t>
      </w:r>
      <w:r w:rsidR="00155999" w:rsidRPr="006754B5">
        <w:rPr>
          <w:rFonts w:cs="Arial"/>
        </w:rPr>
        <w:t xml:space="preserve">sensitiser </w:t>
      </w:r>
      <w:r w:rsidRPr="006754B5">
        <w:rPr>
          <w:rFonts w:cs="Arial"/>
        </w:rPr>
        <w:t>or respiratory sensitiser according to the GHS.</w:t>
      </w:r>
    </w:p>
    <w:p w14:paraId="4C1F8D43" w14:textId="597AB60C" w:rsidR="005E6979" w:rsidRPr="004C23F4" w:rsidRDefault="00E41D44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>
        <w:rPr>
          <w:rFonts w:cs="Arial"/>
        </w:rPr>
        <w:t>There are i</w:t>
      </w:r>
      <w:r w:rsidR="008E4F1F" w:rsidRPr="006754B5">
        <w:rPr>
          <w:rFonts w:cs="Arial"/>
        </w:rPr>
        <w:t xml:space="preserve">nsufficient </w:t>
      </w:r>
      <w:r>
        <w:rPr>
          <w:rFonts w:cs="Arial"/>
        </w:rPr>
        <w:t>data</w:t>
      </w:r>
      <w:r w:rsidR="008E4F1F" w:rsidRPr="006754B5">
        <w:rPr>
          <w:rFonts w:cs="Arial"/>
        </w:rPr>
        <w:t xml:space="preserve"> to recommend a skin notation.</w:t>
      </w: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674CC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674CC7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07F4B12A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6711FB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6711FB">
                  <w:t>TWA: 10 mg/m</w:t>
                </w:r>
                <w:r w:rsidR="006711FB" w:rsidRPr="006711FB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6087DDB" w14:textId="77777777" w:rsidTr="00674CC7">
        <w:trPr>
          <w:gridAfter w:val="1"/>
          <w:wAfter w:w="8" w:type="pct"/>
          <w:cantSplit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674CC7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663A19D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6711F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proofErr w:type="spellStart"/>
                <w:r w:rsidR="006711FB">
                  <w:t>NA</w:t>
                </w:r>
                <w:proofErr w:type="spellEnd"/>
              </w:sdtContent>
            </w:sdt>
          </w:p>
        </w:tc>
      </w:tr>
      <w:tr w:rsidR="00C978F0" w:rsidRPr="00DA352E" w14:paraId="418D532D" w14:textId="77777777" w:rsidTr="00674CC7">
        <w:trPr>
          <w:gridAfter w:val="1"/>
          <w:wAfter w:w="8" w:type="pct"/>
          <w:cantSplit/>
        </w:trPr>
        <w:tc>
          <w:tcPr>
            <w:tcW w:w="4992" w:type="pct"/>
          </w:tcPr>
          <w:p w14:paraId="0CE4D35D" w14:textId="5634BC1E" w:rsidR="00C978F0" w:rsidRPr="00B72051" w:rsidRDefault="00B72051" w:rsidP="003365A5">
            <w:pPr>
              <w:pStyle w:val="Tabletextprimarysource"/>
            </w:pPr>
            <w:r>
              <w:t>No report; previous TLV-TWA of 10 mg/m</w:t>
            </w:r>
            <w:r>
              <w:rPr>
                <w:vertAlign w:val="superscript"/>
              </w:rPr>
              <w:t>3</w:t>
            </w:r>
            <w:r>
              <w:t xml:space="preserve"> withdrawn (HCOTN, 2002)</w:t>
            </w:r>
          </w:p>
        </w:tc>
      </w:tr>
      <w:tr w:rsidR="00C978F0" w:rsidRPr="00DA352E" w14:paraId="174F8B79" w14:textId="77777777" w:rsidTr="00674CC7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347EEE10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6711F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sdt>
                  <w:sdtPr>
                    <w:id w:val="174620389"/>
                    <w:placeholder>
                      <w:docPart w:val="009BA0A989C64FDCB4DE35ECF41F7EC0"/>
                    </w:placeholder>
                    <w:text/>
                  </w:sdtPr>
                  <w:sdtEndPr/>
                  <w:sdtContent>
                    <w:proofErr w:type="spellStart"/>
                    <w:r w:rsidR="006711FB">
                      <w:t>NA</w:t>
                    </w:r>
                    <w:proofErr w:type="spellEnd"/>
                  </w:sdtContent>
                </w:sdt>
              </w:sdtContent>
            </w:sdt>
          </w:p>
        </w:tc>
      </w:tr>
      <w:tr w:rsidR="00C978F0" w:rsidRPr="00DA352E" w14:paraId="4433014F" w14:textId="77777777" w:rsidTr="00674CC7">
        <w:trPr>
          <w:gridAfter w:val="1"/>
          <w:wAfter w:w="8" w:type="pct"/>
          <w:cantSplit/>
        </w:trPr>
        <w:tc>
          <w:tcPr>
            <w:tcW w:w="4992" w:type="pct"/>
          </w:tcPr>
          <w:p w14:paraId="61A64F09" w14:textId="074C47FD" w:rsidR="00C978F0" w:rsidRPr="00906B44" w:rsidRDefault="006711FB" w:rsidP="003365A5">
            <w:pPr>
              <w:pStyle w:val="Tabletextprimarysource"/>
            </w:pPr>
            <w:r>
              <w:t>No report</w:t>
            </w:r>
            <w:r w:rsidR="00906B44">
              <w:t>. ECHA (2020) states: “</w:t>
            </w:r>
            <w:r w:rsidR="00906B44">
              <w:rPr>
                <w:rFonts w:cs="Arial"/>
              </w:rPr>
              <w:t>DNEL based on DFG (2014) MAK for inert dust, 4 mg/m</w:t>
            </w:r>
            <w:r w:rsidR="00906B44">
              <w:rPr>
                <w:rFonts w:cs="Arial"/>
                <w:vertAlign w:val="superscript"/>
              </w:rPr>
              <w:t>3</w:t>
            </w:r>
            <w:r w:rsidR="00906B44">
              <w:rPr>
                <w:rFonts w:cs="Arial"/>
              </w:rPr>
              <w:t>”</w:t>
            </w:r>
          </w:p>
        </w:tc>
      </w:tr>
      <w:tr w:rsidR="00C978F0" w:rsidRPr="00DA352E" w14:paraId="0E6A0B2C" w14:textId="77777777" w:rsidTr="00674CC7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75EE06B0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6711F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sdt>
                  <w:sdtPr>
                    <w:id w:val="-601720245"/>
                    <w:placeholder>
                      <w:docPart w:val="97AF82B74CE1497B97108B5D9484F308"/>
                    </w:placeholder>
                    <w:text/>
                  </w:sdtPr>
                  <w:sdtEndPr/>
                  <w:sdtContent>
                    <w:proofErr w:type="spellStart"/>
                    <w:r w:rsidR="006711FB">
                      <w:t>NA</w:t>
                    </w:r>
                    <w:proofErr w:type="spellEnd"/>
                  </w:sdtContent>
                </w:sdt>
              </w:sdtContent>
            </w:sdt>
          </w:p>
        </w:tc>
      </w:tr>
      <w:tr w:rsidR="00C978F0" w:rsidRPr="00DA352E" w14:paraId="2008D281" w14:textId="77777777" w:rsidTr="00674CC7">
        <w:trPr>
          <w:gridAfter w:val="1"/>
          <w:wAfter w:w="8" w:type="pct"/>
          <w:cantSplit/>
        </w:trPr>
        <w:tc>
          <w:tcPr>
            <w:tcW w:w="4992" w:type="pct"/>
          </w:tcPr>
          <w:p w14:paraId="153B53C1" w14:textId="7B235071" w:rsidR="00C978F0" w:rsidRPr="00DA352E" w:rsidRDefault="006711FB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12BAB90D" w14:textId="77777777" w:rsidTr="00674CC7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7E634D2C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6711F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sdt>
                  <w:sdtPr>
                    <w:id w:val="882287056"/>
                    <w:placeholder>
                      <w:docPart w:val="4A8A4B0F70A94BC480ADC940A9CE32A8"/>
                    </w:placeholder>
                    <w:text/>
                  </w:sdtPr>
                  <w:sdtEndPr/>
                  <w:sdtContent>
                    <w:proofErr w:type="spellStart"/>
                    <w:r w:rsidR="006711FB">
                      <w:t>NA</w:t>
                    </w:r>
                    <w:proofErr w:type="spellEnd"/>
                  </w:sdtContent>
                </w:sdt>
              </w:sdtContent>
            </w:sdt>
          </w:p>
        </w:tc>
      </w:tr>
      <w:tr w:rsidR="00DA352E" w:rsidRPr="00DA352E" w14:paraId="33AAF4A6" w14:textId="77777777" w:rsidTr="00674CC7">
        <w:trPr>
          <w:gridAfter w:val="1"/>
          <w:wAfter w:w="8" w:type="pct"/>
          <w:cantSplit/>
        </w:trPr>
        <w:tc>
          <w:tcPr>
            <w:tcW w:w="4992" w:type="pct"/>
          </w:tcPr>
          <w:p w14:paraId="2059E4CB" w14:textId="50B517EA" w:rsidR="00DA352E" w:rsidRPr="00DA352E" w:rsidRDefault="006711FB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605F758C" w14:textId="77777777" w:rsidTr="00674CC7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08E377AF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6711FB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6711FB">
                  <w:t>TWA: 10 mg/m</w:t>
                </w:r>
                <w:r w:rsidR="006711FB" w:rsidRPr="006711FB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7050CB3E" w14:textId="77777777" w:rsidTr="00674CC7">
        <w:trPr>
          <w:gridAfter w:val="1"/>
          <w:wAfter w:w="8" w:type="pct"/>
          <w:cantSplit/>
        </w:trPr>
        <w:tc>
          <w:tcPr>
            <w:tcW w:w="4992" w:type="pct"/>
          </w:tcPr>
          <w:p w14:paraId="1EB01871" w14:textId="77777777" w:rsidR="00DA352E" w:rsidRDefault="006E4FB5" w:rsidP="003365A5">
            <w:pPr>
              <w:pStyle w:val="Tabletextprimarysource"/>
            </w:pPr>
            <w:r>
              <w:t>Summary of information:</w:t>
            </w:r>
          </w:p>
          <w:p w14:paraId="4AD3A1FE" w14:textId="40453A54" w:rsidR="003E0ED0" w:rsidRDefault="003E0ED0" w:rsidP="003365A5">
            <w:pPr>
              <w:pStyle w:val="Tabletextprimarysource"/>
            </w:pPr>
            <w:r>
              <w:t>Toxicological database is too limited to recommend a HBROEL) and there is insufficient information to comment on the suitability of the current administrative OEL.</w:t>
            </w:r>
          </w:p>
          <w:p w14:paraId="2CE8C15E" w14:textId="7380991F" w:rsidR="00B72051" w:rsidRDefault="00B72051" w:rsidP="003365A5">
            <w:pPr>
              <w:pStyle w:val="Tabletextprimarysource"/>
            </w:pPr>
            <w:r>
              <w:t>Very low likelihood of occupational exposure to elemental silicon due to its high reactivity</w:t>
            </w:r>
            <w:r w:rsidR="003E0ED0">
              <w:t>, which typically forms silica under workplace conditions. No target organ can be determined from the available animal studies</w:t>
            </w:r>
            <w:r w:rsidR="00E41D44">
              <w:t>.</w:t>
            </w:r>
          </w:p>
          <w:p w14:paraId="4D9D7F46" w14:textId="097A1E4A" w:rsidR="006E4FB5" w:rsidRDefault="006E4FB5" w:rsidP="003365A5">
            <w:pPr>
              <w:pStyle w:val="Tabletextprimarysource"/>
            </w:pPr>
            <w:r>
              <w:t>Human data:</w:t>
            </w:r>
          </w:p>
          <w:p w14:paraId="095E46E4" w14:textId="19733338" w:rsidR="006E4FB5" w:rsidRDefault="006E4FB5" w:rsidP="006E4FB5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Dose-dependent cell necrosis </w:t>
            </w:r>
            <w:r>
              <w:rPr>
                <w:i/>
              </w:rPr>
              <w:t>in vitro</w:t>
            </w:r>
            <w:r>
              <w:t xml:space="preserve"> in foetal lung cells at 50–150 µg/</w:t>
            </w:r>
            <w:proofErr w:type="spellStart"/>
            <w:r>
              <w:t>mL</w:t>
            </w:r>
            <w:r w:rsidR="00E41D44">
              <w:t>.</w:t>
            </w:r>
            <w:proofErr w:type="spellEnd"/>
          </w:p>
          <w:p w14:paraId="5A62A2C1" w14:textId="77777777" w:rsidR="006E4FB5" w:rsidRDefault="006E4FB5" w:rsidP="006E4FB5">
            <w:pPr>
              <w:pStyle w:val="Tabletextprimarysource"/>
            </w:pPr>
            <w:r>
              <w:t>Animal data:</w:t>
            </w:r>
          </w:p>
          <w:p w14:paraId="6321ACE5" w14:textId="1DA2F9A1" w:rsidR="006E4FB5" w:rsidRDefault="006E4FB5" w:rsidP="006E4FB5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Intratracheal instillation studies </w:t>
            </w:r>
            <w:r w:rsidR="00DD69FC">
              <w:t xml:space="preserve">results: </w:t>
            </w:r>
          </w:p>
          <w:p w14:paraId="71D4CF3C" w14:textId="2C00F623" w:rsidR="006E4FB5" w:rsidRDefault="006E4FB5" w:rsidP="00E41D44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 xml:space="preserve">pulmonary pneumoconiosis at 50 mg (rats); nodules in lungs after 3 </w:t>
            </w:r>
            <w:proofErr w:type="spellStart"/>
            <w:r>
              <w:t>mo</w:t>
            </w:r>
            <w:proofErr w:type="spellEnd"/>
            <w:r>
              <w:t xml:space="preserve">, increased lung weight, formation of dust foci and bronchitis after 12 </w:t>
            </w:r>
            <w:proofErr w:type="spellStart"/>
            <w:r>
              <w:t>mo</w:t>
            </w:r>
            <w:proofErr w:type="spellEnd"/>
          </w:p>
          <w:p w14:paraId="43C3AD16" w14:textId="29D19933" w:rsidR="006E4FB5" w:rsidRDefault="006E4FB5" w:rsidP="00E41D44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 xml:space="preserve">slight pulmonary epithelial lesions after 12 </w:t>
            </w:r>
            <w:proofErr w:type="spellStart"/>
            <w:r>
              <w:t>mo</w:t>
            </w:r>
            <w:proofErr w:type="spellEnd"/>
            <w:r>
              <w:t xml:space="preserve"> at 25 mg (rabbits)</w:t>
            </w:r>
          </w:p>
          <w:p w14:paraId="7D0700BE" w14:textId="77777777" w:rsidR="006E4FB5" w:rsidRDefault="006E4FB5" w:rsidP="00E41D44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toxicity of silicon dust considered lower than that of quartz dust</w:t>
            </w:r>
          </w:p>
          <w:p w14:paraId="73674F6A" w14:textId="4F63BE3C" w:rsidR="006E4FB5" w:rsidRDefault="006E4FB5" w:rsidP="006E4FB5">
            <w:pPr>
              <w:pStyle w:val="Tabletextprimarysource"/>
              <w:numPr>
                <w:ilvl w:val="0"/>
                <w:numId w:val="1"/>
              </w:numPr>
            </w:pPr>
            <w:r>
              <w:t>Increased levels of glycogen and decreased lactate levels in cornea at 1.55 mg/m</w:t>
            </w:r>
            <w:r>
              <w:rPr>
                <w:vertAlign w:val="superscript"/>
              </w:rPr>
              <w:t>3</w:t>
            </w:r>
            <w:r>
              <w:t xml:space="preserve"> and 7 </w:t>
            </w:r>
            <w:proofErr w:type="spellStart"/>
            <w:r>
              <w:t>cal</w:t>
            </w:r>
            <w:proofErr w:type="spellEnd"/>
            <w:r>
              <w:t>/cm</w:t>
            </w:r>
            <w:r>
              <w:rPr>
                <w:vertAlign w:val="superscript"/>
              </w:rPr>
              <w:t>2</w:t>
            </w:r>
            <w:r>
              <w:t xml:space="preserve"> of radiant heat </w:t>
            </w:r>
            <w:r w:rsidR="00DD69FC">
              <w:t>(</w:t>
            </w:r>
            <w:r w:rsidR="00DD69FC">
              <w:rPr>
                <w:rFonts w:cs="Arial"/>
                <w:color w:val="222222"/>
                <w:shd w:val="clear" w:color="auto" w:fill="FFFFFF"/>
              </w:rPr>
              <w:t>Arc Thermal Performance Value (ATPV)</w:t>
            </w:r>
            <w:r w:rsidR="00DD69FC">
              <w:t xml:space="preserve">) </w:t>
            </w:r>
            <w:r>
              <w:t xml:space="preserve">(rats, 2–8 </w:t>
            </w:r>
            <w:proofErr w:type="spellStart"/>
            <w:r>
              <w:t>mo</w:t>
            </w:r>
            <w:proofErr w:type="spellEnd"/>
            <w:r>
              <w:t>, no further information provided)</w:t>
            </w:r>
          </w:p>
          <w:p w14:paraId="1B5EFEC5" w14:textId="56D8DA37" w:rsidR="006E4FB5" w:rsidRDefault="001C7BEC" w:rsidP="006E4FB5">
            <w:pPr>
              <w:pStyle w:val="Tabletextprimarysource"/>
              <w:numPr>
                <w:ilvl w:val="0"/>
                <w:numId w:val="1"/>
              </w:numPr>
            </w:pPr>
            <w:r>
              <w:t>No signs of toxicity at 100–200 mg/animal in long-term repeat injection study (rats, guinea pigs, no further details on duration and administration route provided); cited article notes cellular changes typical of inert responses (no further information provided)</w:t>
            </w:r>
          </w:p>
          <w:p w14:paraId="7D19BF2C" w14:textId="77777777" w:rsidR="00B72051" w:rsidRDefault="00B72051" w:rsidP="006E4FB5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Increased lipid peroxidation in lung and liver and blood albumin modification following intratracheal instillation of 50 mg of welding dust containing 2–20% Si and other elements (rats); haematological and metabolic changes (not specified) in cardiac respiratory system at 12.5 mg/kg/d of dust (rats, 1 </w:t>
            </w:r>
            <w:proofErr w:type="spellStart"/>
            <w:r>
              <w:t>mo</w:t>
            </w:r>
            <w:proofErr w:type="spellEnd"/>
            <w:r>
              <w:t>)</w:t>
            </w:r>
          </w:p>
          <w:p w14:paraId="0115112B" w14:textId="1477B3F7" w:rsidR="001C7BEC" w:rsidRDefault="00B72051">
            <w:pPr>
              <w:pStyle w:val="Tabletextprimarysource"/>
              <w:numPr>
                <w:ilvl w:val="0"/>
                <w:numId w:val="1"/>
              </w:numPr>
            </w:pPr>
            <w:r>
              <w:t>No ADME, mutagenicity or carcinogenicity data available for assessment</w:t>
            </w:r>
            <w:r w:rsidR="00E41D44">
              <w:t>.</w:t>
            </w:r>
          </w:p>
          <w:p w14:paraId="492D7791" w14:textId="4D9FA8A1" w:rsidR="00E41521" w:rsidRPr="00DA352E" w:rsidRDefault="00E41521" w:rsidP="00A77A84">
            <w:pPr>
              <w:pStyle w:val="Tabletextprimarysource"/>
            </w:pPr>
          </w:p>
        </w:tc>
      </w:tr>
    </w:tbl>
    <w:p w14:paraId="2D10F10D" w14:textId="77777777" w:rsidR="00E41D44" w:rsidRDefault="00E41D44" w:rsidP="003365A5">
      <w:pPr>
        <w:pStyle w:val="Heading3"/>
      </w:pPr>
      <w:bookmarkStart w:id="0" w:name="SecondSource"/>
    </w:p>
    <w:p w14:paraId="6691F3FF" w14:textId="20385B3D" w:rsidR="00A20751" w:rsidRPr="004C23F4" w:rsidRDefault="00A20751" w:rsidP="003365A5">
      <w:pPr>
        <w:pStyle w:val="Heading3"/>
      </w:pPr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87"/>
        <w:gridCol w:w="421"/>
        <w:gridCol w:w="661"/>
        <w:gridCol w:w="6457"/>
      </w:tblGrid>
      <w:tr w:rsidR="004966BF" w:rsidRPr="00263255" w14:paraId="6AE89AB3" w14:textId="77777777" w:rsidTr="00674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7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7214C13" w14:textId="77777777" w:rsidTr="00674CC7">
        <w:trPr>
          <w:cantSplit/>
        </w:trPr>
        <w:tc>
          <w:tcPr>
            <w:tcW w:w="1487" w:type="dxa"/>
          </w:tcPr>
          <w:p w14:paraId="4B3B2A83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1" w:type="dxa"/>
          </w:tcPr>
          <w:p w14:paraId="37DAB09E" w14:textId="118BBB83" w:rsidR="004966BF" w:rsidRPr="00CE617F" w:rsidRDefault="00674CC7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D460B">
                  <w:rPr>
                    <w:rStyle w:val="checkbox"/>
                  </w:rPr>
                  <w:t></w:t>
                </w:r>
              </w:sdtContent>
            </w:sdt>
          </w:p>
        </w:tc>
        <w:tc>
          <w:tcPr>
            <w:tcW w:w="661" w:type="dxa"/>
          </w:tcPr>
          <w:p w14:paraId="5BB66CBF" w14:textId="51354EB5" w:rsidR="004966BF" w:rsidRPr="004C23F4" w:rsidRDefault="00BA6744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2018</w:t>
            </w:r>
          </w:p>
        </w:tc>
        <w:tc>
          <w:tcPr>
            <w:tcW w:w="6457" w:type="dxa"/>
          </w:tcPr>
          <w:p w14:paraId="0076C2F1" w14:textId="654525B9" w:rsidR="004966BF" w:rsidRPr="004C23F4" w:rsidRDefault="00BA6744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Tier I: no assessment</w:t>
            </w:r>
            <w:r w:rsidR="00FD3D46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61B5CF9D" w14:textId="77777777" w:rsidTr="00674CC7">
        <w:trPr>
          <w:cantSplit/>
        </w:trPr>
        <w:tc>
          <w:tcPr>
            <w:tcW w:w="1487" w:type="dxa"/>
          </w:tcPr>
          <w:p w14:paraId="3021C8F4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1" w:type="dxa"/>
          </w:tcPr>
          <w:p w14:paraId="1B271840" w14:textId="708352C2" w:rsidR="004966BF" w:rsidRPr="00CE617F" w:rsidRDefault="00674CC7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140C2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5DA2066" w14:textId="5B1D2748" w:rsidR="004966BF" w:rsidRPr="004C23F4" w:rsidRDefault="00140C26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2020</w:t>
            </w:r>
          </w:p>
        </w:tc>
        <w:tc>
          <w:tcPr>
            <w:tcW w:w="6457" w:type="dxa"/>
          </w:tcPr>
          <w:p w14:paraId="1B6A1E73" w14:textId="5D58C6F4" w:rsidR="00140C26" w:rsidRDefault="00140C26" w:rsidP="00140C26">
            <w:pPr>
              <w:pStyle w:val="Tablefont"/>
              <w:numPr>
                <w:ilvl w:val="0"/>
                <w:numId w:val="1"/>
              </w:numPr>
              <w:rPr>
                <w:rFonts w:cs="Arial"/>
              </w:rPr>
            </w:pPr>
            <w:r w:rsidRPr="00140C26">
              <w:rPr>
                <w:rFonts w:cs="Arial"/>
              </w:rPr>
              <w:t>No su</w:t>
            </w:r>
            <w:r>
              <w:rPr>
                <w:rFonts w:cs="Arial"/>
              </w:rPr>
              <w:t>bstance-specific repeat inhalation data available, DNEL based on DFG (2014) MAK for inert dust, 4 mg/m</w:t>
            </w:r>
            <w:r>
              <w:rPr>
                <w:rFonts w:cs="Arial"/>
                <w:vertAlign w:val="superscript"/>
              </w:rPr>
              <w:t>3</w:t>
            </w:r>
          </w:p>
          <w:p w14:paraId="42FA9896" w14:textId="6E16C2AC" w:rsidR="00140C26" w:rsidRDefault="00140C26" w:rsidP="00140C26">
            <w:pPr>
              <w:pStyle w:val="Tablefont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Epidemiological study of silicon/ferrosilicon manufacturing industry showed exposure is associated with increased risk of chronic bronchitis, consistent with exposure to other inert dusts</w:t>
            </w:r>
            <w:r w:rsidR="001C714D">
              <w:rPr>
                <w:rFonts w:cs="Arial"/>
              </w:rPr>
              <w:t>, but no excess mortality from cancer or respiratory diseases</w:t>
            </w:r>
            <w:r w:rsidR="00F97844">
              <w:rPr>
                <w:rFonts w:cs="Arial"/>
              </w:rPr>
              <w:t>:</w:t>
            </w:r>
          </w:p>
          <w:p w14:paraId="5C19B807" w14:textId="53C5C5E1" w:rsidR="00FA07B0" w:rsidRPr="009D460B" w:rsidRDefault="009D460B" w:rsidP="00E41D44">
            <w:pPr>
              <w:pStyle w:val="Tablefont"/>
              <w:numPr>
                <w:ilvl w:val="1"/>
                <w:numId w:val="1"/>
              </w:numPr>
              <w:ind w:left="1158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t>study limited due to mixed exposures to other compounds present in dust in such manufacturing conditions</w:t>
            </w:r>
            <w:r w:rsidR="00FD3D46">
              <w:rPr>
                <w:rFonts w:cs="Arial"/>
              </w:rPr>
              <w:t>.</w:t>
            </w:r>
          </w:p>
        </w:tc>
        <w:bookmarkStart w:id="1" w:name="_GoBack"/>
        <w:bookmarkEnd w:id="1"/>
      </w:tr>
    </w:tbl>
    <w:bookmarkEnd w:id="0"/>
    <w:p w14:paraId="04408E2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28EBB70" w14:textId="77777777" w:rsidTr="009D460B">
        <w:trPr>
          <w:trHeight w:val="454"/>
          <w:tblHeader/>
        </w:trPr>
        <w:tc>
          <w:tcPr>
            <w:tcW w:w="6597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B8F4675" w14:textId="0E78C134" w:rsidR="002E0D61" w:rsidRDefault="009D460B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618A4C0" w14:textId="77777777" w:rsidTr="009D460B">
        <w:trPr>
          <w:trHeight w:val="454"/>
        </w:trPr>
        <w:tc>
          <w:tcPr>
            <w:tcW w:w="6597" w:type="dxa"/>
            <w:vAlign w:val="center"/>
          </w:tcPr>
          <w:p w14:paraId="28B995B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2B1B278" w14:textId="5391568B" w:rsidR="008A36CF" w:rsidRDefault="009D460B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E41521" w14:paraId="4D6DDFA3" w14:textId="77777777" w:rsidTr="00861963">
        <w:trPr>
          <w:trHeight w:val="454"/>
        </w:trPr>
        <w:sdt>
          <w:sdtPr>
            <w:rPr>
              <w:b/>
            </w:rPr>
            <w:id w:val="1830936485"/>
            <w:placeholder>
              <w:docPart w:val="76AC033EE6284C2BBA4FDC101EB79706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18F36B73" w14:textId="5AC21046" w:rsidR="00E41521" w:rsidRDefault="00E41521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2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674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674CC7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1B645CF5" w:rsidR="00687890" w:rsidRPr="00DD2F9B" w:rsidRDefault="006711FB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2A0C13EF" w14:textId="77777777" w:rsidTr="00674CC7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47DF3137" w:rsidR="007925F0" w:rsidRPr="00DD2F9B" w:rsidRDefault="006711FB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C1044B3" w14:textId="77777777" w:rsidTr="00674CC7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2B244F19" w:rsidR="00AF483F" w:rsidRPr="00DD2F9B" w:rsidRDefault="006711FB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812F0EC" w14:textId="77777777" w:rsidTr="00674CC7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7358FF9D" w:rsidR="00687890" w:rsidRPr="00DD2F9B" w:rsidRDefault="006711FB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674CC7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4B760034" w:rsidR="00E41A26" w:rsidRPr="00DD2F9B" w:rsidRDefault="009D460B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7A490EF" w14:textId="77777777" w:rsidTr="00674CC7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3E9C03F7" w:rsidR="002E0D61" w:rsidRPr="00DD2F9B" w:rsidRDefault="006711F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3FA3590" w14:textId="77777777" w:rsidTr="00674CC7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14DBFB64" w:rsidR="002E0D61" w:rsidRPr="00DD2F9B" w:rsidRDefault="006711F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AC7B866" w14:textId="77777777" w:rsidTr="00674CC7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7C34087C" w:rsidR="002E0D61" w:rsidRPr="00DD2F9B" w:rsidRDefault="006711F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674CC7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69302F49" w:rsidR="002E0D61" w:rsidRPr="00DD2F9B" w:rsidRDefault="006711FB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5F6A6A8E" w14:textId="77777777" w:rsidTr="00674CC7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4E102CE2" w:rsidR="00386093" w:rsidRPr="00DD2F9B" w:rsidRDefault="006711FB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61DB0E" w14:textId="77777777" w:rsidTr="00674CC7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10CDB68C" w:rsidR="00386093" w:rsidRPr="00DD2F9B" w:rsidRDefault="006711FB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329D664C" w14:textId="19579561" w:rsidR="00932DCE" w:rsidRPr="004C23F4" w:rsidRDefault="001A733A" w:rsidP="00F9496B">
            <w:pPr>
              <w:pStyle w:val="Tablefont"/>
            </w:pPr>
            <w:r>
              <w:t>Insufficient data to assign a skin notation</w:t>
            </w:r>
            <w:r w:rsidR="00E41521">
              <w:t>.</w:t>
            </w:r>
          </w:p>
        </w:tc>
      </w:tr>
    </w:tbl>
    <w:bookmarkEnd w:id="4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4B0FD8FB" w:rsidR="00EB3D1B" w:rsidRDefault="006711FB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2A4595A3" w:rsidR="001B79E5" w:rsidRDefault="0052016E" w:rsidP="001B79E5">
                <w:pPr>
                  <w:pStyle w:val="Tablefont"/>
                </w:pPr>
                <w:r>
                  <w:t>28.0855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674CC7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28EAA9C1" w14:textId="2B892C19" w:rsidR="008E4F1F" w:rsidRDefault="008E4F1F" w:rsidP="008E4F1F">
      <w:pPr>
        <w:rPr>
          <w:b/>
        </w:rPr>
      </w:pPr>
      <w:r w:rsidRPr="002022B6">
        <w:t>Health Council of the Netherlands</w:t>
      </w:r>
      <w:r>
        <w:t xml:space="preserve"> (HCOTN) (</w:t>
      </w:r>
      <w:r w:rsidR="006711FB" w:rsidRPr="006711FB">
        <w:t>2002</w:t>
      </w:r>
      <w:r>
        <w:t xml:space="preserve">) </w:t>
      </w:r>
      <w:r w:rsidR="006711FB" w:rsidRPr="006711FB">
        <w:t>Silicon</w:t>
      </w:r>
      <w:r w:rsidRPr="005F7416">
        <w:t xml:space="preserve">. Health-based calculated occupational cancer risk values. The Hague: Health Council of the Netherlands; publication no. </w:t>
      </w:r>
      <w:r w:rsidR="0065294A" w:rsidRPr="0065294A">
        <w:t>2000/15OSH/054</w:t>
      </w:r>
      <w:r>
        <w:t>.</w:t>
      </w:r>
    </w:p>
    <w:p w14:paraId="417B0753" w14:textId="5D45A487" w:rsidR="008E4F1F" w:rsidRPr="00351FE0" w:rsidRDefault="001A733A" w:rsidP="00084859">
      <w:r>
        <w:t>European Chemicals Agency (ECHA) (2020) Silicon – REACH Assessment</w:t>
      </w:r>
      <w:r w:rsidR="00FD3D46">
        <w:t>.</w:t>
      </w:r>
    </w:p>
    <w:sectPr w:rsidR="008E4F1F" w:rsidRPr="00351FE0" w:rsidSect="00B87D4C">
      <w:headerReference w:type="default" r:id="rId17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34D56" w16cex:dateUtc="2020-03-23T06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15EA0" w14:textId="77777777" w:rsidR="00C45451" w:rsidRDefault="00C45451" w:rsidP="00F43AD5">
      <w:pPr>
        <w:spacing w:after="0" w:line="240" w:lineRule="auto"/>
      </w:pPr>
      <w:r>
        <w:separator/>
      </w:r>
    </w:p>
  </w:endnote>
  <w:endnote w:type="continuationSeparator" w:id="0">
    <w:p w14:paraId="49FA4F93" w14:textId="77777777" w:rsidR="00C45451" w:rsidRDefault="00C45451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9114" w14:textId="77777777" w:rsidR="00393160" w:rsidRDefault="00393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38C8A31A" w:rsidR="008A36CF" w:rsidRDefault="006711FB" w:rsidP="0034744C">
        <w:pPr>
          <w:pStyle w:val="Footer"/>
          <w:rPr>
            <w:sz w:val="18"/>
            <w:szCs w:val="18"/>
          </w:rPr>
        </w:pPr>
        <w:r w:rsidRPr="006711FB">
          <w:rPr>
            <w:b/>
            <w:sz w:val="18"/>
            <w:szCs w:val="18"/>
          </w:rPr>
          <w:t xml:space="preserve">Silicon </w:t>
        </w:r>
        <w:r w:rsidR="008A36CF">
          <w:rPr>
            <w:b/>
            <w:sz w:val="18"/>
            <w:szCs w:val="18"/>
          </w:rPr>
          <w:t>(</w:t>
        </w:r>
        <w:r w:rsidRPr="006711FB">
          <w:rPr>
            <w:b/>
            <w:sz w:val="18"/>
            <w:szCs w:val="18"/>
          </w:rPr>
          <w:t>7440-21-3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</w:t>
        </w:r>
        <w:r w:rsidR="00140C26">
          <w:rPr>
            <w:sz w:val="18"/>
            <w:szCs w:val="18"/>
          </w:rPr>
          <w:t>2020</w:t>
        </w:r>
      </w:p>
      <w:p w14:paraId="2D517F5E" w14:textId="2DFA7C71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DB7963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C7991" w14:textId="77777777" w:rsidR="00393160" w:rsidRDefault="00393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00743" w14:textId="77777777" w:rsidR="00C45451" w:rsidRDefault="00C45451" w:rsidP="00F43AD5">
      <w:pPr>
        <w:spacing w:after="0" w:line="240" w:lineRule="auto"/>
      </w:pPr>
      <w:r>
        <w:separator/>
      </w:r>
    </w:p>
  </w:footnote>
  <w:footnote w:type="continuationSeparator" w:id="0">
    <w:p w14:paraId="13712268" w14:textId="77777777" w:rsidR="00C45451" w:rsidRDefault="00C45451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43F98" w14:textId="77777777" w:rsidR="00393160" w:rsidRDefault="00393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8792" w14:textId="3B6DE198" w:rsidR="008A36CF" w:rsidRPr="00393160" w:rsidRDefault="00393160" w:rsidP="00393160">
    <w:pPr>
      <w:pStyle w:val="Header"/>
      <w:jc w:val="right"/>
    </w:pPr>
    <w:r>
      <w:pict w14:anchorId="066A6D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3C092067" wp14:editId="0F895F3F">
          <wp:extent cx="2943225" cy="600075"/>
          <wp:effectExtent l="0" t="0" r="9525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52E54" w14:textId="77777777" w:rsidR="00393160" w:rsidRDefault="0039316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1D4C9" w14:textId="4F0FC2AB" w:rsidR="00393160" w:rsidRDefault="00393160" w:rsidP="00393160">
    <w:pPr>
      <w:pStyle w:val="Header"/>
      <w:jc w:val="right"/>
    </w:pPr>
    <w:r>
      <w:pict w14:anchorId="70B862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6CA5516E" wp14:editId="751F5BC0">
          <wp:extent cx="2943225" cy="600075"/>
          <wp:effectExtent l="0" t="0" r="9525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8A36CF" w:rsidRDefault="008A36CF" w:rsidP="00393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E145A"/>
    <w:multiLevelType w:val="hybridMultilevel"/>
    <w:tmpl w:val="45066382"/>
    <w:lvl w:ilvl="0" w:tplc="1F9881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58"/>
    <w:rsid w:val="000B3E78"/>
    <w:rsid w:val="000B7B48"/>
    <w:rsid w:val="000C096D"/>
    <w:rsid w:val="000C139A"/>
    <w:rsid w:val="000C2053"/>
    <w:rsid w:val="000C248C"/>
    <w:rsid w:val="000D0643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C26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A733A"/>
    <w:rsid w:val="001B79E5"/>
    <w:rsid w:val="001C714D"/>
    <w:rsid w:val="001C7BEC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56862"/>
    <w:rsid w:val="00362895"/>
    <w:rsid w:val="00370DBF"/>
    <w:rsid w:val="00386093"/>
    <w:rsid w:val="003904A4"/>
    <w:rsid w:val="00391841"/>
    <w:rsid w:val="00391B6D"/>
    <w:rsid w:val="00393160"/>
    <w:rsid w:val="00394922"/>
    <w:rsid w:val="003A0E32"/>
    <w:rsid w:val="003A2B94"/>
    <w:rsid w:val="003B387D"/>
    <w:rsid w:val="003C0D58"/>
    <w:rsid w:val="003D4FA3"/>
    <w:rsid w:val="003E0807"/>
    <w:rsid w:val="003E0ED0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016E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294A"/>
    <w:rsid w:val="006532ED"/>
    <w:rsid w:val="006549F2"/>
    <w:rsid w:val="006567B7"/>
    <w:rsid w:val="00657BFB"/>
    <w:rsid w:val="0066333C"/>
    <w:rsid w:val="006639B4"/>
    <w:rsid w:val="006650FE"/>
    <w:rsid w:val="006711FB"/>
    <w:rsid w:val="0067305D"/>
    <w:rsid w:val="006730D0"/>
    <w:rsid w:val="00674CC7"/>
    <w:rsid w:val="006754B5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4FB5"/>
    <w:rsid w:val="006E5D05"/>
    <w:rsid w:val="00701053"/>
    <w:rsid w:val="00701507"/>
    <w:rsid w:val="00701FBF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0B4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900951"/>
    <w:rsid w:val="00906B44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D460B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77A84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2051"/>
    <w:rsid w:val="00B76A41"/>
    <w:rsid w:val="00B87D4C"/>
    <w:rsid w:val="00B93646"/>
    <w:rsid w:val="00BA0B38"/>
    <w:rsid w:val="00BA1DBB"/>
    <w:rsid w:val="00BA4510"/>
    <w:rsid w:val="00BA529A"/>
    <w:rsid w:val="00BA6744"/>
    <w:rsid w:val="00BB612A"/>
    <w:rsid w:val="00BC5593"/>
    <w:rsid w:val="00BD499F"/>
    <w:rsid w:val="00BD56DE"/>
    <w:rsid w:val="00BF2406"/>
    <w:rsid w:val="00C06E43"/>
    <w:rsid w:val="00C16315"/>
    <w:rsid w:val="00C3091E"/>
    <w:rsid w:val="00C40FF1"/>
    <w:rsid w:val="00C419E2"/>
    <w:rsid w:val="00C45451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B53E5"/>
    <w:rsid w:val="00DB7963"/>
    <w:rsid w:val="00DC7694"/>
    <w:rsid w:val="00DC7D22"/>
    <w:rsid w:val="00DD1BF6"/>
    <w:rsid w:val="00DD2F9B"/>
    <w:rsid w:val="00DD69FC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521"/>
    <w:rsid w:val="00E41A26"/>
    <w:rsid w:val="00E41D44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57DA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97844"/>
    <w:rsid w:val="00FA06A8"/>
    <w:rsid w:val="00FA07B0"/>
    <w:rsid w:val="00FA3DF5"/>
    <w:rsid w:val="00FA741F"/>
    <w:rsid w:val="00FB4E07"/>
    <w:rsid w:val="00FB755A"/>
    <w:rsid w:val="00FC60A2"/>
    <w:rsid w:val="00FD1871"/>
    <w:rsid w:val="00FD3110"/>
    <w:rsid w:val="00FD3D46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D60341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75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4B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4B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9F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09BA0A989C64FDCB4DE35ECF41F7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1F269-090D-4ED0-A8D0-C3C55CD4E28A}"/>
      </w:docPartPr>
      <w:docPartBody>
        <w:p w:rsidR="00DE24EA" w:rsidRDefault="00104A09" w:rsidP="00104A09">
          <w:pPr>
            <w:pStyle w:val="009BA0A989C64FDCB4DE35ECF41F7EC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7AF82B74CE1497B97108B5D9484F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A59B5-70AB-44BC-BC4D-86C890455D6D}"/>
      </w:docPartPr>
      <w:docPartBody>
        <w:p w:rsidR="00DE24EA" w:rsidRDefault="00104A09" w:rsidP="00104A09">
          <w:pPr>
            <w:pStyle w:val="97AF82B74CE1497B97108B5D9484F308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4A8A4B0F70A94BC480ADC940A9CE3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8C66E-53D4-4B87-96A1-600BBD3FFDA2}"/>
      </w:docPartPr>
      <w:docPartBody>
        <w:p w:rsidR="00DE24EA" w:rsidRDefault="00104A09" w:rsidP="00104A09">
          <w:pPr>
            <w:pStyle w:val="4A8A4B0F70A94BC480ADC940A9CE32A8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76AC033EE6284C2BBA4FDC101EB79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78763-A34C-41CF-A34A-34463C9D65FC}"/>
      </w:docPartPr>
      <w:docPartBody>
        <w:p w:rsidR="00DF62C3" w:rsidRDefault="006E43FA" w:rsidP="006E43FA">
          <w:pPr>
            <w:pStyle w:val="76AC033EE6284C2BBA4FDC101EB79706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04A09"/>
    <w:rsid w:val="00110D93"/>
    <w:rsid w:val="00347D16"/>
    <w:rsid w:val="003E0149"/>
    <w:rsid w:val="006E43FA"/>
    <w:rsid w:val="00755FBF"/>
    <w:rsid w:val="00A52887"/>
    <w:rsid w:val="00CA72D3"/>
    <w:rsid w:val="00D21A9F"/>
    <w:rsid w:val="00DE24EA"/>
    <w:rsid w:val="00D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43FA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009BA0A989C64FDCB4DE35ECF41F7EC0">
    <w:name w:val="009BA0A989C64FDCB4DE35ECF41F7EC0"/>
    <w:rsid w:val="00104A09"/>
  </w:style>
  <w:style w:type="paragraph" w:customStyle="1" w:styleId="97AF82B74CE1497B97108B5D9484F308">
    <w:name w:val="97AF82B74CE1497B97108B5D9484F308"/>
    <w:rsid w:val="00104A09"/>
  </w:style>
  <w:style w:type="paragraph" w:customStyle="1" w:styleId="4A8A4B0F70A94BC480ADC940A9CE32A8">
    <w:name w:val="4A8A4B0F70A94BC480ADC940A9CE32A8"/>
    <w:rsid w:val="00104A09"/>
  </w:style>
  <w:style w:type="paragraph" w:customStyle="1" w:styleId="76AC033EE6284C2BBA4FDC101EB79706">
    <w:name w:val="76AC033EE6284C2BBA4FDC101EB79706"/>
    <w:rsid w:val="006E43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dcmitype/"/>
    <ds:schemaRef ds:uri="http://schemas.microsoft.com/office/2006/metadata/properties"/>
    <ds:schemaRef ds:uri="bf54d604-3e62-4e70-ba33-9e9084b96a66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8B072130-A41E-4B63-93AB-45F3E13CF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0CF97B-E10A-453D-ACAD-6C46EDC1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13</cp:revision>
  <cp:lastPrinted>2018-10-22T22:41:00Z</cp:lastPrinted>
  <dcterms:created xsi:type="dcterms:W3CDTF">2020-01-22T22:11:00Z</dcterms:created>
  <dcterms:modified xsi:type="dcterms:W3CDTF">2020-06-19T00:37:00Z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