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9037553" w:rsidR="00BD499F" w:rsidRPr="004C23F4" w:rsidRDefault="009A7ACF" w:rsidP="00B40C60">
          <w:pPr>
            <w:pStyle w:val="Heading1"/>
            <w:jc w:val="center"/>
            <w:rPr>
              <w:rFonts w:ascii="Arial" w:hAnsi="Arial" w:cs="Arial"/>
            </w:rPr>
          </w:pPr>
          <w:r w:rsidRPr="009A7ACF">
            <w:rPr>
              <w:rFonts w:ascii="Arial" w:hAnsi="Arial" w:cs="Arial"/>
            </w:rPr>
            <w:t>Silicon tetrahydride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189D6E38" w14:textId="77777777" w:rsidTr="0009684F">
        <w:trPr>
          <w:cantSplit/>
          <w:tblHeader/>
        </w:trPr>
        <w:tc>
          <w:tcPr>
            <w:tcW w:w="398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3EDBFD9E" w14:textId="70DA9FFD" w:rsidR="00F43AD5" w:rsidRPr="00717D45" w:rsidRDefault="00796707" w:rsidP="00B76A41">
            <w:pPr>
              <w:pStyle w:val="Tablefont"/>
            </w:pPr>
            <w:r w:rsidRPr="00796707">
              <w:t>7803-62-5</w:t>
            </w:r>
          </w:p>
        </w:tc>
      </w:tr>
      <w:tr w:rsidR="00F43AD5" w:rsidRPr="004C23F4" w14:paraId="562A9F51" w14:textId="77777777" w:rsidTr="0009684F">
        <w:trPr>
          <w:cantSplit/>
        </w:trPr>
        <w:tc>
          <w:tcPr>
            <w:tcW w:w="398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32648AB9" w14:textId="78F88656" w:rsidR="00F43AD5" w:rsidRPr="00717D45" w:rsidRDefault="00796707" w:rsidP="00B76A41">
            <w:pPr>
              <w:pStyle w:val="Tablefont"/>
            </w:pPr>
            <w:r>
              <w:t>Silane, monosilane</w:t>
            </w:r>
          </w:p>
        </w:tc>
      </w:tr>
      <w:tr w:rsidR="00F43AD5" w:rsidRPr="004C23F4" w14:paraId="6EE54A08" w14:textId="77777777" w:rsidTr="0009684F">
        <w:trPr>
          <w:cantSplit/>
        </w:trPr>
        <w:tc>
          <w:tcPr>
            <w:tcW w:w="398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14:paraId="69369B00" w14:textId="3889B412" w:rsidR="00F43AD5" w:rsidRPr="00717D45" w:rsidRDefault="00796707" w:rsidP="00B76A41">
            <w:pPr>
              <w:pStyle w:val="Tablefont"/>
            </w:pPr>
            <w:r>
              <w:t>SiH</w:t>
            </w:r>
            <w:r w:rsidRPr="00796707">
              <w:rPr>
                <w:vertAlign w:val="subscript"/>
              </w:rPr>
              <w:t>4</w:t>
            </w:r>
          </w:p>
        </w:tc>
      </w:tr>
    </w:tbl>
    <w:p w14:paraId="71D72173" w14:textId="72FC7B4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718B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3A85256B" w:rsidR="002C7AFE" w:rsidRPr="00EB3D1B" w:rsidRDefault="007718B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ppm</w:t>
            </w:r>
            <w:r w:rsidR="00867012">
              <w:rPr>
                <w:b/>
              </w:rPr>
              <w:t xml:space="preserve"> (6.6 mg/m</w:t>
            </w:r>
            <w:r w:rsidR="00867012" w:rsidRPr="00867012">
              <w:rPr>
                <w:b/>
                <w:vertAlign w:val="superscript"/>
              </w:rPr>
              <w:t>3</w:t>
            </w:r>
            <w:r w:rsidR="00867012"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78C1C1A3" w:rsidR="00155999" w:rsidRPr="00EB3D1B" w:rsidRDefault="00155999" w:rsidP="00037E52">
            <w:pPr>
              <w:pStyle w:val="Tablefont"/>
              <w:rPr>
                <w:b/>
              </w:rPr>
            </w:pPr>
            <w:r w:rsidRPr="0009684F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23144" w:rsidRPr="0009684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5C8E8A52" w:rsidR="006639B4" w:rsidRPr="007718B7" w:rsidRDefault="007718B7" w:rsidP="000C139A">
      <w:pPr>
        <w:rPr>
          <w:rFonts w:cs="Arial"/>
        </w:rPr>
      </w:pPr>
      <w:r>
        <w:rPr>
          <w:rFonts w:cs="Arial"/>
        </w:rPr>
        <w:t>A TWA of 5 ppm (6.6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irritation </w:t>
      </w:r>
      <w:r w:rsidR="00241891">
        <w:rPr>
          <w:rFonts w:cs="Arial"/>
        </w:rPr>
        <w:t>o</w:t>
      </w:r>
      <w:r w:rsidR="0009684F">
        <w:rPr>
          <w:rFonts w:cs="Arial"/>
        </w:rPr>
        <w:t>f</w:t>
      </w:r>
      <w:r>
        <w:rPr>
          <w:rFonts w:cs="Arial"/>
        </w:rPr>
        <w:t xml:space="preserve"> the upper respiratory tract</w:t>
      </w:r>
      <w:r w:rsidR="00755ABE">
        <w:rPr>
          <w:rFonts w:cs="Arial"/>
        </w:rPr>
        <w:t xml:space="preserve"> </w:t>
      </w:r>
      <w:r w:rsidR="00241891">
        <w:rPr>
          <w:rFonts w:cs="Arial"/>
        </w:rPr>
        <w:t>in</w:t>
      </w:r>
      <w:r>
        <w:rPr>
          <w:rFonts w:cs="Arial"/>
        </w:rPr>
        <w:t xml:space="preserve">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B165075" w14:textId="34E09B95" w:rsidR="0009684F" w:rsidRDefault="00B94F24" w:rsidP="006639B4">
      <w:r>
        <w:rPr>
          <w:rFonts w:cs="Arial"/>
        </w:rPr>
        <w:t xml:space="preserve">Silicon tetrahydride is </w:t>
      </w:r>
      <w:r>
        <w:t>used in the semiconductor industry as a source of pure silicon to form silicon crystals, and speciali</w:t>
      </w:r>
      <w:r w:rsidR="00023144">
        <w:t>s</w:t>
      </w:r>
      <w:r>
        <w:t>ed thin layers in semiconductors, solar cells and photo cells.</w:t>
      </w:r>
    </w:p>
    <w:p w14:paraId="09C78407" w14:textId="77777777" w:rsidR="00755ABE" w:rsidRDefault="00B94F24" w:rsidP="00B94F24">
      <w:r>
        <w:t>Critical effect</w:t>
      </w:r>
      <w:r w:rsidR="00023144">
        <w:t>s</w:t>
      </w:r>
      <w:r>
        <w:t xml:space="preserve"> </w:t>
      </w:r>
      <w:r w:rsidR="00023144">
        <w:t>of</w:t>
      </w:r>
      <w:r>
        <w:t xml:space="preserve"> exposure </w:t>
      </w:r>
      <w:r w:rsidR="00E33B5E">
        <w:t xml:space="preserve">are </w:t>
      </w:r>
      <w:r>
        <w:t>upper respiratory tract</w:t>
      </w:r>
      <w:r w:rsidR="00E33B5E">
        <w:t>, eyes and skin</w:t>
      </w:r>
      <w:r>
        <w:t xml:space="preserve"> irritation.</w:t>
      </w:r>
      <w:r w:rsidR="0009684F">
        <w:t xml:space="preserve"> </w:t>
      </w:r>
    </w:p>
    <w:p w14:paraId="7337CDA8" w14:textId="56A6CC72" w:rsidR="007718B7" w:rsidRDefault="00B94F24" w:rsidP="00B94F24">
      <w:r>
        <w:t xml:space="preserve">Toxicity data are extremely limited. </w:t>
      </w:r>
      <w:r w:rsidR="00E33B5E">
        <w:t>C</w:t>
      </w:r>
      <w:r>
        <w:t xml:space="preserve">onsidered </w:t>
      </w:r>
      <w:r w:rsidR="00E33B5E">
        <w:t xml:space="preserve">a </w:t>
      </w:r>
      <w:r>
        <w:t>mildly toxic</w:t>
      </w:r>
      <w:r w:rsidR="00666CE3">
        <w:t xml:space="preserve"> gas</w:t>
      </w:r>
      <w:r>
        <w:t xml:space="preserve"> by inhalation and irritating to the skin, eyes and mucous membranes. </w:t>
      </w:r>
      <w:r w:rsidR="00E33B5E">
        <w:t>A NOAEL of 1,000 ppm for a four</w:t>
      </w:r>
      <w:r w:rsidR="00755ABE">
        <w:t>-</w:t>
      </w:r>
      <w:r w:rsidR="00E33B5E">
        <w:t>hour exposure</w:t>
      </w:r>
      <w:r w:rsidR="00755ABE" w:rsidRPr="00755ABE">
        <w:t xml:space="preserve"> </w:t>
      </w:r>
      <w:r w:rsidR="00755ABE">
        <w:t>is reported in mice.</w:t>
      </w:r>
      <w:r w:rsidR="00E33B5E">
        <w:t xml:space="preserve"> </w:t>
      </w:r>
      <w:r>
        <w:t xml:space="preserve">No effects </w:t>
      </w:r>
      <w:r w:rsidR="00E33B5E">
        <w:t>reported</w:t>
      </w:r>
      <w:r>
        <w:t xml:space="preserve"> in rats exposed at 51 ppm or 126 ppm for</w:t>
      </w:r>
      <w:r w:rsidR="00023144">
        <w:t xml:space="preserve"> one</w:t>
      </w:r>
      <w:r>
        <w:t xml:space="preserve"> hour </w:t>
      </w:r>
      <w:r w:rsidR="007718B7">
        <w:t>(ACGIH,</w:t>
      </w:r>
      <w:r w:rsidR="00241891">
        <w:t> </w:t>
      </w:r>
      <w:r w:rsidR="007718B7">
        <w:t>2018). Exposure of mice at 1,</w:t>
      </w:r>
      <w:r w:rsidR="0009684F">
        <w:t>000 </w:t>
      </w:r>
      <w:r w:rsidR="007718B7">
        <w:t xml:space="preserve">ppm for </w:t>
      </w:r>
      <w:r w:rsidR="00023144">
        <w:t>four</w:t>
      </w:r>
      <w:r w:rsidR="007718B7">
        <w:t xml:space="preserve"> w</w:t>
      </w:r>
      <w:r w:rsidR="00023144">
        <w:t>ee</w:t>
      </w:r>
      <w:r w:rsidR="007718B7">
        <w:t>k</w:t>
      </w:r>
      <w:r w:rsidR="00023144">
        <w:t>s</w:t>
      </w:r>
      <w:r w:rsidR="007718B7">
        <w:t xml:space="preserve"> resulted in inflammation of the nasal cavity as indicated by histological and haematological change</w:t>
      </w:r>
      <w:r w:rsidR="00E33B5E">
        <w:t>s</w:t>
      </w:r>
      <w:r w:rsidR="007718B7">
        <w:t xml:space="preserve"> (ACGIH, 2018; HCOTN, 2000).</w:t>
      </w:r>
    </w:p>
    <w:p w14:paraId="17532EE9" w14:textId="26F5FFB5" w:rsidR="00B94F24" w:rsidRDefault="007718B7" w:rsidP="00B94F24">
      <w:r>
        <w:rPr>
          <w:rFonts w:cs="Arial"/>
        </w:rPr>
        <w:t>The TWA of 5 ppm is recommended to be retained. The TWA is consistent across primary sources</w:t>
      </w:r>
      <w:r>
        <w:t xml:space="preserve"> and is cited as being protective of irritation in the upper respiratory tract based on evidence in animals.</w:t>
      </w:r>
      <w:r w:rsidR="00755ABE">
        <w:t xml:space="preserve">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7718B7" w:rsidRDefault="008E4F1F" w:rsidP="008E4F1F">
      <w:pPr>
        <w:rPr>
          <w:rFonts w:cs="Arial"/>
        </w:rPr>
      </w:pPr>
      <w:r w:rsidRPr="007718B7">
        <w:rPr>
          <w:rFonts w:cs="Arial"/>
        </w:rPr>
        <w:t>Not classified as a carcinogen according to the Globally Harmonized System of</w:t>
      </w:r>
      <w:r w:rsidR="00155999" w:rsidRPr="007718B7">
        <w:rPr>
          <w:rFonts w:cs="Arial"/>
        </w:rPr>
        <w:t xml:space="preserve"> Classification and Labelling of</w:t>
      </w:r>
      <w:r w:rsidRPr="007718B7">
        <w:rPr>
          <w:rFonts w:cs="Arial"/>
        </w:rPr>
        <w:t xml:space="preserve"> Chemicals (GHS). </w:t>
      </w:r>
    </w:p>
    <w:p w14:paraId="03916CCC" w14:textId="77777777" w:rsidR="008E4F1F" w:rsidRPr="007718B7" w:rsidRDefault="008E4F1F" w:rsidP="008E4F1F">
      <w:pPr>
        <w:rPr>
          <w:rFonts w:cs="Arial"/>
        </w:rPr>
      </w:pPr>
      <w:r w:rsidRPr="007718B7">
        <w:rPr>
          <w:rFonts w:cs="Arial"/>
        </w:rPr>
        <w:t xml:space="preserve">Not classified as a skin </w:t>
      </w:r>
      <w:r w:rsidR="00155999" w:rsidRPr="007718B7">
        <w:rPr>
          <w:rFonts w:cs="Arial"/>
        </w:rPr>
        <w:t xml:space="preserve">sensitiser </w:t>
      </w:r>
      <w:r w:rsidRPr="007718B7">
        <w:rPr>
          <w:rFonts w:cs="Arial"/>
        </w:rPr>
        <w:t>or respiratory sensitiser according to the GHS.</w:t>
      </w:r>
    </w:p>
    <w:p w14:paraId="7D0772D2" w14:textId="4F0AECA3" w:rsidR="004529F0" w:rsidRPr="004C23F4" w:rsidRDefault="00023144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7718B7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7718B7">
        <w:rPr>
          <w:rFonts w:cs="Arial"/>
        </w:rPr>
        <w:t xml:space="preserve"> to recommend a skin notation.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3C68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3C68C6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6E3A1E3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9670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96707">
                  <w:t>TWA: 5 ppm (6.6 mg/m</w:t>
                </w:r>
                <w:r w:rsidR="00796707" w:rsidRPr="00796707">
                  <w:rPr>
                    <w:vertAlign w:val="superscript"/>
                  </w:rPr>
                  <w:t>3</w:t>
                </w:r>
                <w:r w:rsidR="00796707">
                  <w:t>)</w:t>
                </w:r>
              </w:sdtContent>
            </w:sdt>
          </w:p>
        </w:tc>
      </w:tr>
      <w:tr w:rsidR="00C978F0" w:rsidRPr="00DA352E" w14:paraId="26087DDB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3C68C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1DE0274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96707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96707">
                  <w:t>TLV-TWA: 5 ppm (6.57 mg/m</w:t>
                </w:r>
                <w:r w:rsidR="00796707" w:rsidRPr="00796707">
                  <w:rPr>
                    <w:vertAlign w:val="superscript"/>
                  </w:rPr>
                  <w:t>3</w:t>
                </w:r>
                <w:r w:rsidR="00796707">
                  <w:t>)</w:t>
                </w:r>
              </w:sdtContent>
            </w:sdt>
          </w:p>
        </w:tc>
      </w:tr>
      <w:tr w:rsidR="00C978F0" w:rsidRPr="00DA352E" w14:paraId="418D532D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35E2C525" w14:textId="5AB6D816" w:rsidR="00C978F0" w:rsidRDefault="009976C6" w:rsidP="003365A5">
            <w:pPr>
              <w:pStyle w:val="Tabletextprimarysource"/>
            </w:pPr>
            <w:r>
              <w:t>TLV-TWA recommended to minimise the potential for irritation of the eyes, mucous membranes, and respiratory tract</w:t>
            </w:r>
            <w:r w:rsidR="0009684F">
              <w:t>;</w:t>
            </w:r>
            <w:r>
              <w:t xml:space="preserve"> effects that, in general, are characteristic of exposure to silanes.</w:t>
            </w:r>
          </w:p>
          <w:p w14:paraId="00CE567B" w14:textId="77777777" w:rsidR="009976C6" w:rsidRDefault="009976C6" w:rsidP="003365A5">
            <w:pPr>
              <w:pStyle w:val="Tabletextprimarysource"/>
            </w:pPr>
            <w:r>
              <w:t>Summary of data:</w:t>
            </w:r>
          </w:p>
          <w:p w14:paraId="7A5C30A8" w14:textId="338CB4E9" w:rsidR="009976C6" w:rsidRDefault="00953F6B" w:rsidP="0009684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Toxicity data are limited</w:t>
            </w:r>
            <w:r w:rsidR="00023144">
              <w:t>.</w:t>
            </w:r>
          </w:p>
          <w:p w14:paraId="012B3656" w14:textId="77777777" w:rsidR="00953F6B" w:rsidRDefault="00953F6B" w:rsidP="00953F6B">
            <w:pPr>
              <w:pStyle w:val="Tabletextprimarysource"/>
            </w:pPr>
            <w:r>
              <w:t>Human data:</w:t>
            </w:r>
          </w:p>
          <w:p w14:paraId="4F3D5820" w14:textId="77777777" w:rsidR="00953F6B" w:rsidRDefault="00953F6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Mildly toxic by inhalation and silanes are, in general, irritating to the skin, eyes, and mucous membranes</w:t>
            </w:r>
          </w:p>
          <w:p w14:paraId="28307040" w14:textId="768A75EC" w:rsidR="00953F6B" w:rsidRDefault="00953F6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No data regarding toxic effects and exposure concentration</w:t>
            </w:r>
            <w:r w:rsidR="00023144">
              <w:t>.</w:t>
            </w:r>
          </w:p>
          <w:p w14:paraId="5CBDEEDA" w14:textId="77777777" w:rsidR="00953F6B" w:rsidRDefault="00953F6B" w:rsidP="00953F6B">
            <w:pPr>
              <w:pStyle w:val="Tabletextprimarysource"/>
            </w:pPr>
            <w:r>
              <w:t>Animal data:</w:t>
            </w:r>
          </w:p>
          <w:p w14:paraId="46DF4EF5" w14:textId="77777777" w:rsidR="00953F6B" w:rsidRDefault="00AC7C9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Limit animal data</w:t>
            </w:r>
          </w:p>
          <w:p w14:paraId="5363B4F2" w14:textId="788F7FCE" w:rsidR="00AC7C9B" w:rsidRDefault="00AC7C9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No effects in rats exposed at 51 ppm or 126 ppm for 1 h</w:t>
            </w:r>
          </w:p>
          <w:p w14:paraId="3426E9EA" w14:textId="38051E38" w:rsidR="00550C1B" w:rsidRDefault="00550C1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4 h LC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 xml:space="preserve"> </w:t>
            </w:r>
            <w:r>
              <w:t>estimated between 5,000</w:t>
            </w:r>
            <w:r w:rsidR="00241891">
              <w:t>–</w:t>
            </w:r>
            <w:r>
              <w:t>10,000 ppm</w:t>
            </w:r>
          </w:p>
          <w:p w14:paraId="1D887014" w14:textId="77777777" w:rsidR="00AC7C9B" w:rsidRDefault="00AC7C9B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NOAEL</w:t>
            </w:r>
            <w:r w:rsidR="00550C1B">
              <w:t xml:space="preserve"> in mice of 1,000 ppm for 4 h; 2,500 ppm for 1 h; 5,000 for 30 min</w:t>
            </w:r>
          </w:p>
          <w:p w14:paraId="0BA55CE3" w14:textId="37652070" w:rsidR="00062B60" w:rsidRDefault="00C75B2E" w:rsidP="0009684F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Mice exposed for 6 h/d, 5 d/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062B60">
              <w:t xml:space="preserve">for 2 or 4 </w:t>
            </w:r>
            <w:proofErr w:type="spellStart"/>
            <w:r w:rsidR="00062B60">
              <w:t>wk</w:t>
            </w:r>
            <w:proofErr w:type="spellEnd"/>
            <w:r>
              <w:t xml:space="preserve"> at 1,000 ppm</w:t>
            </w:r>
            <w:r w:rsidR="00062B60">
              <w:t>;</w:t>
            </w:r>
            <w:r>
              <w:t xml:space="preserve"> nasal mucosal irritation reported </w:t>
            </w:r>
            <w:r w:rsidR="00062B60">
              <w:t>in 6</w:t>
            </w:r>
            <w:r w:rsidR="00023144">
              <w:t>/</w:t>
            </w:r>
            <w:r w:rsidR="00062B60">
              <w:t>10 mice in the 4</w:t>
            </w:r>
            <w:r w:rsidR="0009684F">
              <w:t xml:space="preserve"> </w:t>
            </w:r>
            <w:proofErr w:type="spellStart"/>
            <w:r w:rsidR="00062B60">
              <w:t>w</w:t>
            </w:r>
            <w:r>
              <w:t>k</w:t>
            </w:r>
            <w:proofErr w:type="spellEnd"/>
            <w:r>
              <w:t xml:space="preserve"> exposure group</w:t>
            </w:r>
            <w:r w:rsidR="00023144">
              <w:t>.</w:t>
            </w:r>
          </w:p>
          <w:p w14:paraId="0CE4D35D" w14:textId="3694F5C5" w:rsidR="00241891" w:rsidRPr="00DA352E" w:rsidRDefault="00241891" w:rsidP="0009684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74F8B79" w14:textId="77777777" w:rsidTr="003C68C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0035EB7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967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96707">
                  <w:t>NA</w:t>
                </w:r>
              </w:sdtContent>
            </w:sdt>
          </w:p>
        </w:tc>
      </w:tr>
      <w:tr w:rsidR="00C978F0" w:rsidRPr="00DA352E" w14:paraId="4433014F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38DACB75" w:rsidR="00C978F0" w:rsidRPr="00DA352E" w:rsidRDefault="00796707" w:rsidP="003365A5">
            <w:pPr>
              <w:pStyle w:val="Tabletextprimarysource"/>
            </w:pPr>
            <w:r>
              <w:t>No report</w:t>
            </w:r>
            <w:r w:rsidR="00023144">
              <w:t>.</w:t>
            </w:r>
          </w:p>
        </w:tc>
      </w:tr>
      <w:tr w:rsidR="00C978F0" w:rsidRPr="00DA352E" w14:paraId="0E6A0B2C" w14:textId="77777777" w:rsidTr="003C68C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14EC674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967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96707">
                  <w:t>NA</w:t>
                </w:r>
              </w:sdtContent>
            </w:sdt>
          </w:p>
        </w:tc>
      </w:tr>
      <w:tr w:rsidR="00C978F0" w:rsidRPr="00DA352E" w14:paraId="2008D281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3CBC108F" w:rsidR="00C978F0" w:rsidRPr="00DA352E" w:rsidRDefault="00796707" w:rsidP="003365A5">
            <w:pPr>
              <w:pStyle w:val="Tabletextprimarysource"/>
            </w:pPr>
            <w:r>
              <w:t>No report</w:t>
            </w:r>
            <w:r w:rsidR="00023144">
              <w:t>.</w:t>
            </w:r>
          </w:p>
        </w:tc>
      </w:tr>
      <w:tr w:rsidR="00DA352E" w:rsidRPr="00DA352E" w14:paraId="12BAB90D" w14:textId="77777777" w:rsidTr="003C68C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5622CD5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967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96707">
                  <w:t>NA</w:t>
                </w:r>
              </w:sdtContent>
            </w:sdt>
          </w:p>
        </w:tc>
      </w:tr>
      <w:tr w:rsidR="00DA352E" w:rsidRPr="00DA352E" w14:paraId="33AAF4A6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15D41B9D" w:rsidR="00DA352E" w:rsidRPr="00DA352E" w:rsidRDefault="00796707" w:rsidP="003365A5">
            <w:pPr>
              <w:pStyle w:val="Tabletextprimarysource"/>
            </w:pPr>
            <w:r>
              <w:t>No report</w:t>
            </w:r>
            <w:r w:rsidR="00023144">
              <w:t>.</w:t>
            </w:r>
          </w:p>
        </w:tc>
      </w:tr>
      <w:tr w:rsidR="00DA352E" w:rsidRPr="00DA352E" w14:paraId="605F758C" w14:textId="77777777" w:rsidTr="003C68C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19C2026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96707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96707">
                  <w:t xml:space="preserve">TWA: 5 ppm </w:t>
                </w:r>
                <w:r w:rsidR="0065763F">
                  <w:t xml:space="preserve">(7 </w:t>
                </w:r>
                <w:r w:rsidR="00796707">
                  <w:t>mg/m</w:t>
                </w:r>
                <w:r w:rsidR="00796707" w:rsidRPr="00796707">
                  <w:rPr>
                    <w:vertAlign w:val="superscript"/>
                  </w:rPr>
                  <w:t>3</w:t>
                </w:r>
                <w:r w:rsidR="00796707">
                  <w:t>)</w:t>
                </w:r>
              </w:sdtContent>
            </w:sdt>
          </w:p>
        </w:tc>
      </w:tr>
      <w:tr w:rsidR="00DA352E" w:rsidRPr="00DA352E" w14:paraId="7050CB3E" w14:textId="77777777" w:rsidTr="003C68C6">
        <w:trPr>
          <w:gridAfter w:val="1"/>
          <w:wAfter w:w="8" w:type="pct"/>
          <w:cantSplit/>
        </w:trPr>
        <w:tc>
          <w:tcPr>
            <w:tcW w:w="4992" w:type="pct"/>
          </w:tcPr>
          <w:p w14:paraId="6BC778D6" w14:textId="553DA468" w:rsidR="00DA352E" w:rsidRDefault="00465F69" w:rsidP="003365A5">
            <w:pPr>
              <w:pStyle w:val="Tabletextprimarysource"/>
            </w:pPr>
            <w:r w:rsidRPr="00465F69">
              <w:rPr>
                <w:b/>
              </w:rPr>
              <w:t>NOTE:</w:t>
            </w:r>
            <w:r>
              <w:t xml:space="preserve"> HCOTN have reported 5 ppm as 0.7 mg/m</w:t>
            </w:r>
            <w:r>
              <w:rPr>
                <w:vertAlign w:val="superscript"/>
              </w:rPr>
              <w:t>3</w:t>
            </w:r>
            <w:r>
              <w:t>. This appears to be an error and according to HCOTN documented conversion factors (1 ppm= 1.3 mg/m</w:t>
            </w:r>
            <w:r>
              <w:rPr>
                <w:vertAlign w:val="superscript"/>
              </w:rPr>
              <w:t>3</w:t>
            </w:r>
            <w:r>
              <w:t xml:space="preserve">) 5 ppm is </w:t>
            </w:r>
            <w:r w:rsidR="00023144">
              <w:rPr>
                <w:rFonts w:cs="Arial"/>
              </w:rPr>
              <w:t>≡</w:t>
            </w:r>
            <w:r>
              <w:t>6.5 mg/m</w:t>
            </w:r>
            <w:r>
              <w:rPr>
                <w:vertAlign w:val="superscript"/>
              </w:rPr>
              <w:t>3</w:t>
            </w:r>
            <w:r w:rsidR="0016503C">
              <w:t>.</w:t>
            </w:r>
          </w:p>
          <w:p w14:paraId="73032F61" w14:textId="56BC169D" w:rsidR="0016503C" w:rsidRDefault="0016503C" w:rsidP="003365A5">
            <w:pPr>
              <w:pStyle w:val="Tabletextprimarysource"/>
            </w:pPr>
            <w:r>
              <w:t xml:space="preserve">Administrative OEL </w:t>
            </w:r>
            <w:r w:rsidR="00B94F24">
              <w:t>based on the acute toxicity of germanium tetrahydride</w:t>
            </w:r>
            <w:r w:rsidR="00023144">
              <w:t>.</w:t>
            </w:r>
          </w:p>
          <w:p w14:paraId="50FE1BB8" w14:textId="77777777" w:rsidR="002A4F18" w:rsidRDefault="002A4F18" w:rsidP="003365A5">
            <w:pPr>
              <w:pStyle w:val="Tabletextprimarysource"/>
            </w:pPr>
            <w:r>
              <w:t>Summary of additional data:</w:t>
            </w:r>
          </w:p>
          <w:p w14:paraId="0D4E07C3" w14:textId="24D5F9A7" w:rsidR="002A4F18" w:rsidRDefault="002A4F18" w:rsidP="0009684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are available</w:t>
            </w:r>
          </w:p>
          <w:p w14:paraId="108D8C29" w14:textId="77777777" w:rsidR="002A4F18" w:rsidRDefault="00B94F24" w:rsidP="0009684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of mice at 1,000 ppm for 4 </w:t>
            </w:r>
            <w:proofErr w:type="spellStart"/>
            <w:r>
              <w:t>wk</w:t>
            </w:r>
            <w:proofErr w:type="spellEnd"/>
            <w:r>
              <w:t xml:space="preserve"> resulted in inflammation of the nasal cavity as indicated by histological and haematological change (cited by ACGIH, 2018); based on this evidence current administrative OEL considered too low.</w:t>
            </w:r>
          </w:p>
          <w:p w14:paraId="492D7791" w14:textId="69D7A2CD" w:rsidR="00241891" w:rsidRPr="0016503C" w:rsidRDefault="00241891" w:rsidP="0009684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21C7ACE5" w14:textId="67BF8B51" w:rsidR="007E2A4B" w:rsidRDefault="00023144">
      <w:r>
        <w:t>NIL.</w:t>
      </w:r>
    </w:p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28EBB70" w14:textId="77777777" w:rsidTr="007718B7">
        <w:trPr>
          <w:trHeight w:val="454"/>
          <w:tblHeader/>
        </w:trPr>
        <w:tc>
          <w:tcPr>
            <w:tcW w:w="6603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B8F4675" w14:textId="2693ED83" w:rsidR="002E0D61" w:rsidRDefault="007718B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7718B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7516AB" w14:textId="1C05FDE8" w:rsidR="008A36CF" w:rsidRPr="006901A2" w:rsidRDefault="007718B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3C6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3C68C6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2F99CAD" w:rsidR="00687890" w:rsidRPr="00DD2F9B" w:rsidRDefault="00796707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3C68C6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4734A99F" w:rsidR="007925F0" w:rsidRPr="00DD2F9B" w:rsidRDefault="0079670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3C68C6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F9F9843" w:rsidR="00AF483F" w:rsidRPr="00DD2F9B" w:rsidRDefault="0079670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3C68C6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2D5EDFED" w:rsidR="00687890" w:rsidRPr="00DD2F9B" w:rsidRDefault="0079670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3C68C6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67A79CD" w:rsidR="00E41A26" w:rsidRPr="00DD2F9B" w:rsidRDefault="0079670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3C68C6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5EF1CFA2" w:rsidR="002E0D61" w:rsidRPr="00DD2F9B" w:rsidRDefault="00E3615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3FA3590" w14:textId="77777777" w:rsidTr="003C68C6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5AAC398B" w:rsidR="002E0D61" w:rsidRPr="00DD2F9B" w:rsidRDefault="00E361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3C68C6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6D8991A0" w:rsidR="002E0D61" w:rsidRPr="00DD2F9B" w:rsidRDefault="00E36153" w:rsidP="00DD2F9B">
            <w:pPr>
              <w:pStyle w:val="Tablefont"/>
            </w:pPr>
            <w:r>
              <w:t>NA</w:t>
            </w:r>
            <w:bookmarkStart w:id="3" w:name="_GoBack"/>
            <w:bookmarkEnd w:id="3"/>
          </w:p>
        </w:tc>
      </w:tr>
      <w:tr w:rsidR="002E0D61" w:rsidRPr="004C23F4" w14:paraId="1BE6EC07" w14:textId="77777777" w:rsidTr="003C68C6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032446E" w:rsidR="002E0D61" w:rsidRPr="00DD2F9B" w:rsidRDefault="00E36153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3C68C6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8583571" w:rsidR="00386093" w:rsidRPr="00DD2F9B" w:rsidRDefault="00E3615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3C68C6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28510133" w:rsidR="00386093" w:rsidRPr="00DD2F9B" w:rsidRDefault="00E3615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3CABEA6B" w:rsidR="00932DCE" w:rsidRPr="004C23F4" w:rsidRDefault="007718B7" w:rsidP="00F9496B">
            <w:pPr>
              <w:pStyle w:val="Tablefont"/>
            </w:pPr>
            <w:r>
              <w:t>Insufficient data to recommend a skin notation.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2865362C" w:rsidR="00EB3D1B" w:rsidRDefault="00E36153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0DA32FD3" w:rsidR="001B79E5" w:rsidRDefault="00E36153" w:rsidP="001B79E5">
                <w:pPr>
                  <w:pStyle w:val="Tablefont"/>
                </w:pPr>
                <w:r w:rsidRPr="00E36153">
                  <w:t>32.12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1610775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36153">
                  <w:t>1.309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36153">
                  <w:t>0.764</w:t>
                </w:r>
              </w:sdtContent>
            </w:sdt>
            <w:r w:rsidRPr="00E36153">
              <w:t xml:space="preserve"> </w:t>
            </w:r>
            <w:r>
              <w:t>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3C68C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8EAA9C1" w14:textId="13192C4D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36153" w:rsidRPr="00E36153">
        <w:t>2000</w:t>
      </w:r>
      <w:r>
        <w:t xml:space="preserve">) </w:t>
      </w:r>
      <w:r w:rsidR="00E36153" w:rsidRPr="00E36153">
        <w:t>Silane</w:t>
      </w:r>
      <w:r w:rsidRPr="005F7416">
        <w:t xml:space="preserve">. Health-based calculated occupational cancer risk values. The Hague: Health Council of the Netherlands; publication no. </w:t>
      </w:r>
      <w:r w:rsidR="00E36153" w:rsidRPr="00E36153">
        <w:t>2000/15OSH/014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AFEB" w14:textId="77777777" w:rsidR="001615D7" w:rsidRDefault="001615D7" w:rsidP="00F43AD5">
      <w:pPr>
        <w:spacing w:after="0" w:line="240" w:lineRule="auto"/>
      </w:pPr>
      <w:r>
        <w:separator/>
      </w:r>
    </w:p>
  </w:endnote>
  <w:endnote w:type="continuationSeparator" w:id="0">
    <w:p w14:paraId="0987109A" w14:textId="77777777" w:rsidR="001615D7" w:rsidRDefault="001615D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BE40" w14:textId="77777777" w:rsidR="003C68C6" w:rsidRDefault="003C6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26A903EE" w:rsidR="008A36CF" w:rsidRDefault="00796707" w:rsidP="0034744C">
        <w:pPr>
          <w:pStyle w:val="Footer"/>
          <w:rPr>
            <w:sz w:val="18"/>
            <w:szCs w:val="18"/>
          </w:rPr>
        </w:pPr>
        <w:r w:rsidRPr="00796707">
          <w:rPr>
            <w:b/>
            <w:sz w:val="18"/>
            <w:szCs w:val="18"/>
          </w:rPr>
          <w:t>Silicon tetrahydride</w:t>
        </w:r>
        <w:r w:rsidR="008A36CF">
          <w:rPr>
            <w:b/>
            <w:sz w:val="18"/>
            <w:szCs w:val="18"/>
          </w:rPr>
          <w:t xml:space="preserve"> (</w:t>
        </w:r>
        <w:r w:rsidRPr="00796707">
          <w:t>7803-62-5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023144">
          <w:rPr>
            <w:sz w:val="18"/>
            <w:szCs w:val="18"/>
          </w:rPr>
          <w:t>20</w:t>
        </w:r>
      </w:p>
      <w:p w14:paraId="2D517F5E" w14:textId="6AFD52F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41891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FE4F" w14:textId="77777777" w:rsidR="003C68C6" w:rsidRDefault="003C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E055" w14:textId="77777777" w:rsidR="001615D7" w:rsidRDefault="001615D7" w:rsidP="00F43AD5">
      <w:pPr>
        <w:spacing w:after="0" w:line="240" w:lineRule="auto"/>
      </w:pPr>
      <w:r>
        <w:separator/>
      </w:r>
    </w:p>
  </w:footnote>
  <w:footnote w:type="continuationSeparator" w:id="0">
    <w:p w14:paraId="00EB7E02" w14:textId="77777777" w:rsidR="001615D7" w:rsidRDefault="001615D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E25E" w14:textId="77777777" w:rsidR="003C68C6" w:rsidRDefault="003C6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64B030CE" w:rsidR="008A36CF" w:rsidRPr="003C68C6" w:rsidRDefault="003C68C6" w:rsidP="003C68C6">
    <w:pPr>
      <w:pStyle w:val="Header"/>
      <w:jc w:val="right"/>
    </w:pPr>
    <w:r>
      <w:pict w14:anchorId="5B78F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A62EF21" wp14:editId="0F7D9F9E">
          <wp:extent cx="2943225" cy="600075"/>
          <wp:effectExtent l="0" t="0" r="9525" b="952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B944" w14:textId="77777777" w:rsidR="003C68C6" w:rsidRDefault="003C68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D6F5" w14:textId="5C3F86CF" w:rsidR="003C68C6" w:rsidRDefault="003C68C6" w:rsidP="003C68C6">
    <w:pPr>
      <w:pStyle w:val="Header"/>
      <w:jc w:val="right"/>
    </w:pPr>
    <w:r>
      <w:pict w14:anchorId="148D68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FF1527A" wp14:editId="7EFD735C">
          <wp:extent cx="2943225" cy="600075"/>
          <wp:effectExtent l="0" t="0" r="9525" b="952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3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00E2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F0F"/>
    <w:rsid w:val="00013A22"/>
    <w:rsid w:val="00014C3F"/>
    <w:rsid w:val="00017C82"/>
    <w:rsid w:val="00023144"/>
    <w:rsid w:val="00032B88"/>
    <w:rsid w:val="00037E52"/>
    <w:rsid w:val="00046DF5"/>
    <w:rsid w:val="00052060"/>
    <w:rsid w:val="0005574A"/>
    <w:rsid w:val="00055FE1"/>
    <w:rsid w:val="00056EC2"/>
    <w:rsid w:val="00060B48"/>
    <w:rsid w:val="00062B60"/>
    <w:rsid w:val="00067F32"/>
    <w:rsid w:val="00071807"/>
    <w:rsid w:val="000803E1"/>
    <w:rsid w:val="00084513"/>
    <w:rsid w:val="00084859"/>
    <w:rsid w:val="00092D94"/>
    <w:rsid w:val="0009684F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615D7"/>
    <w:rsid w:val="0016503C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1891"/>
    <w:rsid w:val="00244AD1"/>
    <w:rsid w:val="002463BC"/>
    <w:rsid w:val="002465CE"/>
    <w:rsid w:val="0025734A"/>
    <w:rsid w:val="00263255"/>
    <w:rsid w:val="00276494"/>
    <w:rsid w:val="00277B0C"/>
    <w:rsid w:val="002A4F18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3B7E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68C6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5F69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0C1B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63F"/>
    <w:rsid w:val="00657BFB"/>
    <w:rsid w:val="0066333C"/>
    <w:rsid w:val="006639B4"/>
    <w:rsid w:val="006650FE"/>
    <w:rsid w:val="00666CE3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5ABE"/>
    <w:rsid w:val="0075716D"/>
    <w:rsid w:val="00765F14"/>
    <w:rsid w:val="00770E31"/>
    <w:rsid w:val="007718B7"/>
    <w:rsid w:val="007770F1"/>
    <w:rsid w:val="00783FB1"/>
    <w:rsid w:val="00785CDD"/>
    <w:rsid w:val="00791847"/>
    <w:rsid w:val="007925F0"/>
    <w:rsid w:val="007939B3"/>
    <w:rsid w:val="0079509C"/>
    <w:rsid w:val="00796707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7012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3F6B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976C6"/>
    <w:rsid w:val="009A1254"/>
    <w:rsid w:val="009A7ACF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C7C9B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4F24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B2E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3B5E"/>
    <w:rsid w:val="00E36153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1B6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953F6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8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8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8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FBF"/>
    <w:rsid w:val="00946A2A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549E-D5A0-4EDE-B69A-48B6DC3BF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bf54d604-3e62-4e70-ba33-9e9084b96a66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78964-E436-4924-ABF0-07B9A06A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2019-10-08T23:44:00Z</dcterms:created>
  <dcterms:modified xsi:type="dcterms:W3CDTF">2020-07-21T01:17:00Z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