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57862CEC" w14:textId="3F8DA0C6" w:rsidR="00BD499F" w:rsidRPr="004C23F4" w:rsidRDefault="00823763" w:rsidP="00B40C60">
          <w:pPr>
            <w:pStyle w:val="Heading1"/>
            <w:jc w:val="center"/>
            <w:rPr>
              <w:rFonts w:ascii="Arial" w:hAnsi="Arial" w:cs="Arial"/>
            </w:rPr>
          </w:pPr>
          <w:r w:rsidRPr="00823763">
            <w:rPr>
              <w:rFonts w:ascii="Arial" w:hAnsi="Arial" w:cs="Arial"/>
            </w:rPr>
            <w:t>Sodium azide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8"/>
        <w:gridCol w:w="5038"/>
      </w:tblGrid>
      <w:tr w:rsidR="00F43AD5" w:rsidRPr="004C23F4" w14:paraId="189D6E38" w14:textId="77777777" w:rsidTr="00B76A41">
        <w:trPr>
          <w:cantSplit/>
          <w:tblHeader/>
        </w:trPr>
        <w:tc>
          <w:tcPr>
            <w:tcW w:w="4077" w:type="dxa"/>
          </w:tcPr>
          <w:p w14:paraId="517634FF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3EDBFD9E" w14:textId="58044882" w:rsidR="00F43AD5" w:rsidRPr="00717D45" w:rsidRDefault="0027531B" w:rsidP="00B76A41">
            <w:pPr>
              <w:pStyle w:val="Tablefont"/>
            </w:pPr>
            <w:r w:rsidRPr="0027531B">
              <w:t>26628-22-8</w:t>
            </w:r>
          </w:p>
        </w:tc>
      </w:tr>
      <w:tr w:rsidR="00F43AD5" w:rsidRPr="004C23F4" w14:paraId="562A9F51" w14:textId="77777777" w:rsidTr="00B76A41">
        <w:trPr>
          <w:cantSplit/>
        </w:trPr>
        <w:tc>
          <w:tcPr>
            <w:tcW w:w="4077" w:type="dxa"/>
          </w:tcPr>
          <w:p w14:paraId="6A9A0952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32648AB9" w14:textId="6351A815" w:rsidR="00F43AD5" w:rsidRPr="00717D45" w:rsidRDefault="0027531B" w:rsidP="00B76A41">
            <w:pPr>
              <w:pStyle w:val="Tablefont"/>
            </w:pPr>
            <w:proofErr w:type="spellStart"/>
            <w:r>
              <w:t>Azide</w:t>
            </w:r>
            <w:proofErr w:type="spellEnd"/>
            <w:r>
              <w:t xml:space="preserve">, </w:t>
            </w:r>
            <w:proofErr w:type="spellStart"/>
            <w:r>
              <w:t>azium</w:t>
            </w:r>
            <w:proofErr w:type="spellEnd"/>
            <w:r>
              <w:t xml:space="preserve">, </w:t>
            </w:r>
            <w:proofErr w:type="spellStart"/>
            <w:r>
              <w:t>Nemazyd</w:t>
            </w:r>
            <w:proofErr w:type="spellEnd"/>
            <w:r w:rsidRPr="0027531B">
              <w:rPr>
                <w:rFonts w:cs="Arial"/>
                <w:vertAlign w:val="superscript"/>
              </w:rPr>
              <w:t>®</w:t>
            </w:r>
            <w:r>
              <w:t>, Smite</w:t>
            </w:r>
            <w:r w:rsidRPr="0027531B">
              <w:rPr>
                <w:rFonts w:cs="Arial"/>
                <w:vertAlign w:val="superscript"/>
              </w:rPr>
              <w:t>®</w:t>
            </w:r>
          </w:p>
        </w:tc>
      </w:tr>
      <w:tr w:rsidR="00F43AD5" w:rsidRPr="004C23F4" w14:paraId="6EE54A08" w14:textId="77777777" w:rsidTr="00B76A41">
        <w:trPr>
          <w:cantSplit/>
        </w:trPr>
        <w:tc>
          <w:tcPr>
            <w:tcW w:w="4077" w:type="dxa"/>
          </w:tcPr>
          <w:p w14:paraId="3C2EC489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69369B00" w14:textId="25E38D9B" w:rsidR="00F43AD5" w:rsidRPr="00717D45" w:rsidRDefault="0027531B" w:rsidP="00B76A41">
            <w:pPr>
              <w:pStyle w:val="Tablefont"/>
            </w:pPr>
            <w:r>
              <w:t>N</w:t>
            </w:r>
            <w:r w:rsidRPr="0027531B">
              <w:rPr>
                <w:vertAlign w:val="subscript"/>
              </w:rPr>
              <w:t>3</w:t>
            </w:r>
            <w:r>
              <w:t>Na</w:t>
            </w:r>
          </w:p>
        </w:tc>
      </w:tr>
      <w:tr w:rsidR="00F43AD5" w:rsidRPr="004C23F4" w14:paraId="7AD5A991" w14:textId="77777777" w:rsidTr="00B76A41">
        <w:trPr>
          <w:cantSplit/>
        </w:trPr>
        <w:tc>
          <w:tcPr>
            <w:tcW w:w="4077" w:type="dxa"/>
          </w:tcPr>
          <w:p w14:paraId="6D55F87C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162A9653" w14:textId="77777777" w:rsidR="00F43AD5" w:rsidRPr="00B40C60" w:rsidRDefault="00037E52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71D72173" w14:textId="3AB73F56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CD7E2D">
            <w:rPr>
              <w:rStyle w:val="WESstatus"/>
            </w:rPr>
            <w:t>(interim)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38011720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652B29B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43EB6150" w14:textId="6A741632" w:rsidR="002C7AFE" w:rsidRPr="00BD6E4C" w:rsidRDefault="00BD6E4C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0.04 ppm (0.1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037E52" w:rsidRPr="004C23F4" w14:paraId="0EF58FD6" w14:textId="77777777" w:rsidTr="00037E52">
        <w:trPr>
          <w:cantSplit/>
        </w:trPr>
        <w:tc>
          <w:tcPr>
            <w:tcW w:w="4010" w:type="dxa"/>
            <w:vAlign w:val="center"/>
          </w:tcPr>
          <w:p w14:paraId="1CE0F108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7C8B818A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09DF5A7D" w14:textId="77777777" w:rsidTr="00037E52">
        <w:trPr>
          <w:cantSplit/>
        </w:trPr>
        <w:tc>
          <w:tcPr>
            <w:tcW w:w="4010" w:type="dxa"/>
            <w:vAlign w:val="center"/>
          </w:tcPr>
          <w:p w14:paraId="7D9BAC3A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582B22B5" w14:textId="5BF93ECE" w:rsidR="00037E52" w:rsidRPr="00BD6E4C" w:rsidRDefault="00BD6E4C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0.11 ppm (0.3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037E52" w:rsidRPr="004C23F4" w14:paraId="368D7039" w14:textId="77777777" w:rsidTr="00037E52">
        <w:trPr>
          <w:cantSplit/>
        </w:trPr>
        <w:tc>
          <w:tcPr>
            <w:tcW w:w="4010" w:type="dxa"/>
          </w:tcPr>
          <w:p w14:paraId="589F33FE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6E9A7528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5FFAC073" w14:textId="77777777" w:rsidTr="00037E52">
        <w:trPr>
          <w:cantSplit/>
        </w:trPr>
        <w:tc>
          <w:tcPr>
            <w:tcW w:w="4010" w:type="dxa"/>
            <w:vAlign w:val="center"/>
          </w:tcPr>
          <w:p w14:paraId="6B171BBD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7090041D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155999" w:rsidRPr="004C23F4" w14:paraId="27D0E012" w14:textId="77777777" w:rsidTr="00AA3808">
        <w:trPr>
          <w:cantSplit/>
        </w:trPr>
        <w:tc>
          <w:tcPr>
            <w:tcW w:w="9026" w:type="dxa"/>
            <w:gridSpan w:val="2"/>
            <w:vAlign w:val="center"/>
          </w:tcPr>
          <w:p w14:paraId="31B5D59E" w14:textId="6C7B55D0" w:rsidR="00155999" w:rsidRPr="00EB3D1B" w:rsidRDefault="00155999" w:rsidP="00037E52">
            <w:pPr>
              <w:pStyle w:val="Tablefont"/>
              <w:rPr>
                <w:b/>
              </w:rPr>
            </w:pPr>
            <w: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DA2FFE9CEF2D415F9F59B567F352ED2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E75049" w:rsidRPr="00C06756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1330EBE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4E81D542" w14:textId="41A95324" w:rsidR="004C7BE7" w:rsidRDefault="004C7BE7" w:rsidP="000C139A">
      <w:pPr>
        <w:rPr>
          <w:rFonts w:cs="Arial"/>
        </w:rPr>
      </w:pPr>
      <w:r w:rsidRPr="004C7BE7">
        <w:rPr>
          <w:rFonts w:cs="Arial"/>
        </w:rPr>
        <w:t xml:space="preserve">A TWA of </w:t>
      </w:r>
      <w:r>
        <w:rPr>
          <w:rFonts w:cs="Arial"/>
        </w:rPr>
        <w:t>0.</w:t>
      </w:r>
      <w:r w:rsidR="00BD6E4C">
        <w:rPr>
          <w:rFonts w:cs="Arial"/>
        </w:rPr>
        <w:t>04</w:t>
      </w:r>
      <w:r>
        <w:rPr>
          <w:rFonts w:cs="Arial"/>
        </w:rPr>
        <w:t xml:space="preserve"> </w:t>
      </w:r>
      <w:r w:rsidRPr="004C7BE7">
        <w:rPr>
          <w:rFonts w:cs="Arial"/>
        </w:rPr>
        <w:t>ppm (</w:t>
      </w:r>
      <w:r w:rsidR="00BD6E4C">
        <w:rPr>
          <w:rFonts w:cs="Arial"/>
        </w:rPr>
        <w:t>0.1</w:t>
      </w:r>
      <w:r w:rsidRPr="004C7BE7">
        <w:rPr>
          <w:rFonts w:cs="Arial"/>
        </w:rPr>
        <w:t xml:space="preserve"> mg/m</w:t>
      </w:r>
      <w:r w:rsidRPr="004C7BE7">
        <w:rPr>
          <w:rFonts w:cs="Arial"/>
          <w:vertAlign w:val="superscript"/>
        </w:rPr>
        <w:t>3</w:t>
      </w:r>
      <w:r w:rsidRPr="004C7BE7">
        <w:rPr>
          <w:rFonts w:cs="Arial"/>
        </w:rPr>
        <w:t xml:space="preserve">) is recommended to protect </w:t>
      </w:r>
      <w:r w:rsidR="00BD6E4C">
        <w:rPr>
          <w:rFonts w:cs="Arial"/>
        </w:rPr>
        <w:t xml:space="preserve">for headaches </w:t>
      </w:r>
      <w:r w:rsidRPr="004C7BE7">
        <w:rPr>
          <w:rFonts w:cs="Arial"/>
        </w:rPr>
        <w:t xml:space="preserve">in exposed workers. </w:t>
      </w:r>
    </w:p>
    <w:p w14:paraId="56D7D7AF" w14:textId="0DB58CA8" w:rsidR="006639B4" w:rsidRDefault="004C7BE7" w:rsidP="000C139A">
      <w:pPr>
        <w:rPr>
          <w:rFonts w:cs="Arial"/>
        </w:rPr>
      </w:pPr>
      <w:r w:rsidRPr="004C7BE7">
        <w:rPr>
          <w:rFonts w:cs="Arial"/>
        </w:rPr>
        <w:t xml:space="preserve">A peak limitation of </w:t>
      </w:r>
      <w:r w:rsidR="00BD6E4C">
        <w:rPr>
          <w:rFonts w:cs="Arial"/>
        </w:rPr>
        <w:t xml:space="preserve">0.11 </w:t>
      </w:r>
      <w:r w:rsidRPr="004C7BE7">
        <w:rPr>
          <w:rFonts w:cs="Arial"/>
        </w:rPr>
        <w:t>ppm (</w:t>
      </w:r>
      <w:r w:rsidR="00BD6E4C">
        <w:rPr>
          <w:rFonts w:cs="Arial"/>
        </w:rPr>
        <w:t xml:space="preserve">0.3 </w:t>
      </w:r>
      <w:r w:rsidRPr="004C7BE7">
        <w:rPr>
          <w:rFonts w:cs="Arial"/>
        </w:rPr>
        <w:t>mg/m</w:t>
      </w:r>
      <w:r w:rsidRPr="004C7BE7">
        <w:rPr>
          <w:rFonts w:cs="Arial"/>
          <w:vertAlign w:val="superscript"/>
        </w:rPr>
        <w:t>3</w:t>
      </w:r>
      <w:r w:rsidRPr="004C7BE7">
        <w:rPr>
          <w:rFonts w:cs="Arial"/>
        </w:rPr>
        <w:t xml:space="preserve">) is recommended to protect for </w:t>
      </w:r>
      <w:r w:rsidR="00BD6E4C">
        <w:rPr>
          <w:rFonts w:cs="Arial"/>
        </w:rPr>
        <w:t>acute irritation</w:t>
      </w:r>
      <w:r w:rsidR="00BD6E4C" w:rsidRPr="00BD6E4C">
        <w:rPr>
          <w:rFonts w:cs="Arial"/>
        </w:rPr>
        <w:t xml:space="preserve"> and </w:t>
      </w:r>
      <w:r w:rsidR="00BD6E4C">
        <w:rPr>
          <w:rFonts w:cs="Arial"/>
        </w:rPr>
        <w:t>adverse cardiovascular</w:t>
      </w:r>
      <w:r w:rsidR="00BD6E4C" w:rsidRPr="00BD6E4C">
        <w:rPr>
          <w:rFonts w:cs="Arial"/>
        </w:rPr>
        <w:t xml:space="preserve"> and central nervous system (CNS) </w:t>
      </w:r>
      <w:r w:rsidR="00BD6E4C">
        <w:rPr>
          <w:rFonts w:cs="Arial"/>
        </w:rPr>
        <w:t>effects</w:t>
      </w:r>
      <w:r w:rsidR="00BD6E4C" w:rsidRPr="00BD6E4C">
        <w:rPr>
          <w:rFonts w:cs="Arial"/>
        </w:rPr>
        <w:t xml:space="preserve"> </w:t>
      </w:r>
      <w:r w:rsidRPr="004C7BE7">
        <w:rPr>
          <w:rFonts w:cs="Arial"/>
        </w:rPr>
        <w:t>in exposed workers</w:t>
      </w:r>
      <w:r>
        <w:rPr>
          <w:rFonts w:cs="Arial"/>
        </w:rPr>
        <w:t>.</w:t>
      </w:r>
    </w:p>
    <w:p w14:paraId="7EF50FBC" w14:textId="63F8AE00" w:rsidR="00BD6E4C" w:rsidRPr="004C23F4" w:rsidRDefault="006C42A1" w:rsidP="000C139A">
      <w:pPr>
        <w:rPr>
          <w:rFonts w:cs="Arial"/>
        </w:rPr>
      </w:pPr>
      <w:r>
        <w:rPr>
          <w:rFonts w:cs="Arial"/>
        </w:rPr>
        <w:t>Given the limited data available from the primary sources, it is recommended that a review of additional sources be conducted at the next scheduled review.</w:t>
      </w:r>
    </w:p>
    <w:p w14:paraId="317A46B1" w14:textId="77777777" w:rsidR="00C7155E" w:rsidRPr="004C23F4" w:rsidRDefault="00F10C97" w:rsidP="003365A5">
      <w:pPr>
        <w:pStyle w:val="Heading2"/>
      </w:pPr>
      <w:r>
        <w:t>Discussion and conclusions</w:t>
      </w:r>
    </w:p>
    <w:p w14:paraId="1EF3D6DB" w14:textId="07BA9D00" w:rsidR="00ED03DA" w:rsidRDefault="00DB42B5" w:rsidP="006639B4">
      <w:pPr>
        <w:rPr>
          <w:rFonts w:cs="Arial"/>
        </w:rPr>
      </w:pPr>
      <w:r>
        <w:rPr>
          <w:rFonts w:cs="Arial"/>
        </w:rPr>
        <w:t xml:space="preserve">Sodium </w:t>
      </w:r>
      <w:proofErr w:type="spellStart"/>
      <w:r>
        <w:rPr>
          <w:rFonts w:cs="Arial"/>
        </w:rPr>
        <w:t>azide</w:t>
      </w:r>
      <w:proofErr w:type="spellEnd"/>
      <w:r w:rsidR="006401B0">
        <w:rPr>
          <w:rFonts w:cs="Arial"/>
        </w:rPr>
        <w:t xml:space="preserve"> forms volatile hydrazoic acid in aqueous solution and</w:t>
      </w:r>
      <w:r>
        <w:rPr>
          <w:rFonts w:cs="Arial"/>
        </w:rPr>
        <w:t xml:space="preserve"> is used in chemical synthesis, explosives, rubber,</w:t>
      </w:r>
      <w:r w:rsidR="003D4635">
        <w:rPr>
          <w:rFonts w:cs="Arial"/>
        </w:rPr>
        <w:t xml:space="preserve"> </w:t>
      </w:r>
      <w:r>
        <w:rPr>
          <w:rFonts w:cs="Arial"/>
        </w:rPr>
        <w:t>beer production, as a propellant</w:t>
      </w:r>
      <w:r w:rsidR="003D4635">
        <w:rPr>
          <w:rFonts w:cs="Arial"/>
        </w:rPr>
        <w:t xml:space="preserve"> </w:t>
      </w:r>
      <w:r>
        <w:rPr>
          <w:rFonts w:cs="Arial"/>
        </w:rPr>
        <w:t>and pesticide</w:t>
      </w:r>
      <w:r w:rsidR="003D4635">
        <w:rPr>
          <w:rFonts w:cs="Arial"/>
        </w:rPr>
        <w:t>. I</w:t>
      </w:r>
      <w:r w:rsidR="003B66D3">
        <w:rPr>
          <w:rFonts w:cs="Arial"/>
        </w:rPr>
        <w:t>t was formerly used as a vasodilator and disinfectant in medical applications</w:t>
      </w:r>
      <w:r>
        <w:rPr>
          <w:rFonts w:cs="Arial"/>
        </w:rPr>
        <w:t xml:space="preserve">. </w:t>
      </w:r>
    </w:p>
    <w:p w14:paraId="6575757F" w14:textId="48A546A1" w:rsidR="00B0701E" w:rsidRDefault="00DB42B5" w:rsidP="006639B4">
      <w:pPr>
        <w:rPr>
          <w:rFonts w:cs="Arial"/>
        </w:rPr>
      </w:pPr>
      <w:r>
        <w:rPr>
          <w:rFonts w:cs="Arial"/>
        </w:rPr>
        <w:t>Crit</w:t>
      </w:r>
      <w:r w:rsidR="00BD6E4C">
        <w:rPr>
          <w:rFonts w:cs="Arial"/>
        </w:rPr>
        <w:t xml:space="preserve">ical effects </w:t>
      </w:r>
      <w:r w:rsidR="007828B6">
        <w:rPr>
          <w:rFonts w:cs="Arial"/>
        </w:rPr>
        <w:t xml:space="preserve">of exposure </w:t>
      </w:r>
      <w:r w:rsidR="00BD6E4C">
        <w:rPr>
          <w:rFonts w:cs="Arial"/>
        </w:rPr>
        <w:t>are eye and mucous membrane irritation</w:t>
      </w:r>
      <w:r>
        <w:rPr>
          <w:rFonts w:cs="Arial"/>
        </w:rPr>
        <w:t xml:space="preserve"> and </w:t>
      </w:r>
      <w:r w:rsidR="00BD6E4C">
        <w:rPr>
          <w:rFonts w:cs="Arial"/>
        </w:rPr>
        <w:t>acute cardiovascular</w:t>
      </w:r>
      <w:r w:rsidRPr="00DB42B5">
        <w:rPr>
          <w:rFonts w:cs="Arial"/>
        </w:rPr>
        <w:t xml:space="preserve"> </w:t>
      </w:r>
      <w:r w:rsidR="00BD6E4C">
        <w:rPr>
          <w:rFonts w:cs="Arial"/>
        </w:rPr>
        <w:t>and CNS</w:t>
      </w:r>
      <w:r w:rsidRPr="00DB42B5">
        <w:rPr>
          <w:rFonts w:cs="Arial"/>
        </w:rPr>
        <w:t xml:space="preserve"> toxicity</w:t>
      </w:r>
      <w:r>
        <w:rPr>
          <w:rFonts w:cs="Arial"/>
        </w:rPr>
        <w:t>.</w:t>
      </w:r>
    </w:p>
    <w:p w14:paraId="2E233F10" w14:textId="3FB41344" w:rsidR="00021353" w:rsidRDefault="003B66D3" w:rsidP="006639B4">
      <w:pPr>
        <w:rPr>
          <w:rFonts w:cs="Arial"/>
        </w:rPr>
      </w:pPr>
      <w:r>
        <w:rPr>
          <w:rFonts w:cs="Arial"/>
        </w:rPr>
        <w:t xml:space="preserve">Headaches and mucous membrane irritation are reported at </w:t>
      </w:r>
      <w:r w:rsidR="006401B0">
        <w:rPr>
          <w:rFonts w:cs="Arial"/>
        </w:rPr>
        <w:t>0.3</w:t>
      </w:r>
      <w:r w:rsidR="00D50BC8">
        <w:rPr>
          <w:rFonts w:cs="Arial"/>
        </w:rPr>
        <w:t xml:space="preserve"> to </w:t>
      </w:r>
      <w:r>
        <w:rPr>
          <w:rFonts w:cs="Arial"/>
        </w:rPr>
        <w:t>0.5 ppm in occupationally exposed workers</w:t>
      </w:r>
      <w:r w:rsidR="006401B0">
        <w:rPr>
          <w:rFonts w:cs="Arial"/>
        </w:rPr>
        <w:t xml:space="preserve"> (ACGIH, 2018; SCOEL, 2009), the incidence of which decreased when expos</w:t>
      </w:r>
      <w:r w:rsidR="00B0701E">
        <w:rPr>
          <w:rFonts w:cs="Arial"/>
        </w:rPr>
        <w:t>ed</w:t>
      </w:r>
      <w:r w:rsidR="006401B0">
        <w:rPr>
          <w:rFonts w:cs="Arial"/>
        </w:rPr>
        <w:t xml:space="preserve"> to 0.2 ppm</w:t>
      </w:r>
      <w:r w:rsidR="00ED03DA">
        <w:rPr>
          <w:rFonts w:cs="Arial"/>
        </w:rPr>
        <w:t>.</w:t>
      </w:r>
      <w:r w:rsidR="004C7BE7">
        <w:rPr>
          <w:rFonts w:cs="Arial"/>
        </w:rPr>
        <w:t xml:space="preserve"> </w:t>
      </w:r>
      <w:r w:rsidR="00ED03DA">
        <w:rPr>
          <w:rFonts w:cs="Arial"/>
        </w:rPr>
        <w:t>H</w:t>
      </w:r>
      <w:r w:rsidR="007828B6">
        <w:rPr>
          <w:rFonts w:cs="Arial"/>
        </w:rPr>
        <w:t xml:space="preserve">owever, </w:t>
      </w:r>
      <w:r w:rsidR="004C7BE7">
        <w:rPr>
          <w:rFonts w:cs="Arial"/>
        </w:rPr>
        <w:t>a NOAEC could not be determined</w:t>
      </w:r>
      <w:r>
        <w:rPr>
          <w:rFonts w:cs="Arial"/>
        </w:rPr>
        <w:t xml:space="preserve"> (</w:t>
      </w:r>
      <w:r w:rsidR="006401B0">
        <w:rPr>
          <w:rFonts w:cs="Arial"/>
        </w:rPr>
        <w:t>SCOEL, 2009</w:t>
      </w:r>
      <w:r>
        <w:rPr>
          <w:rFonts w:cs="Arial"/>
        </w:rPr>
        <w:t xml:space="preserve">). </w:t>
      </w:r>
      <w:r w:rsidR="00AA3808">
        <w:rPr>
          <w:rFonts w:cs="Arial"/>
        </w:rPr>
        <w:t>Decreased blood pressure is associated with exposure at 0.11 ppm in acutely exposed production workers</w:t>
      </w:r>
      <w:r w:rsidR="00CC51A5">
        <w:rPr>
          <w:rFonts w:cs="Arial"/>
        </w:rPr>
        <w:t xml:space="preserve"> (SCOEL,</w:t>
      </w:r>
      <w:r w:rsidR="003D4635">
        <w:rPr>
          <w:rFonts w:cs="Arial"/>
        </w:rPr>
        <w:t> </w:t>
      </w:r>
      <w:r w:rsidR="00CC51A5">
        <w:rPr>
          <w:rFonts w:cs="Arial"/>
        </w:rPr>
        <w:t>2009)</w:t>
      </w:r>
      <w:r w:rsidR="006401B0">
        <w:rPr>
          <w:rFonts w:cs="Arial"/>
        </w:rPr>
        <w:t>. Hypertensive patients had</w:t>
      </w:r>
      <w:r w:rsidR="00AA3808">
        <w:rPr>
          <w:rFonts w:cs="Arial"/>
        </w:rPr>
        <w:t xml:space="preserve"> transient headaches at oral dose</w:t>
      </w:r>
      <w:r w:rsidR="00CC51A5">
        <w:rPr>
          <w:rFonts w:cs="Arial"/>
        </w:rPr>
        <w:t>s up to 3.9 mg/day, whereas doses above 50 mg/day caused tachycardia and collapse (ACGIH, 2018; DFG, 2003).</w:t>
      </w:r>
    </w:p>
    <w:p w14:paraId="46C17444" w14:textId="32858DFF" w:rsidR="007828B6" w:rsidRDefault="00CC51A5" w:rsidP="006639B4">
      <w:pPr>
        <w:rPr>
          <w:rFonts w:cs="Arial"/>
        </w:rPr>
      </w:pPr>
      <w:r>
        <w:rPr>
          <w:rFonts w:cs="Arial"/>
        </w:rPr>
        <w:t xml:space="preserve">The available occupational data indicate the onset of adverse cardiovascular effects </w:t>
      </w:r>
      <w:r w:rsidR="006401B0">
        <w:rPr>
          <w:rFonts w:cs="Arial"/>
        </w:rPr>
        <w:t>at</w:t>
      </w:r>
      <w:r>
        <w:rPr>
          <w:rFonts w:cs="Arial"/>
        </w:rPr>
        <w:t xml:space="preserve"> 0.11 ppm</w:t>
      </w:r>
      <w:r w:rsidR="006401B0">
        <w:rPr>
          <w:rFonts w:cs="Arial"/>
        </w:rPr>
        <w:t>, which cause headaches at 0.2 ppm;</w:t>
      </w:r>
      <w:r>
        <w:rPr>
          <w:rFonts w:cs="Arial"/>
        </w:rPr>
        <w:t xml:space="preserve"> </w:t>
      </w:r>
      <w:r w:rsidR="007828B6">
        <w:rPr>
          <w:rFonts w:cs="Arial"/>
        </w:rPr>
        <w:t xml:space="preserve">with </w:t>
      </w:r>
      <w:r>
        <w:rPr>
          <w:rFonts w:cs="Arial"/>
        </w:rPr>
        <w:t xml:space="preserve">a steep dose-response relationship observed in orally dosed patients. In view of this information, the </w:t>
      </w:r>
      <w:r w:rsidR="00ED03DA">
        <w:rPr>
          <w:rFonts w:cs="Arial"/>
        </w:rPr>
        <w:t>p</w:t>
      </w:r>
      <w:r>
        <w:rPr>
          <w:rFonts w:cs="Arial"/>
        </w:rPr>
        <w:t xml:space="preserve">eak </w:t>
      </w:r>
      <w:r w:rsidR="00ED03DA">
        <w:rPr>
          <w:rFonts w:cs="Arial"/>
        </w:rPr>
        <w:t>l</w:t>
      </w:r>
      <w:r>
        <w:rPr>
          <w:rFonts w:cs="Arial"/>
        </w:rPr>
        <w:t>imitation of 0.11 ppm is retained and considered protective of acute cardiovascular and CNS effects</w:t>
      </w:r>
      <w:r w:rsidR="004C7BE7">
        <w:rPr>
          <w:rFonts w:cs="Arial"/>
        </w:rPr>
        <w:t xml:space="preserve">. In the absence of a NOAEC for these effects, </w:t>
      </w:r>
      <w:r w:rsidR="00B0701E">
        <w:rPr>
          <w:rFonts w:cs="Arial"/>
        </w:rPr>
        <w:t xml:space="preserve">the </w:t>
      </w:r>
      <w:r w:rsidR="004C7BE7">
        <w:rPr>
          <w:rFonts w:cs="Arial"/>
        </w:rPr>
        <w:t>interim TWA of 0.0</w:t>
      </w:r>
      <w:r w:rsidR="00BD6E4C">
        <w:rPr>
          <w:rFonts w:cs="Arial"/>
        </w:rPr>
        <w:t>4</w:t>
      </w:r>
      <w:r w:rsidR="004C7BE7">
        <w:rPr>
          <w:rFonts w:cs="Arial"/>
        </w:rPr>
        <w:t xml:space="preserve"> ppm </w:t>
      </w:r>
      <w:r w:rsidR="00B0701E">
        <w:rPr>
          <w:rFonts w:cs="Arial"/>
        </w:rPr>
        <w:t xml:space="preserve">by SCOEL (2009) </w:t>
      </w:r>
      <w:r w:rsidR="004C7BE7">
        <w:rPr>
          <w:rFonts w:cs="Arial"/>
        </w:rPr>
        <w:t xml:space="preserve">is </w:t>
      </w:r>
      <w:r w:rsidR="00B0701E">
        <w:rPr>
          <w:rFonts w:cs="Arial"/>
        </w:rPr>
        <w:t xml:space="preserve">recommended </w:t>
      </w:r>
      <w:r w:rsidR="00C06756">
        <w:rPr>
          <w:rFonts w:cs="Arial"/>
        </w:rPr>
        <w:t xml:space="preserve">to </w:t>
      </w:r>
      <w:r w:rsidR="00B0701E">
        <w:rPr>
          <w:rFonts w:cs="Arial"/>
        </w:rPr>
        <w:t xml:space="preserve">be </w:t>
      </w:r>
      <w:r w:rsidR="004C7BE7">
        <w:rPr>
          <w:rFonts w:cs="Arial"/>
        </w:rPr>
        <w:t>adopted</w:t>
      </w:r>
      <w:r w:rsidR="00B0701E">
        <w:rPr>
          <w:rFonts w:cs="Arial"/>
        </w:rPr>
        <w:t>.</w:t>
      </w:r>
    </w:p>
    <w:p w14:paraId="6906BB5B" w14:textId="7AF93DB6" w:rsidR="00CC51A5" w:rsidRPr="004C23F4" w:rsidRDefault="004C7BE7" w:rsidP="006639B4">
      <w:pPr>
        <w:rPr>
          <w:rFonts w:cs="Arial"/>
        </w:rPr>
      </w:pPr>
      <w:r>
        <w:rPr>
          <w:rFonts w:cs="Arial"/>
        </w:rPr>
        <w:lastRenderedPageBreak/>
        <w:t>Further assessment of additional source material regarding a threshold concentration for headache</w:t>
      </w:r>
      <w:r w:rsidR="007828B6">
        <w:rPr>
          <w:rFonts w:cs="Arial"/>
        </w:rPr>
        <w:t>s</w:t>
      </w:r>
      <w:r>
        <w:rPr>
          <w:rFonts w:cs="Arial"/>
        </w:rPr>
        <w:t xml:space="preserve"> is recommended during the next scheduled review.</w:t>
      </w:r>
    </w:p>
    <w:p w14:paraId="273B44AD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27C6755E" w14:textId="77777777" w:rsidR="008E4F1F" w:rsidRPr="00626E31" w:rsidRDefault="008E4F1F" w:rsidP="008E4F1F">
      <w:pPr>
        <w:rPr>
          <w:rFonts w:cs="Arial"/>
        </w:rPr>
      </w:pPr>
      <w:r w:rsidRPr="00626E31">
        <w:rPr>
          <w:rFonts w:cs="Arial"/>
        </w:rPr>
        <w:t>Not classified as a carcinogen according to the Globally Harmonized System of</w:t>
      </w:r>
      <w:r w:rsidR="00155999" w:rsidRPr="00626E31">
        <w:rPr>
          <w:rFonts w:cs="Arial"/>
        </w:rPr>
        <w:t xml:space="preserve"> Classification and Labelling of</w:t>
      </w:r>
      <w:r w:rsidRPr="00626E31">
        <w:rPr>
          <w:rFonts w:cs="Arial"/>
        </w:rPr>
        <w:t xml:space="preserve"> Chemicals (GHS). </w:t>
      </w:r>
    </w:p>
    <w:p w14:paraId="03916CCC" w14:textId="77777777" w:rsidR="008E4F1F" w:rsidRPr="00626E31" w:rsidRDefault="008E4F1F" w:rsidP="008E4F1F">
      <w:pPr>
        <w:rPr>
          <w:rFonts w:cs="Arial"/>
        </w:rPr>
      </w:pPr>
      <w:r w:rsidRPr="00626E31">
        <w:rPr>
          <w:rFonts w:cs="Arial"/>
        </w:rPr>
        <w:t xml:space="preserve">Not classified as a skin </w:t>
      </w:r>
      <w:r w:rsidR="00155999" w:rsidRPr="00626E31">
        <w:rPr>
          <w:rFonts w:cs="Arial"/>
        </w:rPr>
        <w:t xml:space="preserve">sensitiser </w:t>
      </w:r>
      <w:r w:rsidRPr="00626E31">
        <w:rPr>
          <w:rFonts w:cs="Arial"/>
        </w:rPr>
        <w:t>or respiratory sensitiser according to the GHS.</w:t>
      </w:r>
    </w:p>
    <w:p w14:paraId="387D6613" w14:textId="0FFF47A2" w:rsidR="004B0B8F" w:rsidRDefault="004B0B8F" w:rsidP="004B0B8F">
      <w:pPr>
        <w:rPr>
          <w:rFonts w:cs="Arial"/>
        </w:rPr>
      </w:pPr>
      <w:r w:rsidRPr="004B0B8F">
        <w:rPr>
          <w:rFonts w:cs="Arial"/>
        </w:rPr>
        <w:t xml:space="preserve">A skin notation is not </w:t>
      </w:r>
      <w:r w:rsidR="00ED03DA">
        <w:rPr>
          <w:rFonts w:cs="Arial"/>
        </w:rPr>
        <w:t>recommend</w:t>
      </w:r>
      <w:r w:rsidRPr="004B0B8F">
        <w:rPr>
          <w:rFonts w:cs="Arial"/>
        </w:rPr>
        <w:t>ed based on the available evidence.</w:t>
      </w:r>
    </w:p>
    <w:p w14:paraId="21CCE2A5" w14:textId="77777777" w:rsidR="0025734A" w:rsidRPr="004C23F4" w:rsidRDefault="0025734A">
      <w:pPr>
        <w:rPr>
          <w:rFonts w:cs="Arial"/>
        </w:rPr>
      </w:pPr>
    </w:p>
    <w:p w14:paraId="4C1F8D43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17B1B74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AD9225C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57268B5" w14:textId="77777777" w:rsidTr="00203E9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707E895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B240DF2" w14:textId="77777777" w:rsidTr="00203E93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3127B3A8" w14:textId="14B4C86F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27531B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F8258E">
                  <w:t>Peak Limitation</w:t>
                </w:r>
                <w:r w:rsidR="0027531B">
                  <w:t>: 0.11 ppm (0.3 mg/m</w:t>
                </w:r>
                <w:r w:rsidR="0027531B" w:rsidRPr="0027531B">
                  <w:rPr>
                    <w:vertAlign w:val="superscript"/>
                  </w:rPr>
                  <w:t>3</w:t>
                </w:r>
                <w:r w:rsidR="0027531B">
                  <w:t>)</w:t>
                </w:r>
              </w:sdtContent>
            </w:sdt>
          </w:p>
        </w:tc>
      </w:tr>
      <w:tr w:rsidR="00C978F0" w:rsidRPr="00DA352E" w14:paraId="26087DDB" w14:textId="77777777" w:rsidTr="00203E93">
        <w:trPr>
          <w:gridAfter w:val="1"/>
          <w:wAfter w:w="8" w:type="pct"/>
          <w:cantSplit/>
        </w:trPr>
        <w:tc>
          <w:tcPr>
            <w:tcW w:w="4992" w:type="pct"/>
          </w:tcPr>
          <w:p w14:paraId="1137D58F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24593221" w14:textId="77777777" w:rsidTr="00203E93">
        <w:trPr>
          <w:gridAfter w:val="1"/>
          <w:wAfter w:w="8" w:type="pct"/>
          <w:cantSplit/>
          <w:trHeight w:val="388"/>
        </w:trPr>
        <w:tc>
          <w:tcPr>
            <w:tcW w:w="4992" w:type="pct"/>
            <w:shd w:val="clear" w:color="auto" w:fill="F2F2F2" w:themeFill="background1" w:themeFillShade="F2"/>
          </w:tcPr>
          <w:p w14:paraId="2ED10929" w14:textId="7B8B1AD9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27531B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27531B" w:rsidRPr="0027531B">
                  <w:t>TLV-C</w:t>
                </w:r>
                <w:r w:rsidR="00F8258E">
                  <w:t>eiling</w:t>
                </w:r>
                <w:r w:rsidR="0027531B">
                  <w:t>: 0.29 mg/m</w:t>
                </w:r>
                <w:r w:rsidR="0027531B" w:rsidRPr="0027531B">
                  <w:rPr>
                    <w:vertAlign w:val="superscript"/>
                  </w:rPr>
                  <w:t>3</w:t>
                </w:r>
                <w:r w:rsidR="00F8258E">
                  <w:t xml:space="preserve"> as N</w:t>
                </w:r>
                <w:r w:rsidR="00F8258E">
                  <w:rPr>
                    <w:vertAlign w:val="subscript"/>
                  </w:rPr>
                  <w:t>3</w:t>
                </w:r>
                <w:r w:rsidR="00F8258E">
                  <w:t>Na; 0.11 ppm as hydrazoic acid</w:t>
                </w:r>
              </w:sdtContent>
            </w:sdt>
          </w:p>
        </w:tc>
      </w:tr>
      <w:tr w:rsidR="00C978F0" w:rsidRPr="00DA352E" w14:paraId="418D532D" w14:textId="77777777" w:rsidTr="00203E93">
        <w:trPr>
          <w:gridAfter w:val="1"/>
          <w:wAfter w:w="8" w:type="pct"/>
        </w:trPr>
        <w:tc>
          <w:tcPr>
            <w:tcW w:w="4992" w:type="pct"/>
          </w:tcPr>
          <w:p w14:paraId="2B728A72" w14:textId="26D8904F" w:rsidR="00ED03DA" w:rsidRDefault="00F8258E" w:rsidP="003365A5">
            <w:pPr>
              <w:pStyle w:val="Tabletextprimarysource"/>
            </w:pPr>
            <w:r>
              <w:t xml:space="preserve">TLV-Ceiling intended to protect for acute cardiovascular, </w:t>
            </w:r>
            <w:r w:rsidR="00CC51A5">
              <w:t>CNS</w:t>
            </w:r>
            <w:r>
              <w:t xml:space="preserve"> and pulmonary toxicity and eye irritation, headache, hypertension and bronchitis. Hydrazoic acid considered in evaluation due to its facile formation in aqueous solution from N</w:t>
            </w:r>
            <w:r>
              <w:rPr>
                <w:vertAlign w:val="subscript"/>
              </w:rPr>
              <w:t>3</w:t>
            </w:r>
            <w:r>
              <w:t xml:space="preserve">Na, </w:t>
            </w:r>
            <w:r w:rsidR="007828B6">
              <w:t>a</w:t>
            </w:r>
            <w:r w:rsidR="00ED03DA">
              <w:t>nd</w:t>
            </w:r>
            <w:r w:rsidR="007828B6">
              <w:t xml:space="preserve"> </w:t>
            </w:r>
            <w:r>
              <w:t xml:space="preserve">common presence when handling and use in its production. </w:t>
            </w:r>
          </w:p>
          <w:p w14:paraId="7A642757" w14:textId="31EEA667" w:rsidR="00C978F0" w:rsidRDefault="00F8258E" w:rsidP="003365A5">
            <w:pPr>
              <w:pStyle w:val="Tabletextprimarysource"/>
            </w:pPr>
            <w:r>
              <w:t>Not classifiable as a human carcinogen (A4) based on absence of carcinogenicity in chronically exposed rodents.</w:t>
            </w:r>
          </w:p>
          <w:p w14:paraId="76D53557" w14:textId="365CF82B" w:rsidR="00F8258E" w:rsidRDefault="00F8258E" w:rsidP="003365A5">
            <w:pPr>
              <w:pStyle w:val="Tabletextprimarysource"/>
            </w:pPr>
            <w:r>
              <w:t>Summary of information</w:t>
            </w:r>
            <w:r w:rsidR="00DB42B5">
              <w:t>:</w:t>
            </w:r>
          </w:p>
          <w:p w14:paraId="166029D9" w14:textId="0347071F" w:rsidR="00DB42B5" w:rsidRPr="000B73A8" w:rsidRDefault="00DB42B5" w:rsidP="000B73A8">
            <w:pPr>
              <w:pStyle w:val="Tabletextprimarysource"/>
            </w:pPr>
            <w:r>
              <w:t>Toxicity related to inhibition of haem-enzymes.</w:t>
            </w:r>
            <w:r w:rsidR="005C5CC1">
              <w:t xml:space="preserve"> Potent vasodilator</w:t>
            </w:r>
            <w:r w:rsidR="003D4635">
              <w:t xml:space="preserve"> </w:t>
            </w:r>
            <w:r w:rsidR="005C5CC1">
              <w:t>rapidly causes dyspnoea, tachycardia and headache</w:t>
            </w:r>
            <w:r w:rsidR="000B73A8">
              <w:t>. Based on symptoms of laboratory workers exposed at 0.5 ppm, maximal intake of 0.75 mg/d is estimated, which equates to an air concentration of 0.1 mg/m</w:t>
            </w:r>
            <w:r w:rsidR="000B73A8">
              <w:rPr>
                <w:vertAlign w:val="superscript"/>
              </w:rPr>
              <w:t>3</w:t>
            </w:r>
            <w:r w:rsidR="000B73A8">
              <w:t xml:space="preserve"> (0.04 ppm) assuming a respiratory volume of 10 m</w:t>
            </w:r>
            <w:r w:rsidR="000B73A8">
              <w:rPr>
                <w:vertAlign w:val="superscript"/>
              </w:rPr>
              <w:t>3</w:t>
            </w:r>
            <w:r w:rsidR="000B73A8">
              <w:t xml:space="preserve"> and 75% retention during an 8</w:t>
            </w:r>
            <w:r w:rsidR="00ED03DA">
              <w:t xml:space="preserve"> </w:t>
            </w:r>
            <w:r w:rsidR="000B73A8">
              <w:t>h shift. To provide a margin of safety for the acute effects, a TLV-Ceiling of 0.29 mg/m</w:t>
            </w:r>
            <w:r w:rsidR="000B73A8">
              <w:rPr>
                <w:vertAlign w:val="superscript"/>
              </w:rPr>
              <w:t>3</w:t>
            </w:r>
            <w:r w:rsidR="000B73A8">
              <w:t xml:space="preserve"> is recommended; derivation of this value is not discussed or presented.</w:t>
            </w:r>
          </w:p>
          <w:p w14:paraId="27A96BDB" w14:textId="65695EA1" w:rsidR="00DB42B5" w:rsidRDefault="00DB42B5" w:rsidP="003365A5">
            <w:pPr>
              <w:pStyle w:val="Tabletextprimarysource"/>
            </w:pPr>
            <w:r>
              <w:t>Human data:</w:t>
            </w:r>
          </w:p>
          <w:p w14:paraId="2425F12D" w14:textId="2A586B62" w:rsidR="00ED03DA" w:rsidRDefault="005C5CC1" w:rsidP="005C5CC1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Decreased </w:t>
            </w:r>
            <w:r w:rsidR="007828B6">
              <w:t>BP</w:t>
            </w:r>
            <w:r>
              <w:t xml:space="preserve"> and transient throbbing headache in patients treated for hypertension with 0.65–3.9 mg/kg (n=30, up to 2.5 </w:t>
            </w:r>
            <w:proofErr w:type="spellStart"/>
            <w:r>
              <w:t>yr</w:t>
            </w:r>
            <w:proofErr w:type="spellEnd"/>
            <w:r>
              <w:t>)</w:t>
            </w:r>
            <w:r w:rsidR="006F57D3">
              <w:t>:</w:t>
            </w:r>
            <w:r>
              <w:t xml:space="preserve"> </w:t>
            </w:r>
          </w:p>
          <w:p w14:paraId="024A548C" w14:textId="64A4DFAE" w:rsidR="00DB42B5" w:rsidRDefault="005C5CC1" w:rsidP="00A0607F">
            <w:pPr>
              <w:pStyle w:val="Tabletextprimarysource"/>
              <w:numPr>
                <w:ilvl w:val="0"/>
                <w:numId w:val="3"/>
              </w:numPr>
            </w:pPr>
            <w:r>
              <w:t>20/30 patients sensitised to these effects and dosage was reduced</w:t>
            </w:r>
          </w:p>
          <w:p w14:paraId="63E107D2" w14:textId="63F11EF7" w:rsidR="00ED03DA" w:rsidRDefault="00CC51A5" w:rsidP="005C5CC1">
            <w:pPr>
              <w:pStyle w:val="Tabletextprimarysource"/>
              <w:numPr>
                <w:ilvl w:val="0"/>
                <w:numId w:val="2"/>
              </w:numPr>
            </w:pPr>
            <w:r>
              <w:t>Transient headache at 5–10 mg</w:t>
            </w:r>
            <w:r w:rsidR="006F57D3">
              <w:t>:</w:t>
            </w:r>
            <w:r w:rsidR="005C5CC1">
              <w:t xml:space="preserve"> </w:t>
            </w:r>
          </w:p>
          <w:p w14:paraId="2941CD88" w14:textId="10DC060E" w:rsidR="005C5CC1" w:rsidRDefault="005C5CC1" w:rsidP="00A0607F">
            <w:pPr>
              <w:pStyle w:val="Tabletextprimarysource"/>
              <w:numPr>
                <w:ilvl w:val="0"/>
                <w:numId w:val="3"/>
              </w:numPr>
            </w:pPr>
            <w:r>
              <w:t>hypotension, tachycardia and collapse at 50–60 mg (no further details provided)</w:t>
            </w:r>
          </w:p>
          <w:p w14:paraId="624EDDD2" w14:textId="33F14408" w:rsidR="005C5CC1" w:rsidRDefault="000B73A8" w:rsidP="005C5CC1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Headaches </w:t>
            </w:r>
            <w:r w:rsidR="00A84682">
              <w:t xml:space="preserve">and mucosal irritation </w:t>
            </w:r>
            <w:r>
              <w:t>in laboratory workers chronically exposed at 0.5</w:t>
            </w:r>
            <w:r w:rsidR="00A84682">
              <w:t> </w:t>
            </w:r>
            <w:r>
              <w:t>ppm</w:t>
            </w:r>
            <w:r w:rsidR="006401B0">
              <w:t xml:space="preserve"> hydrazoic acid</w:t>
            </w:r>
            <w:r w:rsidR="007828B6">
              <w:t>.</w:t>
            </w:r>
          </w:p>
          <w:p w14:paraId="3AF9476F" w14:textId="47682B1A" w:rsidR="00DB42B5" w:rsidRPr="004B0B8F" w:rsidRDefault="00DB42B5" w:rsidP="003365A5">
            <w:pPr>
              <w:pStyle w:val="Tabletextprimarysource"/>
            </w:pPr>
            <w:r>
              <w:t xml:space="preserve">Animal </w:t>
            </w:r>
            <w:r w:rsidRPr="004B0B8F">
              <w:t>data:</w:t>
            </w:r>
          </w:p>
          <w:p w14:paraId="6479B049" w14:textId="49C9F76D" w:rsidR="00DB42B5" w:rsidRPr="004B0B8F" w:rsidRDefault="00D93034" w:rsidP="00D93034">
            <w:pPr>
              <w:pStyle w:val="Tabletextprimarysource"/>
              <w:numPr>
                <w:ilvl w:val="0"/>
                <w:numId w:val="1"/>
              </w:numPr>
            </w:pPr>
            <w:r w:rsidRPr="004B0B8F">
              <w:t>Lethargy and mortality at 40 and 80 mg/kg in repeat oral dose study (rats, 5 d/</w:t>
            </w:r>
            <w:proofErr w:type="spellStart"/>
            <w:r w:rsidRPr="004B0B8F">
              <w:t>wk</w:t>
            </w:r>
            <w:proofErr w:type="spellEnd"/>
            <w:r w:rsidRPr="004B0B8F">
              <w:t xml:space="preserve">, 2 </w:t>
            </w:r>
            <w:proofErr w:type="spellStart"/>
            <w:r w:rsidRPr="004B0B8F">
              <w:t>wk</w:t>
            </w:r>
            <w:proofErr w:type="spellEnd"/>
            <w:r w:rsidRPr="004B0B8F">
              <w:t>)</w:t>
            </w:r>
            <w:r w:rsidR="008C6040">
              <w:t>:</w:t>
            </w:r>
          </w:p>
          <w:p w14:paraId="1201A572" w14:textId="77777777" w:rsidR="00D93034" w:rsidRPr="004B0B8F" w:rsidRDefault="00D93034" w:rsidP="00A0607F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 w:rsidRPr="004B0B8F">
              <w:t>2/5 females died and increased liver weight in males at 20 mg/kg</w:t>
            </w:r>
          </w:p>
          <w:p w14:paraId="5C87E427" w14:textId="11001DAA" w:rsidR="00D93034" w:rsidRPr="004B0B8F" w:rsidRDefault="00D93034" w:rsidP="00D93034">
            <w:pPr>
              <w:pStyle w:val="Tabletextprimarysource"/>
              <w:numPr>
                <w:ilvl w:val="0"/>
                <w:numId w:val="1"/>
              </w:numPr>
            </w:pPr>
            <w:r w:rsidRPr="004B0B8F">
              <w:t>LD</w:t>
            </w:r>
            <w:r w:rsidRPr="004B0B8F">
              <w:rPr>
                <w:vertAlign w:val="subscript"/>
              </w:rPr>
              <w:t>50</w:t>
            </w:r>
            <w:r w:rsidRPr="004B0B8F">
              <w:rPr>
                <w:vertAlign w:val="subscript"/>
              </w:rPr>
              <w:softHyphen/>
            </w:r>
            <w:r w:rsidRPr="004B0B8F">
              <w:t>: 20 mg/kg (rabbits</w:t>
            </w:r>
            <w:r w:rsidR="007828B6" w:rsidRPr="004B0B8F">
              <w:t>, dermal</w:t>
            </w:r>
            <w:r w:rsidRPr="004B0B8F">
              <w:t>)</w:t>
            </w:r>
          </w:p>
          <w:p w14:paraId="4CE25976" w14:textId="343DD567" w:rsidR="00D93034" w:rsidRDefault="00D93034" w:rsidP="00D93034">
            <w:pPr>
              <w:pStyle w:val="Tabletextprimarysource"/>
              <w:numPr>
                <w:ilvl w:val="0"/>
                <w:numId w:val="1"/>
              </w:numPr>
            </w:pPr>
            <w:r w:rsidRPr="004B0B8F">
              <w:t>Cardiovascular collapse and brain necrosis at 20 mg/kg</w:t>
            </w:r>
            <w:r w:rsidR="003F7FD5" w:rsidRPr="004B0B8F">
              <w:t>/d</w:t>
            </w:r>
            <w:r w:rsidRPr="004B0B8F">
              <w:t xml:space="preserve"> in sub</w:t>
            </w:r>
            <w:r w:rsidR="006F57D3">
              <w:t>-</w:t>
            </w:r>
            <w:r w:rsidRPr="004B0B8F">
              <w:t>chronic gavage study with dose groups 0, 1.25, 2.5, 5,</w:t>
            </w:r>
            <w:r>
              <w:t xml:space="preserve"> 10, and 20 mg/kg</w:t>
            </w:r>
            <w:r w:rsidR="003F7FD5">
              <w:t>/d</w:t>
            </w:r>
            <w:r>
              <w:t xml:space="preserve"> (rats, 5 d/</w:t>
            </w:r>
            <w:proofErr w:type="spellStart"/>
            <w:r>
              <w:t>wk</w:t>
            </w:r>
            <w:proofErr w:type="spellEnd"/>
            <w:r>
              <w:t xml:space="preserve">, 13 </w:t>
            </w:r>
            <w:proofErr w:type="spellStart"/>
            <w:r>
              <w:t>wk</w:t>
            </w:r>
            <w:proofErr w:type="spellEnd"/>
            <w:r>
              <w:t>)</w:t>
            </w:r>
            <w:r w:rsidR="008C6040">
              <w:t>:</w:t>
            </w:r>
          </w:p>
          <w:p w14:paraId="717890E2" w14:textId="1E62FE93" w:rsidR="003E5571" w:rsidRDefault="003E5571" w:rsidP="00A0607F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18/20 rats died at 20 mg/kg</w:t>
            </w:r>
            <w:r w:rsidR="003F7FD5">
              <w:t>/d</w:t>
            </w:r>
            <w:r>
              <w:t xml:space="preserve">, survivors </w:t>
            </w:r>
            <w:r w:rsidR="00AD5336">
              <w:t xml:space="preserve">had </w:t>
            </w:r>
            <w:r>
              <w:t>pulmonary congestion, haemorrhage</w:t>
            </w:r>
            <w:r w:rsidR="003D4635">
              <w:t>,</w:t>
            </w:r>
            <w:r>
              <w:t xml:space="preserve"> oedema and brain necrosis</w:t>
            </w:r>
          </w:p>
          <w:p w14:paraId="61CCED37" w14:textId="670001B5" w:rsidR="00D93034" w:rsidRDefault="003E5571" w:rsidP="00A0607F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clinical signs of intoxication and increased liver weights at all doses (females) and 10</w:t>
            </w:r>
            <w:r w:rsidR="008C6040">
              <w:t> </w:t>
            </w:r>
            <w:r>
              <w:t>mg/kg (males), but no other symptoms</w:t>
            </w:r>
            <w:r w:rsidR="003F7FD5">
              <w:t>; LOAEL: 1.25 mg/kg/d</w:t>
            </w:r>
          </w:p>
          <w:p w14:paraId="6848D4C8" w14:textId="56CD0539" w:rsidR="003E5571" w:rsidRDefault="003E5571" w:rsidP="003E5571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Intoxication and reduced </w:t>
            </w:r>
            <w:r w:rsidR="00AD5336">
              <w:t xml:space="preserve">body weight </w:t>
            </w:r>
            <w:r>
              <w:t xml:space="preserve">at 10 mg/kg/d in chronic gavage study by NTP with dose groups 0, 5, and 10 mg/kg/d (rats, 2 </w:t>
            </w:r>
            <w:proofErr w:type="spellStart"/>
            <w:r>
              <w:t>yr</w:t>
            </w:r>
            <w:proofErr w:type="spellEnd"/>
            <w:r>
              <w:t>)</w:t>
            </w:r>
            <w:r w:rsidR="008C6040">
              <w:t>:</w:t>
            </w:r>
            <w:r>
              <w:t xml:space="preserve"> </w:t>
            </w:r>
          </w:p>
          <w:p w14:paraId="3BF21625" w14:textId="07C146DC" w:rsidR="003E5571" w:rsidRDefault="003E5571" w:rsidP="00A0607F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 xml:space="preserve">brain necrosis, convulsions and coma </w:t>
            </w:r>
            <w:r>
              <w:rPr>
                <w:rFonts w:cs="Arial"/>
              </w:rPr>
              <w:t>≥</w:t>
            </w:r>
            <w:r>
              <w:t>5 mg/kg/d</w:t>
            </w:r>
          </w:p>
          <w:p w14:paraId="2C3E4708" w14:textId="33B4A9B3" w:rsidR="003E5571" w:rsidRDefault="003E5571" w:rsidP="00A0607F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no evidence for carcinogenicity</w:t>
            </w:r>
          </w:p>
          <w:p w14:paraId="34DEFD1D" w14:textId="42962BDE" w:rsidR="003E5571" w:rsidRDefault="00AF7034" w:rsidP="003E5571">
            <w:pPr>
              <w:pStyle w:val="Tabletextprimarysource"/>
              <w:numPr>
                <w:ilvl w:val="0"/>
                <w:numId w:val="1"/>
              </w:numPr>
            </w:pPr>
            <w:r>
              <w:t>S</w:t>
            </w:r>
            <w:r w:rsidR="003E5571">
              <w:t>terility produced in male mice (no further details)</w:t>
            </w:r>
          </w:p>
          <w:p w14:paraId="1CFA316E" w14:textId="2DA32753" w:rsidR="003E5571" w:rsidRDefault="00AF7034" w:rsidP="003E5571">
            <w:pPr>
              <w:pStyle w:val="Tabletextprimarysource"/>
              <w:numPr>
                <w:ilvl w:val="0"/>
                <w:numId w:val="1"/>
              </w:numPr>
            </w:pPr>
            <w:r>
              <w:t>N</w:t>
            </w:r>
            <w:r w:rsidR="003E5571">
              <w:t>o changes to oestrus cycle at 5 or 10 mg/kg/d (rats, 5 d/</w:t>
            </w:r>
            <w:proofErr w:type="spellStart"/>
            <w:r w:rsidR="003E5571">
              <w:t>wk</w:t>
            </w:r>
            <w:proofErr w:type="spellEnd"/>
            <w:r w:rsidR="003E5571">
              <w:t xml:space="preserve">, 1 </w:t>
            </w:r>
            <w:proofErr w:type="spellStart"/>
            <w:r w:rsidR="003E5571">
              <w:t>yr</w:t>
            </w:r>
            <w:proofErr w:type="spellEnd"/>
            <w:r w:rsidR="003E5571">
              <w:t>)</w:t>
            </w:r>
          </w:p>
          <w:p w14:paraId="0A58DCFA" w14:textId="1D726D35" w:rsidR="003E5571" w:rsidRDefault="003E5571" w:rsidP="003E5571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Mutagenic </w:t>
            </w:r>
            <w:r>
              <w:rPr>
                <w:i/>
              </w:rPr>
              <w:t>in vitro</w:t>
            </w:r>
            <w:r w:rsidR="005C5CC1">
              <w:t xml:space="preserve"> in bacteria, </w:t>
            </w:r>
            <w:r>
              <w:t>cereal crops</w:t>
            </w:r>
            <w:r w:rsidR="005C5CC1">
              <w:t xml:space="preserve">, and yeast, weakly mutagenic, but not clastogenic in Chinese hamster ovarian and rat epithelial cells, or human lymphocytes; no </w:t>
            </w:r>
            <w:r w:rsidR="005C5CC1">
              <w:rPr>
                <w:i/>
              </w:rPr>
              <w:t xml:space="preserve">in vivo </w:t>
            </w:r>
            <w:r w:rsidR="005C5CC1">
              <w:t>data presented</w:t>
            </w:r>
            <w:r w:rsidR="007828B6">
              <w:t>.</w:t>
            </w:r>
          </w:p>
          <w:p w14:paraId="579F7AEC" w14:textId="77777777" w:rsidR="008C6040" w:rsidRDefault="008C6040" w:rsidP="003365A5">
            <w:pPr>
              <w:pStyle w:val="Tabletextprimarysource"/>
            </w:pPr>
          </w:p>
          <w:p w14:paraId="23272606" w14:textId="353BD207" w:rsidR="003D4635" w:rsidRDefault="00F8258E" w:rsidP="003365A5">
            <w:pPr>
              <w:pStyle w:val="Tabletextprimarysource"/>
            </w:pPr>
            <w:r>
              <w:t>Insufficient data to recommend notations for skin absorption or sensitisation.</w:t>
            </w:r>
          </w:p>
          <w:p w14:paraId="0CE4D35D" w14:textId="1DE203A9" w:rsidR="008C6040" w:rsidRPr="00F8258E" w:rsidRDefault="008C6040" w:rsidP="003365A5">
            <w:pPr>
              <w:pStyle w:val="Tabletextprimarysource"/>
            </w:pPr>
          </w:p>
        </w:tc>
      </w:tr>
      <w:tr w:rsidR="00C978F0" w:rsidRPr="00DA352E" w14:paraId="174F8B79" w14:textId="77777777" w:rsidTr="00203E93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5BCCE9F" w14:textId="53956C0A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27531B">
                  <w:t>1981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27531B">
                  <w:t>MAK: 0.2 mg/m</w:t>
                </w:r>
                <w:r w:rsidR="0027531B" w:rsidRPr="0027531B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4433014F" w14:textId="77777777" w:rsidTr="00203E93">
        <w:trPr>
          <w:gridAfter w:val="1"/>
          <w:wAfter w:w="8" w:type="pct"/>
          <w:cantSplit/>
        </w:trPr>
        <w:tc>
          <w:tcPr>
            <w:tcW w:w="4992" w:type="pct"/>
          </w:tcPr>
          <w:p w14:paraId="3E0CE5D8" w14:textId="0F9A9F03" w:rsidR="00A9758B" w:rsidRDefault="00A9758B" w:rsidP="003365A5">
            <w:pPr>
              <w:pStyle w:val="Tabletextprimarysource"/>
            </w:pPr>
            <w:r>
              <w:t>Summary of additional information:</w:t>
            </w:r>
          </w:p>
          <w:p w14:paraId="471D47EB" w14:textId="670F1DC3" w:rsidR="00C351CC" w:rsidRDefault="00A9758B" w:rsidP="003365A5">
            <w:pPr>
              <w:pStyle w:val="Tabletextprimarysource"/>
            </w:pPr>
            <w:r>
              <w:t xml:space="preserve">Previous </w:t>
            </w:r>
            <w:r w:rsidR="00A84682">
              <w:t xml:space="preserve">MAK </w:t>
            </w:r>
            <w:r>
              <w:t>of 0.2 mg/</w:t>
            </w:r>
            <w:r w:rsidRPr="00A9758B">
              <w:t>m</w:t>
            </w:r>
            <w:r w:rsidRPr="00A9758B">
              <w:rPr>
                <w:vertAlign w:val="superscript"/>
              </w:rPr>
              <w:t>3</w:t>
            </w:r>
            <w:r>
              <w:t xml:space="preserve"> retained </w:t>
            </w:r>
            <w:r w:rsidR="00A84682" w:rsidRPr="00A9758B">
              <w:t>based</w:t>
            </w:r>
            <w:r w:rsidR="00A84682">
              <w:t xml:space="preserve"> on </w:t>
            </w:r>
            <w:r>
              <w:t>report of headache and mucosal irritation complaints in laboratory workers chronically exposed at 0.5 ppm (also cited in ACGIH, 2018) and no signs of toxicity in hyperte</w:t>
            </w:r>
            <w:r w:rsidR="00AA3808">
              <w:t>nsive</w:t>
            </w:r>
            <w:r>
              <w:t xml:space="preserve"> patients treated with up to 3.9 mg/d (also cited in ACGIH, 2018); agency notes the latter corresponds to an air concentration of 0.39 mg/m</w:t>
            </w:r>
            <w:r>
              <w:rPr>
                <w:vertAlign w:val="superscript"/>
              </w:rPr>
              <w:t>3</w:t>
            </w:r>
            <w:r>
              <w:t xml:space="preserve"> assuming a respiratory volume of 10 m</w:t>
            </w:r>
            <w:r>
              <w:rPr>
                <w:vertAlign w:val="superscript"/>
              </w:rPr>
              <w:t>3</w:t>
            </w:r>
            <w:r>
              <w:t xml:space="preserve"> during an 8-h shift.</w:t>
            </w:r>
          </w:p>
          <w:p w14:paraId="21D61585" w14:textId="7EF97523" w:rsidR="00C351CC" w:rsidRDefault="00C351CC" w:rsidP="003365A5">
            <w:pPr>
              <w:pStyle w:val="Tabletextprimarysource"/>
            </w:pPr>
            <w:r>
              <w:t>Human data:</w:t>
            </w:r>
          </w:p>
          <w:p w14:paraId="3859EA78" w14:textId="3521FF85" w:rsidR="00ED03DA" w:rsidRDefault="001C3E66" w:rsidP="001C3E66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Complaints of headaches, palpitations, weakness and unsteady gait in factory workers exposed at 0.3–3.9 ppm hydrazoic acid (n=10, 1–16 </w:t>
            </w:r>
            <w:proofErr w:type="spellStart"/>
            <w:r>
              <w:t>yr</w:t>
            </w:r>
            <w:proofErr w:type="spellEnd"/>
            <w:r>
              <w:t>)</w:t>
            </w:r>
            <w:r w:rsidR="009B5B68">
              <w:t>:</w:t>
            </w:r>
            <w:r>
              <w:t xml:space="preserve"> </w:t>
            </w:r>
          </w:p>
          <w:p w14:paraId="4FC33B72" w14:textId="7454501A" w:rsidR="00ED03DA" w:rsidRDefault="001C3E66" w:rsidP="00ED03DA">
            <w:pPr>
              <w:pStyle w:val="Tabletextprimarysource"/>
              <w:numPr>
                <w:ilvl w:val="0"/>
                <w:numId w:val="4"/>
              </w:numPr>
            </w:pPr>
            <w:r>
              <w:t xml:space="preserve">medical examination showed decreased blood pressure and increased heart rate during exposures </w:t>
            </w:r>
          </w:p>
          <w:p w14:paraId="2F65B7F0" w14:textId="2921E2E4" w:rsidR="00C351CC" w:rsidRDefault="001C3E66" w:rsidP="00A0607F">
            <w:pPr>
              <w:pStyle w:val="Tabletextprimarysource"/>
              <w:numPr>
                <w:ilvl w:val="0"/>
                <w:numId w:val="4"/>
              </w:numPr>
            </w:pPr>
            <w:r>
              <w:t>no effects on ECG, field of vision or liver/kidney function</w:t>
            </w:r>
            <w:r w:rsidR="007828B6">
              <w:t>.</w:t>
            </w:r>
          </w:p>
          <w:p w14:paraId="430FB9EC" w14:textId="6F1FBB6A" w:rsidR="00C351CC" w:rsidRDefault="00C351CC" w:rsidP="003365A5">
            <w:pPr>
              <w:pStyle w:val="Tabletextprimarysource"/>
            </w:pPr>
            <w:r>
              <w:t>Animal data:</w:t>
            </w:r>
          </w:p>
          <w:p w14:paraId="203C9B24" w14:textId="6191FDE3" w:rsidR="00ED03DA" w:rsidRDefault="003F7FD5" w:rsidP="00C351CC">
            <w:pPr>
              <w:pStyle w:val="Tabletextprimarysource"/>
              <w:numPr>
                <w:ilvl w:val="0"/>
                <w:numId w:val="1"/>
              </w:numPr>
            </w:pPr>
            <w:r>
              <w:t>Oral LD</w:t>
            </w:r>
            <w:r>
              <w:rPr>
                <w:vertAlign w:val="subscript"/>
              </w:rPr>
              <w:t>50</w:t>
            </w:r>
            <w:r>
              <w:t>: 45 mg/kg (rats); 27–40 mg/kg (mice)</w:t>
            </w:r>
            <w:r w:rsidR="009B5B68">
              <w:t>:</w:t>
            </w:r>
            <w:r w:rsidR="001C3E66">
              <w:t xml:space="preserve"> </w:t>
            </w:r>
          </w:p>
          <w:p w14:paraId="02B64A82" w14:textId="6366F65E" w:rsidR="003F7FD5" w:rsidRDefault="001C3E66" w:rsidP="00A0607F">
            <w:pPr>
              <w:pStyle w:val="Tabletextprimarysource"/>
              <w:numPr>
                <w:ilvl w:val="0"/>
                <w:numId w:val="5"/>
              </w:numPr>
            </w:pPr>
            <w:r>
              <w:t xml:space="preserve">symptoms included convulsions, respiratory stress and increased heart rate, no </w:t>
            </w:r>
            <w:proofErr w:type="spellStart"/>
            <w:r w:rsidR="00ED03DA">
              <w:t>MetHb</w:t>
            </w:r>
            <w:proofErr w:type="spellEnd"/>
            <w:r w:rsidR="00ED03DA">
              <w:t xml:space="preserve"> </w:t>
            </w:r>
            <w:r>
              <w:t>formation observed</w:t>
            </w:r>
          </w:p>
          <w:p w14:paraId="28A48AD0" w14:textId="38C5E4D4" w:rsidR="00ED03DA" w:rsidRDefault="003F7FD5" w:rsidP="00C351CC">
            <w:pPr>
              <w:pStyle w:val="Tabletextprimarysource"/>
              <w:numPr>
                <w:ilvl w:val="0"/>
                <w:numId w:val="1"/>
              </w:numPr>
            </w:pPr>
            <w:r>
              <w:t>Non-irritating as semi-occlusive or occlusive patch (rabbits, 1 h)</w:t>
            </w:r>
            <w:r w:rsidR="009B5B68">
              <w:t>:</w:t>
            </w:r>
            <w:r>
              <w:t xml:space="preserve"> </w:t>
            </w:r>
          </w:p>
          <w:p w14:paraId="6385E3C1" w14:textId="77777777" w:rsidR="00ED03DA" w:rsidRDefault="003F7FD5" w:rsidP="00ED03DA">
            <w:pPr>
              <w:pStyle w:val="Tabletextprimarysource"/>
              <w:numPr>
                <w:ilvl w:val="0"/>
                <w:numId w:val="5"/>
              </w:numPr>
            </w:pPr>
            <w:r>
              <w:t xml:space="preserve">caused corrosion and mortality in 3/6 animals after 4 h, </w:t>
            </w:r>
          </w:p>
          <w:p w14:paraId="7721F089" w14:textId="42376E0E" w:rsidR="00C351CC" w:rsidRDefault="003F7FD5" w:rsidP="00A0607F">
            <w:pPr>
              <w:pStyle w:val="Tabletextprimarysource"/>
              <w:numPr>
                <w:ilvl w:val="0"/>
                <w:numId w:val="5"/>
              </w:numPr>
            </w:pPr>
            <w:r>
              <w:t xml:space="preserve">unclear if mortality due to </w:t>
            </w:r>
            <w:r w:rsidR="00AF7034">
              <w:t>substance penetration through damaged skin</w:t>
            </w:r>
          </w:p>
          <w:p w14:paraId="07C7DD81" w14:textId="1AE85A0E" w:rsidR="00ED03DA" w:rsidRDefault="00C351CC" w:rsidP="00C351CC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Positive mutagenicity results </w:t>
            </w:r>
            <w:r>
              <w:rPr>
                <w:i/>
              </w:rPr>
              <w:t>in vitro</w:t>
            </w:r>
            <w:r>
              <w:t xml:space="preserve"> in bacteria not considered relevant to humans due to bacteria-specific metabolism of the substance to genotoxic metabolites</w:t>
            </w:r>
            <w:r w:rsidR="009B5B68">
              <w:t>:</w:t>
            </w:r>
            <w:r>
              <w:t xml:space="preserve"> </w:t>
            </w:r>
          </w:p>
          <w:p w14:paraId="515857EC" w14:textId="227F46B2" w:rsidR="00C351CC" w:rsidRDefault="00C351CC" w:rsidP="00A0607F">
            <w:pPr>
              <w:pStyle w:val="Tabletextprimarysource"/>
              <w:numPr>
                <w:ilvl w:val="0"/>
                <w:numId w:val="6"/>
              </w:numPr>
            </w:pPr>
            <w:r>
              <w:t xml:space="preserve">weak mutagenicity in yeast was observed at cytotoxic concentrations and therefore also not considered relevant to human genotoxicity; no </w:t>
            </w:r>
            <w:r>
              <w:rPr>
                <w:i/>
              </w:rPr>
              <w:t>in vivo</w:t>
            </w:r>
            <w:r>
              <w:t xml:space="preserve"> studies available</w:t>
            </w:r>
            <w:r w:rsidR="008C6040">
              <w:t>.</w:t>
            </w:r>
            <w:r>
              <w:t xml:space="preserve"> </w:t>
            </w:r>
          </w:p>
          <w:p w14:paraId="4B61CC33" w14:textId="77777777" w:rsidR="008C6040" w:rsidRDefault="008C6040" w:rsidP="003365A5">
            <w:pPr>
              <w:pStyle w:val="Tabletextprimarysource"/>
            </w:pPr>
          </w:p>
          <w:p w14:paraId="1D87CC0B" w14:textId="77777777" w:rsidR="00A9758B" w:rsidRDefault="00A9758B" w:rsidP="003365A5">
            <w:pPr>
              <w:pStyle w:val="Tabletextprimarysource"/>
            </w:pPr>
            <w:r>
              <w:t xml:space="preserve">Insufficient data to </w:t>
            </w:r>
            <w:r w:rsidR="007C3A47">
              <w:t>recommend</w:t>
            </w:r>
            <w:r w:rsidR="00C351CC">
              <w:t xml:space="preserve"> notations for carcinogenicity, skin absorption or sensitisation.</w:t>
            </w:r>
          </w:p>
          <w:p w14:paraId="61A64F09" w14:textId="2DEAA34F" w:rsidR="008C6040" w:rsidRPr="00A9758B" w:rsidRDefault="008C6040" w:rsidP="003365A5">
            <w:pPr>
              <w:pStyle w:val="Tabletextprimarysource"/>
            </w:pPr>
          </w:p>
        </w:tc>
      </w:tr>
      <w:tr w:rsidR="00C978F0" w:rsidRPr="00DA352E" w14:paraId="0E6A0B2C" w14:textId="77777777" w:rsidTr="00203E93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3C602E5" w14:textId="740A5B41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224D49">
                  <w:t>2009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224D49">
                  <w:t>8-</w:t>
                </w:r>
                <w:r w:rsidR="00224D49" w:rsidRPr="00224D49">
                  <w:t>hour TWA:</w:t>
                </w:r>
                <w:r w:rsidR="00224D49">
                  <w:t xml:space="preserve"> 0.1 mg/m</w:t>
                </w:r>
                <w:r w:rsidR="00224D49" w:rsidRPr="00224D49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2008D281" w14:textId="77777777" w:rsidTr="00203E93">
        <w:trPr>
          <w:gridAfter w:val="1"/>
          <w:wAfter w:w="8" w:type="pct"/>
        </w:trPr>
        <w:tc>
          <w:tcPr>
            <w:tcW w:w="4992" w:type="pct"/>
          </w:tcPr>
          <w:p w14:paraId="082F4971" w14:textId="77777777" w:rsidR="00C978F0" w:rsidRDefault="007C3A47" w:rsidP="003365A5">
            <w:pPr>
              <w:pStyle w:val="Tabletextprimarysource"/>
            </w:pPr>
            <w:r>
              <w:t>Summary of additional information:</w:t>
            </w:r>
          </w:p>
          <w:p w14:paraId="60113902" w14:textId="1ADB178B" w:rsidR="007C3A47" w:rsidRDefault="007C3A47" w:rsidP="003365A5">
            <w:pPr>
              <w:pStyle w:val="Tabletextprimarysource"/>
            </w:pPr>
            <w:r>
              <w:t xml:space="preserve">OEL based on available occupational exposure data, which suggest a LOAEL </w:t>
            </w:r>
            <w:r w:rsidR="000413C2">
              <w:t>near</w:t>
            </w:r>
            <w:r>
              <w:t xml:space="preserve"> </w:t>
            </w:r>
            <w:r w:rsidR="00CC51A5">
              <w:t>0.11 ppm (0.3 </w:t>
            </w:r>
            <w:r>
              <w:t>mg/m</w:t>
            </w:r>
            <w:r>
              <w:rPr>
                <w:vertAlign w:val="superscript"/>
              </w:rPr>
              <w:t>3</w:t>
            </w:r>
            <w:r w:rsidR="00CC51A5">
              <w:t xml:space="preserve">) </w:t>
            </w:r>
            <w:r>
              <w:t>for blood pressure decrease</w:t>
            </w:r>
            <w:r w:rsidR="000413C2">
              <w:t xml:space="preserve"> from chronic exposure</w:t>
            </w:r>
            <w:r>
              <w:t xml:space="preserve">, and </w:t>
            </w:r>
            <w:r w:rsidR="00CC51A5">
              <w:t>0.19 ppm (</w:t>
            </w:r>
            <w:r>
              <w:t>0.5 mg/m</w:t>
            </w:r>
            <w:r>
              <w:rPr>
                <w:vertAlign w:val="superscript"/>
              </w:rPr>
              <w:t>3</w:t>
            </w:r>
            <w:r w:rsidR="00CD7E2D">
              <w:t xml:space="preserve">) </w:t>
            </w:r>
            <w:r>
              <w:t xml:space="preserve">for acute </w:t>
            </w:r>
            <w:r w:rsidR="00CD7E2D">
              <w:t>headaches</w:t>
            </w:r>
            <w:r>
              <w:t xml:space="preserve"> in exposed workers; </w:t>
            </w:r>
            <w:r w:rsidR="00BD6E4C">
              <w:t>0.04 ppm (</w:t>
            </w:r>
            <w:r>
              <w:t>0.1 mg/m</w:t>
            </w:r>
            <w:r>
              <w:rPr>
                <w:vertAlign w:val="superscript"/>
              </w:rPr>
              <w:t>3</w:t>
            </w:r>
            <w:r w:rsidR="00BD6E4C">
              <w:t xml:space="preserve">) </w:t>
            </w:r>
            <w:r>
              <w:t>expected to be prote</w:t>
            </w:r>
            <w:r w:rsidR="00CD7E2D">
              <w:t>ctive of these systemic effects</w:t>
            </w:r>
            <w:r>
              <w:t xml:space="preserve"> and mucous membrane irritation caused by hydrazoic acid.</w:t>
            </w:r>
          </w:p>
          <w:p w14:paraId="6442F0D4" w14:textId="69AD9AC8" w:rsidR="007C3A47" w:rsidRDefault="007C3A47" w:rsidP="003365A5">
            <w:pPr>
              <w:pStyle w:val="Tabletextprimarysource"/>
            </w:pPr>
            <w:r>
              <w:t>Human data:</w:t>
            </w:r>
          </w:p>
          <w:p w14:paraId="4417D069" w14:textId="2CF2B602" w:rsidR="007C3A47" w:rsidRDefault="00AF7034" w:rsidP="00AF7034">
            <w:pPr>
              <w:pStyle w:val="Tabletextprimarysource"/>
              <w:numPr>
                <w:ilvl w:val="0"/>
                <w:numId w:val="1"/>
              </w:numPr>
            </w:pPr>
            <w:r>
              <w:t>Accidental occupational overexposure during cleaning caused permanent reactive airway dysfunction syndrome in 2 workers (exposure data not presented)</w:t>
            </w:r>
          </w:p>
          <w:p w14:paraId="3D71B879" w14:textId="68110154" w:rsidR="00AF7034" w:rsidRDefault="00AF7034" w:rsidP="00AF7034">
            <w:pPr>
              <w:pStyle w:val="Tabletextprimarysource"/>
              <w:numPr>
                <w:ilvl w:val="0"/>
                <w:numId w:val="1"/>
              </w:numPr>
            </w:pPr>
            <w:r>
              <w:t>Increased incidence of self-reported eye irritation in workers exposed at 0.23 mg/m</w:t>
            </w:r>
            <w:r>
              <w:rPr>
                <w:vertAlign w:val="superscript"/>
              </w:rPr>
              <w:t>3</w:t>
            </w:r>
            <w:r>
              <w:t>, range 0–0.93 mg/m</w:t>
            </w:r>
            <w:r>
              <w:rPr>
                <w:vertAlign w:val="superscript"/>
              </w:rPr>
              <w:t>3</w:t>
            </w:r>
            <w:r>
              <w:t xml:space="preserve"> (n=41)</w:t>
            </w:r>
          </w:p>
          <w:p w14:paraId="0254F9ED" w14:textId="24112666" w:rsidR="00ED03DA" w:rsidRDefault="007260F0" w:rsidP="00AF7034">
            <w:pPr>
              <w:pStyle w:val="Tabletextprimarysource"/>
              <w:numPr>
                <w:ilvl w:val="0"/>
                <w:numId w:val="1"/>
              </w:numPr>
            </w:pPr>
            <w:r>
              <w:t>Headaches (10/11), palpitation (9/11) and low blood pressure (9/11)</w:t>
            </w:r>
            <w:r w:rsidR="00AF7034">
              <w:t xml:space="preserve"> </w:t>
            </w:r>
            <w:r>
              <w:t xml:space="preserve">in production workers </w:t>
            </w:r>
            <w:r w:rsidR="00AF7034">
              <w:t>at static air concentrations of</w:t>
            </w:r>
            <w:r w:rsidR="006401B0">
              <w:t xml:space="preserve"> 0.3 ppm (</w:t>
            </w:r>
            <w:r w:rsidR="00AF7034">
              <w:t>0.69 mg/m</w:t>
            </w:r>
            <w:r w:rsidR="00AF7034">
              <w:rPr>
                <w:vertAlign w:val="superscript"/>
              </w:rPr>
              <w:t>3</w:t>
            </w:r>
            <w:r w:rsidR="006401B0">
              <w:t xml:space="preserve">) </w:t>
            </w:r>
            <w:r w:rsidR="00AF7034">
              <w:t>N</w:t>
            </w:r>
            <w:r w:rsidR="00AF7034">
              <w:rPr>
                <w:vertAlign w:val="subscript"/>
              </w:rPr>
              <w:t>3</w:t>
            </w:r>
            <w:r w:rsidR="00AF7034">
              <w:t>Na and 0.07 ppm hydrazoic acid (n=11</w:t>
            </w:r>
            <w:r w:rsidR="00810028">
              <w:t xml:space="preserve">, 6 </w:t>
            </w:r>
            <w:proofErr w:type="spellStart"/>
            <w:r w:rsidR="00810028">
              <w:t>mo</w:t>
            </w:r>
            <w:proofErr w:type="spellEnd"/>
            <w:r w:rsidR="00AF7034">
              <w:t>)</w:t>
            </w:r>
            <w:r w:rsidR="009B5B68">
              <w:t>:</w:t>
            </w:r>
            <w:r w:rsidR="00AF7034">
              <w:t xml:space="preserve"> </w:t>
            </w:r>
          </w:p>
          <w:p w14:paraId="59AAAE9B" w14:textId="77A69310" w:rsidR="00AF7034" w:rsidRDefault="00AF7034" w:rsidP="00A0607F">
            <w:pPr>
              <w:pStyle w:val="Tabletextprimarysource"/>
              <w:numPr>
                <w:ilvl w:val="0"/>
                <w:numId w:val="6"/>
              </w:numPr>
            </w:pPr>
            <w:r>
              <w:t>breathing zone measurements were up</w:t>
            </w:r>
            <w:r w:rsidR="00ED03DA">
              <w:t xml:space="preserve"> to</w:t>
            </w:r>
            <w:r>
              <w:t xml:space="preserve"> 1.7 mg/m</w:t>
            </w:r>
            <w:r>
              <w:rPr>
                <w:vertAlign w:val="superscript"/>
              </w:rPr>
              <w:t>3</w:t>
            </w:r>
            <w:r>
              <w:t xml:space="preserve"> and 0.1 ppm, respectively</w:t>
            </w:r>
            <w:r w:rsidR="007260F0">
              <w:t xml:space="preserve">, workplace OEL was </w:t>
            </w:r>
            <w:r w:rsidR="00AA3808">
              <w:t>0.11 ppm (</w:t>
            </w:r>
            <w:r w:rsidR="007260F0">
              <w:t>0.3 mg/m</w:t>
            </w:r>
            <w:r w:rsidR="007260F0">
              <w:rPr>
                <w:vertAlign w:val="superscript"/>
              </w:rPr>
              <w:t>3</w:t>
            </w:r>
            <w:r w:rsidR="00AA3808">
              <w:t>)</w:t>
            </w:r>
            <w:r w:rsidR="00E52065">
              <w:t xml:space="preserve"> for N</w:t>
            </w:r>
            <w:r w:rsidR="00E52065">
              <w:rPr>
                <w:vertAlign w:val="subscript"/>
              </w:rPr>
              <w:t>3</w:t>
            </w:r>
            <w:r w:rsidR="00E52065">
              <w:t>Na</w:t>
            </w:r>
            <w:r w:rsidR="00AA3808">
              <w:t>,</w:t>
            </w:r>
            <w:r w:rsidR="000413C2">
              <w:t xml:space="preserve"> but was frequently exceeded</w:t>
            </w:r>
          </w:p>
          <w:p w14:paraId="1E56EB71" w14:textId="70F40A69" w:rsidR="000413C2" w:rsidRDefault="000413C2" w:rsidP="00AF7034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Headaches reported in 12/65 workers at air concentrations of </w:t>
            </w:r>
            <w:r w:rsidR="00AA3808">
              <w:t xml:space="preserve">0.38–2.82 ppm </w:t>
            </w:r>
            <w:r w:rsidR="008C6040">
              <w:br/>
            </w:r>
            <w:r w:rsidR="00AA3808">
              <w:t>(</w:t>
            </w:r>
            <w:r>
              <w:t>1</w:t>
            </w:r>
            <w:r w:rsidR="008C6040">
              <w:t>–</w:t>
            </w:r>
            <w:r>
              <w:t>7.5 mg/m</w:t>
            </w:r>
            <w:r>
              <w:rPr>
                <w:vertAlign w:val="superscript"/>
              </w:rPr>
              <w:t>3</w:t>
            </w:r>
            <w:r w:rsidR="00AA3808">
              <w:t>)</w:t>
            </w:r>
            <w:r w:rsidR="008C6040">
              <w:t>:</w:t>
            </w:r>
          </w:p>
          <w:p w14:paraId="6F6CDBE3" w14:textId="1FA1F188" w:rsidR="00AF7034" w:rsidRDefault="00703B3E" w:rsidP="00A0607F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lastRenderedPageBreak/>
              <w:t xml:space="preserve">mean </w:t>
            </w:r>
            <w:r w:rsidR="007828B6">
              <w:t>BP</w:t>
            </w:r>
            <w:r w:rsidR="00CD7E2D">
              <w:t xml:space="preserve"> </w:t>
            </w:r>
            <w:r>
              <w:t xml:space="preserve">in workers acutely exposed </w:t>
            </w:r>
            <w:r>
              <w:rPr>
                <w:rFonts w:cs="Arial"/>
              </w:rPr>
              <w:t>≥</w:t>
            </w:r>
            <w:r w:rsidR="00AA3808">
              <w:rPr>
                <w:rFonts w:cs="Arial"/>
              </w:rPr>
              <w:t>0.11 ppm (</w:t>
            </w:r>
            <w:r w:rsidR="00AA3808">
              <w:t>0.3 mg/m</w:t>
            </w:r>
            <w:r w:rsidR="00AA3808">
              <w:rPr>
                <w:vertAlign w:val="superscript"/>
              </w:rPr>
              <w:t>3</w:t>
            </w:r>
            <w:r w:rsidR="00AA3808">
              <w:t>)</w:t>
            </w:r>
            <w:r>
              <w:t xml:space="preserve"> </w:t>
            </w:r>
            <w:r w:rsidR="00CD7E2D">
              <w:t xml:space="preserve">lower </w:t>
            </w:r>
            <w:r>
              <w:t xml:space="preserve">than </w:t>
            </w:r>
            <w:r w:rsidR="00CD7E2D">
              <w:t xml:space="preserve">in </w:t>
            </w:r>
            <w:r>
              <w:t xml:space="preserve">workers exposed </w:t>
            </w:r>
            <w:r>
              <w:rPr>
                <w:rFonts w:cs="Arial"/>
              </w:rPr>
              <w:t>≤</w:t>
            </w:r>
            <w:r w:rsidR="00AA3808">
              <w:rPr>
                <w:rFonts w:cs="Arial"/>
              </w:rPr>
              <w:t>0.11 ppm (</w:t>
            </w:r>
            <w:r>
              <w:t>0.3 mg/m</w:t>
            </w:r>
            <w:r>
              <w:rPr>
                <w:vertAlign w:val="superscript"/>
              </w:rPr>
              <w:t>3</w:t>
            </w:r>
            <w:r w:rsidR="00AA3808">
              <w:t xml:space="preserve">) </w:t>
            </w:r>
            <w:r w:rsidR="000413C2">
              <w:t>reported in follow-up study of these 12 workers (</w:t>
            </w:r>
            <w:r>
              <w:t>15</w:t>
            </w:r>
            <w:r w:rsidR="007828B6">
              <w:t> </w:t>
            </w:r>
            <w:r>
              <w:t>min)</w:t>
            </w:r>
          </w:p>
          <w:p w14:paraId="409F7E7A" w14:textId="2B8DF087" w:rsidR="000413C2" w:rsidRDefault="000413C2" w:rsidP="00A0607F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 xml:space="preserve">incidence of headache complaints reduced to 1/65 when exposure controlled to </w:t>
            </w:r>
            <w:r w:rsidR="00AA3808">
              <w:t>0.19</w:t>
            </w:r>
            <w:r w:rsidR="007828B6">
              <w:t> </w:t>
            </w:r>
            <w:r w:rsidR="00AA3808">
              <w:t>ppm (</w:t>
            </w:r>
            <w:r>
              <w:t>0.5 mg/m</w:t>
            </w:r>
            <w:r>
              <w:rPr>
                <w:vertAlign w:val="superscript"/>
              </w:rPr>
              <w:t>3</w:t>
            </w:r>
            <w:r w:rsidR="00AA3808">
              <w:t>)</w:t>
            </w:r>
            <w:r w:rsidR="008C6040">
              <w:t>.</w:t>
            </w:r>
          </w:p>
          <w:p w14:paraId="68B5C345" w14:textId="77777777" w:rsidR="007C3A47" w:rsidRDefault="007C3A47" w:rsidP="003365A5">
            <w:pPr>
              <w:pStyle w:val="Tabletextprimarysource"/>
            </w:pPr>
            <w:r>
              <w:t>Animal data:</w:t>
            </w:r>
          </w:p>
          <w:p w14:paraId="52FFD9DA" w14:textId="74F18E35" w:rsidR="00ED03DA" w:rsidRDefault="00703B3E" w:rsidP="00703B3E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Conflicting mutagenicity </w:t>
            </w:r>
            <w:r>
              <w:rPr>
                <w:i/>
              </w:rPr>
              <w:t>in vivo</w:t>
            </w:r>
            <w:r>
              <w:t xml:space="preserve"> in 2 separate sex-linked recessive lethality (SLRL) tests with </w:t>
            </w:r>
            <w:r>
              <w:rPr>
                <w:i/>
              </w:rPr>
              <w:t>Drosophila melanogaster</w:t>
            </w:r>
            <w:r>
              <w:t xml:space="preserve">, positive mutagenicity in dominant lethal test in </w:t>
            </w:r>
            <w:r>
              <w:rPr>
                <w:i/>
              </w:rPr>
              <w:t xml:space="preserve">Musca </w:t>
            </w:r>
            <w:proofErr w:type="spellStart"/>
            <w:r>
              <w:rPr>
                <w:i/>
              </w:rPr>
              <w:t>domestica</w:t>
            </w:r>
            <w:proofErr w:type="spellEnd"/>
            <w:r w:rsidR="009B5B68">
              <w:t>:</w:t>
            </w:r>
            <w:r w:rsidR="00815B13">
              <w:t xml:space="preserve"> </w:t>
            </w:r>
          </w:p>
          <w:p w14:paraId="60787D6B" w14:textId="4C64D302" w:rsidR="007C3A47" w:rsidRDefault="00815B13" w:rsidP="00A0607F">
            <w:pPr>
              <w:pStyle w:val="Tabletextprimarysource"/>
              <w:numPr>
                <w:ilvl w:val="0"/>
                <w:numId w:val="7"/>
              </w:numPr>
            </w:pPr>
            <w:r>
              <w:t xml:space="preserve">no mammalian </w:t>
            </w:r>
            <w:r>
              <w:rPr>
                <w:i/>
              </w:rPr>
              <w:t xml:space="preserve">in vivo </w:t>
            </w:r>
            <w:r>
              <w:t>studies available</w:t>
            </w:r>
            <w:r w:rsidR="007828B6">
              <w:t>.</w:t>
            </w:r>
          </w:p>
          <w:p w14:paraId="714F76EE" w14:textId="77777777" w:rsidR="008C6040" w:rsidRDefault="008C6040" w:rsidP="003365A5">
            <w:pPr>
              <w:pStyle w:val="Tabletextprimarysource"/>
            </w:pPr>
          </w:p>
          <w:p w14:paraId="7F7E26C2" w14:textId="5D404266" w:rsidR="007C3A47" w:rsidRDefault="007C3A47" w:rsidP="003365A5">
            <w:pPr>
              <w:pStyle w:val="Tabletextprimarysource"/>
            </w:pPr>
            <w:r>
              <w:t>Insufficient data to recommend notations for carcinogenicity, skin absorption or sensitisation.</w:t>
            </w:r>
          </w:p>
          <w:p w14:paraId="153B53C1" w14:textId="55963BBA" w:rsidR="008C6040" w:rsidRPr="007C3A47" w:rsidRDefault="008C6040" w:rsidP="003365A5">
            <w:pPr>
              <w:pStyle w:val="Tabletextprimarysource"/>
            </w:pPr>
          </w:p>
        </w:tc>
      </w:tr>
      <w:tr w:rsidR="00DA352E" w:rsidRPr="00DA352E" w14:paraId="12BAB90D" w14:textId="77777777" w:rsidTr="00203E93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D806BF8" w14:textId="76E30664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224D49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224D49">
                  <w:t>NA</w:t>
                </w:r>
                <w:proofErr w:type="spellEnd"/>
              </w:sdtContent>
            </w:sdt>
          </w:p>
        </w:tc>
      </w:tr>
      <w:tr w:rsidR="00DA352E" w:rsidRPr="00DA352E" w14:paraId="33AAF4A6" w14:textId="77777777" w:rsidTr="00203E93">
        <w:trPr>
          <w:gridAfter w:val="1"/>
          <w:wAfter w:w="8" w:type="pct"/>
          <w:cantSplit/>
        </w:trPr>
        <w:tc>
          <w:tcPr>
            <w:tcW w:w="4992" w:type="pct"/>
          </w:tcPr>
          <w:p w14:paraId="2059E4CB" w14:textId="28AF750E" w:rsidR="00DA352E" w:rsidRPr="00DA352E" w:rsidRDefault="00224D49" w:rsidP="003365A5">
            <w:pPr>
              <w:pStyle w:val="Tabletextprimarysource"/>
            </w:pPr>
            <w:r>
              <w:t>No report</w:t>
            </w:r>
            <w:r w:rsidR="007828B6">
              <w:t>.</w:t>
            </w:r>
          </w:p>
        </w:tc>
      </w:tr>
      <w:tr w:rsidR="00DA352E" w:rsidRPr="00DA352E" w14:paraId="605F758C" w14:textId="77777777" w:rsidTr="00203E93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07840EC" w14:textId="1E26F1E4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224D49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sdt>
                  <w:sdtPr>
                    <w:id w:val="1900554429"/>
                    <w:placeholder>
                      <w:docPart w:val="1EF68C893FDF48D28F4E60CB6A9D08A8"/>
                    </w:placeholder>
                    <w:text/>
                  </w:sdtPr>
                  <w:sdtEndPr/>
                  <w:sdtContent>
                    <w:proofErr w:type="spellStart"/>
                    <w:r w:rsidR="00224D49">
                      <w:t>NA</w:t>
                    </w:r>
                    <w:proofErr w:type="spellEnd"/>
                  </w:sdtContent>
                </w:sdt>
              </w:sdtContent>
            </w:sdt>
          </w:p>
        </w:tc>
      </w:tr>
      <w:tr w:rsidR="00DA352E" w:rsidRPr="00DA352E" w14:paraId="7050CB3E" w14:textId="77777777" w:rsidTr="00203E93">
        <w:trPr>
          <w:gridAfter w:val="1"/>
          <w:wAfter w:w="8" w:type="pct"/>
          <w:cantSplit/>
        </w:trPr>
        <w:tc>
          <w:tcPr>
            <w:tcW w:w="4992" w:type="pct"/>
          </w:tcPr>
          <w:p w14:paraId="492D7791" w14:textId="6E2A5281" w:rsidR="00DA352E" w:rsidRPr="00DA352E" w:rsidRDefault="00224D49" w:rsidP="003365A5">
            <w:pPr>
              <w:pStyle w:val="Tabletextprimarysource"/>
            </w:pPr>
            <w:r>
              <w:t>No report</w:t>
            </w:r>
            <w:r w:rsidR="007828B6">
              <w:t>.</w:t>
            </w:r>
          </w:p>
        </w:tc>
      </w:tr>
    </w:tbl>
    <w:p w14:paraId="6691F3FF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88"/>
        <w:gridCol w:w="422"/>
        <w:gridCol w:w="661"/>
        <w:gridCol w:w="6455"/>
      </w:tblGrid>
      <w:tr w:rsidR="004966BF" w:rsidRPr="00263255" w14:paraId="6AE89AB3" w14:textId="77777777" w:rsidTr="00203E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88" w:type="dxa"/>
            <w:shd w:val="clear" w:color="auto" w:fill="BFBFBF" w:themeFill="background1" w:themeFillShade="BF"/>
            <w:vAlign w:val="center"/>
          </w:tcPr>
          <w:p w14:paraId="084A5BD3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2" w:type="dxa"/>
            <w:shd w:val="clear" w:color="auto" w:fill="BFBFBF" w:themeFill="background1" w:themeFillShade="BF"/>
            <w:vAlign w:val="center"/>
          </w:tcPr>
          <w:p w14:paraId="27B16D7E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5CC24B52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5" w:type="dxa"/>
            <w:shd w:val="clear" w:color="auto" w:fill="BFBFBF" w:themeFill="background1" w:themeFillShade="BF"/>
            <w:vAlign w:val="center"/>
          </w:tcPr>
          <w:p w14:paraId="24D06CBF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5B6AED63" w14:textId="77777777" w:rsidTr="00203E93">
        <w:trPr>
          <w:cantSplit/>
        </w:trPr>
        <w:tc>
          <w:tcPr>
            <w:tcW w:w="1488" w:type="dxa"/>
          </w:tcPr>
          <w:p w14:paraId="01321F42" w14:textId="77777777" w:rsidR="004966BF" w:rsidRPr="004C23F4" w:rsidRDefault="004966BF" w:rsidP="00224EE2">
            <w:pPr>
              <w:pStyle w:val="Tablefont"/>
            </w:pPr>
            <w:r>
              <w:t>US EPA</w:t>
            </w:r>
          </w:p>
        </w:tc>
        <w:tc>
          <w:tcPr>
            <w:tcW w:w="422" w:type="dxa"/>
          </w:tcPr>
          <w:p w14:paraId="7AE5C94A" w14:textId="11C78B2B" w:rsidR="004966BF" w:rsidRPr="00CE617F" w:rsidRDefault="00203E93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015498594"/>
                <w:placeholder>
                  <w:docPart w:val="CFFDE270CB50461B826B0194984892C5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7828B6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C68236E" w14:textId="317DF8A9" w:rsidR="004966BF" w:rsidRPr="004C23F4" w:rsidRDefault="002536E8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1987</w:t>
            </w:r>
          </w:p>
        </w:tc>
        <w:tc>
          <w:tcPr>
            <w:tcW w:w="6455" w:type="dxa"/>
          </w:tcPr>
          <w:p w14:paraId="1D6EE990" w14:textId="26B0C8AB" w:rsidR="002536E8" w:rsidRDefault="002536E8" w:rsidP="00A0607F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Sub</w:t>
            </w:r>
            <w:r w:rsidR="009B5B68">
              <w:rPr>
                <w:rStyle w:val="checkbox"/>
                <w:rFonts w:ascii="Arial" w:hAnsi="Arial" w:cs="Arial"/>
              </w:rPr>
              <w:t>-</w:t>
            </w:r>
            <w:r>
              <w:rPr>
                <w:rStyle w:val="checkbox"/>
                <w:rFonts w:ascii="Arial" w:hAnsi="Arial" w:cs="Arial"/>
              </w:rPr>
              <w:t>chronic gavage study with dose groups 0, 1.25, 2.5, 5, 10, and 20 mg/kg/d (rats, 5 d/</w:t>
            </w:r>
            <w:proofErr w:type="spellStart"/>
            <w:r>
              <w:rPr>
                <w:rStyle w:val="checkbox"/>
                <w:rFonts w:ascii="Arial" w:hAnsi="Arial" w:cs="Arial"/>
              </w:rPr>
              <w:t>wk</w:t>
            </w:r>
            <w:proofErr w:type="spellEnd"/>
            <w:r>
              <w:rPr>
                <w:rStyle w:val="checkbox"/>
                <w:rFonts w:ascii="Arial" w:hAnsi="Arial" w:cs="Arial"/>
              </w:rPr>
              <w:t xml:space="preserve">, 13 </w:t>
            </w:r>
            <w:proofErr w:type="spellStart"/>
            <w:r>
              <w:rPr>
                <w:rStyle w:val="checkbox"/>
                <w:rFonts w:ascii="Arial" w:hAnsi="Arial" w:cs="Arial"/>
              </w:rPr>
              <w:t>wk</w:t>
            </w:r>
            <w:proofErr w:type="spellEnd"/>
            <w:r>
              <w:rPr>
                <w:rStyle w:val="checkbox"/>
                <w:rFonts w:ascii="Arial" w:hAnsi="Arial" w:cs="Arial"/>
              </w:rPr>
              <w:t xml:space="preserve">, also cited in ACGIH, 2018) used principally to derive </w:t>
            </w:r>
            <w:proofErr w:type="spellStart"/>
            <w:r>
              <w:rPr>
                <w:rStyle w:val="checkbox"/>
                <w:rFonts w:ascii="Arial" w:hAnsi="Arial" w:cs="Arial"/>
              </w:rPr>
              <w:t>RfD</w:t>
            </w:r>
            <w:proofErr w:type="spellEnd"/>
            <w:r w:rsidR="008C6040">
              <w:rPr>
                <w:rStyle w:val="checkbox"/>
                <w:rFonts w:ascii="Arial" w:hAnsi="Arial" w:cs="Arial"/>
              </w:rPr>
              <w:t>:</w:t>
            </w:r>
          </w:p>
          <w:p w14:paraId="073B89BC" w14:textId="62A1CCFF" w:rsidR="002536E8" w:rsidRDefault="002536E8" w:rsidP="00A0607F">
            <w:pPr>
              <w:pStyle w:val="Tablefont"/>
              <w:numPr>
                <w:ilvl w:val="1"/>
                <w:numId w:val="1"/>
              </w:numPr>
              <w:spacing w:before="60" w:after="60"/>
              <w:ind w:left="109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agency notes statistical significance of increased liver weights in all female rats was not reported</w:t>
            </w:r>
          </w:p>
          <w:p w14:paraId="74424B7E" w14:textId="08ABF2C5" w:rsidR="002536E8" w:rsidRDefault="002536E8" w:rsidP="00A0607F">
            <w:pPr>
              <w:pStyle w:val="Tablefont"/>
              <w:numPr>
                <w:ilvl w:val="1"/>
                <w:numId w:val="1"/>
              </w:numPr>
              <w:spacing w:before="60" w:after="60"/>
              <w:ind w:left="109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5 mg/kg/d considered NOAEL based on reduced weight gain in males and females</w:t>
            </w:r>
          </w:p>
          <w:p w14:paraId="2224089B" w14:textId="71E9856E" w:rsidR="004966BF" w:rsidRPr="004C23F4" w:rsidRDefault="002536E8" w:rsidP="00A0607F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Inhalation </w:t>
            </w:r>
            <w:proofErr w:type="spellStart"/>
            <w:r w:rsidR="003F2198">
              <w:rPr>
                <w:rStyle w:val="checkbox"/>
                <w:rFonts w:ascii="Arial" w:hAnsi="Arial" w:cs="Arial"/>
              </w:rPr>
              <w:t>RfC</w:t>
            </w:r>
            <w:proofErr w:type="spellEnd"/>
            <w:r w:rsidR="003F2198">
              <w:rPr>
                <w:rStyle w:val="checkbox"/>
                <w:rFonts w:ascii="Arial" w:hAnsi="Arial" w:cs="Arial"/>
              </w:rPr>
              <w:t xml:space="preserve"> </w:t>
            </w:r>
            <w:r>
              <w:rPr>
                <w:rStyle w:val="checkbox"/>
                <w:rFonts w:ascii="Arial" w:hAnsi="Arial" w:cs="Arial"/>
              </w:rPr>
              <w:t>and carcinogenic potential not assessed</w:t>
            </w:r>
            <w:r w:rsidR="007828B6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61B5CF9D" w14:textId="77777777" w:rsidTr="00203E93">
        <w:trPr>
          <w:cantSplit/>
        </w:trPr>
        <w:tc>
          <w:tcPr>
            <w:tcW w:w="1488" w:type="dxa"/>
          </w:tcPr>
          <w:p w14:paraId="3021C8F4" w14:textId="77777777" w:rsidR="004966BF" w:rsidRPr="004C23F4" w:rsidRDefault="004966BF" w:rsidP="00224EE2">
            <w:pPr>
              <w:pStyle w:val="Tablefont"/>
            </w:pPr>
            <w:r>
              <w:t>ECHA</w:t>
            </w:r>
          </w:p>
        </w:tc>
        <w:tc>
          <w:tcPr>
            <w:tcW w:w="422" w:type="dxa"/>
          </w:tcPr>
          <w:p w14:paraId="1B271840" w14:textId="0403196E" w:rsidR="004966BF" w:rsidRPr="00CE617F" w:rsidRDefault="00203E93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3F551A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45DA2066" w14:textId="2273AFC0" w:rsidR="004966BF" w:rsidRPr="004C23F4" w:rsidRDefault="003F551A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2020</w:t>
            </w:r>
          </w:p>
        </w:tc>
        <w:tc>
          <w:tcPr>
            <w:tcW w:w="6455" w:type="dxa"/>
          </w:tcPr>
          <w:p w14:paraId="5E62F974" w14:textId="3D49B817" w:rsidR="004966BF" w:rsidRDefault="006D5697" w:rsidP="00A0607F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DNEL based on chronic gavage study with dose groups 0, 5, and 10 mg/kg/d (rats, 5 d/</w:t>
            </w:r>
            <w:proofErr w:type="spellStart"/>
            <w:r>
              <w:rPr>
                <w:rStyle w:val="checkbox"/>
                <w:rFonts w:ascii="Arial" w:hAnsi="Arial" w:cs="Arial"/>
              </w:rPr>
              <w:t>wk</w:t>
            </w:r>
            <w:proofErr w:type="spellEnd"/>
            <w:r>
              <w:rPr>
                <w:rStyle w:val="checkbox"/>
                <w:rFonts w:ascii="Arial" w:hAnsi="Arial" w:cs="Arial"/>
              </w:rPr>
              <w:t>, 2 </w:t>
            </w:r>
            <w:proofErr w:type="spellStart"/>
            <w:r>
              <w:rPr>
                <w:rStyle w:val="checkbox"/>
                <w:rFonts w:ascii="Arial" w:hAnsi="Arial" w:cs="Arial"/>
              </w:rPr>
              <w:t>yr</w:t>
            </w:r>
            <w:proofErr w:type="spellEnd"/>
            <w:r>
              <w:rPr>
                <w:rStyle w:val="checkbox"/>
                <w:rFonts w:ascii="Arial" w:hAnsi="Arial" w:cs="Arial"/>
              </w:rPr>
              <w:t>, also cited in ACGIH, 2018)</w:t>
            </w:r>
            <w:r w:rsidR="008C6040">
              <w:rPr>
                <w:rStyle w:val="checkbox"/>
                <w:rFonts w:ascii="Arial" w:hAnsi="Arial" w:cs="Arial"/>
              </w:rPr>
              <w:t>:</w:t>
            </w:r>
          </w:p>
          <w:p w14:paraId="649E6CD9" w14:textId="77777777" w:rsidR="006D5697" w:rsidRDefault="003F551A" w:rsidP="00A0607F">
            <w:pPr>
              <w:pStyle w:val="Tablefont"/>
              <w:numPr>
                <w:ilvl w:val="1"/>
                <w:numId w:val="1"/>
              </w:numPr>
              <w:spacing w:before="60" w:after="60"/>
              <w:ind w:left="109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5 mg/kg/d considered NOAEL due to low incidence of brain lesions (3/60) compared with controls (0/60)</w:t>
            </w:r>
          </w:p>
          <w:p w14:paraId="5C19B807" w14:textId="0DA2F192" w:rsidR="003F551A" w:rsidRPr="004C23F4" w:rsidRDefault="003F551A" w:rsidP="00A0607F">
            <w:pPr>
              <w:pStyle w:val="Tablefont"/>
              <w:numPr>
                <w:ilvl w:val="1"/>
                <w:numId w:val="1"/>
              </w:numPr>
              <w:spacing w:before="60" w:after="60"/>
              <w:ind w:left="109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overall UF of 37.5 applied to account for dose-response relationship, exposure duration, inter- and intraspecies differences, and exposure route to afford long-term systemic DNEL: 0.164 mg/m</w:t>
            </w:r>
            <w:r>
              <w:rPr>
                <w:rStyle w:val="checkbox"/>
                <w:rFonts w:ascii="Arial" w:hAnsi="Arial" w:cs="Arial"/>
                <w:vertAlign w:val="superscript"/>
              </w:rPr>
              <w:t>3</w:t>
            </w:r>
            <w:r w:rsidR="004B0B8F">
              <w:rPr>
                <w:rStyle w:val="checkbox"/>
                <w:rFonts w:ascii="Arial" w:hAnsi="Arial" w:cs="Arial"/>
              </w:rPr>
              <w:t>.</w:t>
            </w:r>
          </w:p>
        </w:tc>
      </w:tr>
    </w:tbl>
    <w:p w14:paraId="21C7ACE5" w14:textId="77777777" w:rsidR="007E2A4B" w:rsidRDefault="007E2A4B"/>
    <w:bookmarkEnd w:id="0"/>
    <w:p w14:paraId="04408E29" w14:textId="77777777" w:rsidR="007E2A4B" w:rsidRDefault="007E2A4B" w:rsidP="00A0607F">
      <w:pPr>
        <w:pStyle w:val="Heading3"/>
        <w:keepNext w:val="0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328EBB70" w14:textId="77777777" w:rsidTr="00F54029">
        <w:trPr>
          <w:trHeight w:val="454"/>
          <w:tblHeader/>
        </w:trPr>
        <w:tc>
          <w:tcPr>
            <w:tcW w:w="6597" w:type="dxa"/>
            <w:vAlign w:val="center"/>
          </w:tcPr>
          <w:p w14:paraId="3B9A5A84" w14:textId="77777777" w:rsidR="002E0D61" w:rsidRDefault="00B1422A" w:rsidP="00A0607F">
            <w:pPr>
              <w:pStyle w:val="Tablefont"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2B8F4675" w14:textId="141DB2D5" w:rsidR="002E0D61" w:rsidRDefault="00F54029" w:rsidP="00A0607F">
                <w:pPr>
                  <w:pStyle w:val="Tablefont"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2618A4C0" w14:textId="77777777" w:rsidTr="00F54029">
        <w:trPr>
          <w:trHeight w:val="454"/>
        </w:trPr>
        <w:tc>
          <w:tcPr>
            <w:tcW w:w="6597" w:type="dxa"/>
            <w:vAlign w:val="center"/>
          </w:tcPr>
          <w:p w14:paraId="28B995B9" w14:textId="77777777" w:rsidR="008A36CF" w:rsidRDefault="008A36CF" w:rsidP="00A0607F">
            <w:pPr>
              <w:pStyle w:val="Tablefont"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72B1B278" w14:textId="750A2033" w:rsidR="008A36CF" w:rsidRDefault="00F54029" w:rsidP="00A0607F">
                <w:pPr>
                  <w:pStyle w:val="Tablefont"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4D6DDFA3" w14:textId="77777777" w:rsidTr="00F54029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597" w:type="dxa"/>
                <w:vAlign w:val="center"/>
              </w:tcPr>
              <w:p w14:paraId="1A7516AB" w14:textId="54198FF3" w:rsidR="008A36CF" w:rsidRPr="006901A2" w:rsidRDefault="00F54029" w:rsidP="00A0607F">
                <w:pPr>
                  <w:pStyle w:val="Tablefont"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9" w:type="dxa"/>
            <w:vAlign w:val="center"/>
          </w:tcPr>
          <w:p w14:paraId="18F36B73" w14:textId="77777777" w:rsidR="008A36CF" w:rsidRDefault="008A36CF" w:rsidP="00A0607F">
            <w:pPr>
              <w:pStyle w:val="Tablefont"/>
              <w:keepLines/>
              <w:spacing w:before="40" w:after="40"/>
            </w:pPr>
          </w:p>
        </w:tc>
      </w:tr>
    </w:tbl>
    <w:bookmarkEnd w:id="1"/>
    <w:p w14:paraId="3F27FA04" w14:textId="77777777" w:rsidR="00687890" w:rsidRPr="004C23F4" w:rsidRDefault="00B479A9" w:rsidP="00474E33">
      <w:pPr>
        <w:pStyle w:val="Heading2"/>
      </w:pPr>
      <w:r w:rsidRPr="004C23F4">
        <w:lastRenderedPageBreak/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52E2B21" w14:textId="77777777" w:rsidTr="00203E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BAF3EEC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D0DCAEA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2D44898" w14:textId="77777777" w:rsidTr="00203E93">
        <w:trPr>
          <w:cantSplit/>
        </w:trPr>
        <w:tc>
          <w:tcPr>
            <w:tcW w:w="3227" w:type="dxa"/>
          </w:tcPr>
          <w:p w14:paraId="37396CB4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10BF575" w14:textId="0F9478A4" w:rsidR="00687890" w:rsidRPr="00DD2F9B" w:rsidRDefault="00A118EE" w:rsidP="00DD2F9B">
            <w:pPr>
              <w:pStyle w:val="Tablefont"/>
            </w:pPr>
            <w:r w:rsidRPr="00A118EE">
              <w:t>—</w:t>
            </w:r>
          </w:p>
        </w:tc>
      </w:tr>
      <w:tr w:rsidR="007925F0" w:rsidRPr="004C23F4" w14:paraId="2A0C13EF" w14:textId="77777777" w:rsidTr="00203E93">
        <w:trPr>
          <w:cantSplit/>
        </w:trPr>
        <w:tc>
          <w:tcPr>
            <w:tcW w:w="3227" w:type="dxa"/>
          </w:tcPr>
          <w:p w14:paraId="14F1C6D0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A64DA01" w14:textId="1FF57917" w:rsidR="007925F0" w:rsidRPr="00DD2F9B" w:rsidRDefault="00E75049" w:rsidP="00DD2F9B">
            <w:pPr>
              <w:pStyle w:val="Tablefont"/>
            </w:pPr>
            <w:r>
              <w:t>—</w:t>
            </w:r>
          </w:p>
        </w:tc>
      </w:tr>
      <w:tr w:rsidR="00AF483F" w:rsidRPr="004C23F4" w14:paraId="4C1044B3" w14:textId="77777777" w:rsidTr="00203E93">
        <w:trPr>
          <w:cantSplit/>
        </w:trPr>
        <w:tc>
          <w:tcPr>
            <w:tcW w:w="3227" w:type="dxa"/>
          </w:tcPr>
          <w:p w14:paraId="2C657AD0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C253FE0" w14:textId="581C3664" w:rsidR="00AF483F" w:rsidRPr="00DD2F9B" w:rsidRDefault="00A118EE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7812F0EC" w14:textId="77777777" w:rsidTr="00203E93">
        <w:trPr>
          <w:cantSplit/>
        </w:trPr>
        <w:tc>
          <w:tcPr>
            <w:tcW w:w="3227" w:type="dxa"/>
          </w:tcPr>
          <w:p w14:paraId="27285614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17B08F1" w14:textId="253ED625" w:rsidR="00687890" w:rsidRPr="00DD2F9B" w:rsidRDefault="00E75049" w:rsidP="00DD2F9B">
            <w:pPr>
              <w:pStyle w:val="Tablefont"/>
            </w:pPr>
            <w:r>
              <w:t>—</w:t>
            </w:r>
          </w:p>
        </w:tc>
      </w:tr>
      <w:tr w:rsidR="00E41A26" w:rsidRPr="004C23F4" w14:paraId="403F0800" w14:textId="77777777" w:rsidTr="00203E93">
        <w:trPr>
          <w:cantSplit/>
        </w:trPr>
        <w:tc>
          <w:tcPr>
            <w:tcW w:w="3227" w:type="dxa"/>
          </w:tcPr>
          <w:p w14:paraId="09B172BE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78B90CD" w14:textId="00B04D1E" w:rsidR="00E41A26" w:rsidRPr="00DD2F9B" w:rsidRDefault="00A118EE" w:rsidP="00DD2F9B">
            <w:pPr>
              <w:pStyle w:val="Tablefont"/>
            </w:pPr>
            <w:r w:rsidRPr="00A118EE">
              <w:t>—</w:t>
            </w:r>
          </w:p>
        </w:tc>
      </w:tr>
      <w:tr w:rsidR="002E0D61" w:rsidRPr="004C23F4" w14:paraId="57A490EF" w14:textId="77777777" w:rsidTr="00203E93">
        <w:trPr>
          <w:cantSplit/>
        </w:trPr>
        <w:tc>
          <w:tcPr>
            <w:tcW w:w="3227" w:type="dxa"/>
          </w:tcPr>
          <w:p w14:paraId="4D22C7D5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A591C6E" w14:textId="2427ADB6" w:rsidR="002E0D61" w:rsidRPr="00DD2F9B" w:rsidRDefault="00A118EE" w:rsidP="00DD2F9B">
            <w:pPr>
              <w:pStyle w:val="Tablefont"/>
            </w:pPr>
            <w:r w:rsidRPr="00A118EE">
              <w:t>Carcinogenicity – A4</w:t>
            </w:r>
          </w:p>
        </w:tc>
      </w:tr>
      <w:tr w:rsidR="002E0D61" w:rsidRPr="004C23F4" w14:paraId="43FA3590" w14:textId="77777777" w:rsidTr="00203E93">
        <w:trPr>
          <w:cantSplit/>
        </w:trPr>
        <w:tc>
          <w:tcPr>
            <w:tcW w:w="3227" w:type="dxa"/>
          </w:tcPr>
          <w:p w14:paraId="5F590D05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6555DBE" w14:textId="785C96AA" w:rsidR="002E0D61" w:rsidRPr="00DD2F9B" w:rsidRDefault="00A118EE" w:rsidP="00DD2F9B">
            <w:pPr>
              <w:pStyle w:val="Tablefont"/>
            </w:pPr>
            <w:r w:rsidRPr="00A118EE">
              <w:t>—</w:t>
            </w:r>
          </w:p>
        </w:tc>
      </w:tr>
      <w:tr w:rsidR="002E0D61" w:rsidRPr="004C23F4" w14:paraId="2AC7B866" w14:textId="77777777" w:rsidTr="00203E93">
        <w:trPr>
          <w:cantSplit/>
        </w:trPr>
        <w:tc>
          <w:tcPr>
            <w:tcW w:w="3227" w:type="dxa"/>
          </w:tcPr>
          <w:p w14:paraId="70E5B2BF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70736A2" w14:textId="4BCD7D8D" w:rsidR="002E0D61" w:rsidRPr="00DD2F9B" w:rsidRDefault="00A118EE" w:rsidP="00DD2F9B">
            <w:pPr>
              <w:pStyle w:val="Tablefont"/>
            </w:pPr>
            <w:r w:rsidRPr="00A118EE">
              <w:t>—</w:t>
            </w:r>
          </w:p>
        </w:tc>
      </w:tr>
      <w:tr w:rsidR="002E0D61" w:rsidRPr="004C23F4" w14:paraId="1BE6EC07" w14:textId="77777777" w:rsidTr="00203E93">
        <w:trPr>
          <w:cantSplit/>
        </w:trPr>
        <w:tc>
          <w:tcPr>
            <w:tcW w:w="3227" w:type="dxa"/>
          </w:tcPr>
          <w:p w14:paraId="4AF9E8D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70663407" w14:textId="08D88C84" w:rsidR="002E0D61" w:rsidRPr="00DD2F9B" w:rsidRDefault="00A118EE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F6A6A8E" w14:textId="77777777" w:rsidTr="00203E93">
        <w:trPr>
          <w:cantSplit/>
        </w:trPr>
        <w:tc>
          <w:tcPr>
            <w:tcW w:w="3227" w:type="dxa"/>
          </w:tcPr>
          <w:p w14:paraId="04F98936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41186B9" w14:textId="77AAA566" w:rsidR="00386093" w:rsidRPr="00DD2F9B" w:rsidRDefault="00A118EE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7461DB0E" w14:textId="77777777" w:rsidTr="00203E93">
        <w:trPr>
          <w:cantSplit/>
        </w:trPr>
        <w:tc>
          <w:tcPr>
            <w:tcW w:w="3227" w:type="dxa"/>
          </w:tcPr>
          <w:p w14:paraId="1086B376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A9F8299" w14:textId="3E2943AB" w:rsidR="00386093" w:rsidRPr="00DD2F9B" w:rsidRDefault="00A118EE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691DA01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0949ECD" w14:textId="77777777" w:rsidR="00474E33" w:rsidRDefault="00474E33" w:rsidP="00474E33">
      <w:pPr>
        <w:pStyle w:val="Heading3"/>
      </w:pPr>
      <w:r>
        <w:t>Skin notation assessment</w:t>
      </w:r>
      <w:bookmarkStart w:id="3" w:name="_GoBack"/>
      <w:bookmarkEnd w:id="3"/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314802BA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09CFAA2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B6A4B72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967" w:type="dxa"/>
              <w:tblLook w:val="04A0" w:firstRow="1" w:lastRow="0" w:firstColumn="1" w:lastColumn="0" w:noHBand="0" w:noVBand="1"/>
            </w:tblPr>
            <w:tblGrid>
              <w:gridCol w:w="2718"/>
              <w:gridCol w:w="807"/>
              <w:gridCol w:w="807"/>
              <w:gridCol w:w="4478"/>
            </w:tblGrid>
            <w:tr w:rsidR="004B0B8F" w:rsidRPr="004B0B8F" w14:paraId="74DD53A7" w14:textId="77777777" w:rsidTr="004B0B8F">
              <w:trPr>
                <w:trHeight w:val="342"/>
              </w:trPr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09B69C2" w14:textId="77777777" w:rsidR="004B0B8F" w:rsidRPr="004B0B8F" w:rsidRDefault="004B0B8F" w:rsidP="004B0B8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B0B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5350315" w14:textId="77777777" w:rsidR="004B0B8F" w:rsidRPr="004B0B8F" w:rsidRDefault="004B0B8F" w:rsidP="004B0B8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B0B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DC3FAAB" w14:textId="77777777" w:rsidR="004B0B8F" w:rsidRPr="004B0B8F" w:rsidRDefault="004B0B8F" w:rsidP="004B0B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4B0B8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4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2745B3E" w14:textId="77777777" w:rsidR="004B0B8F" w:rsidRPr="004B0B8F" w:rsidRDefault="004B0B8F" w:rsidP="004B0B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B0B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4B0B8F" w:rsidRPr="004B0B8F" w14:paraId="6462FC2E" w14:textId="77777777" w:rsidTr="004B0B8F">
              <w:trPr>
                <w:trHeight w:val="342"/>
              </w:trPr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A519F77" w14:textId="77777777" w:rsidR="004B0B8F" w:rsidRPr="004B0B8F" w:rsidRDefault="004B0B8F" w:rsidP="004B0B8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B0B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4B0B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4B0B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785F4AF4" w14:textId="77777777" w:rsidR="004B0B8F" w:rsidRPr="004B0B8F" w:rsidRDefault="004B0B8F" w:rsidP="004B0B8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4B0B8F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ACB71B7" w14:textId="77777777" w:rsidR="004B0B8F" w:rsidRPr="004B0B8F" w:rsidRDefault="004B0B8F" w:rsidP="004B0B8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4B0B8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4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9D67C14" w14:textId="77777777" w:rsidR="004B0B8F" w:rsidRPr="004B0B8F" w:rsidRDefault="004B0B8F" w:rsidP="004B0B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B0B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4B0B8F" w:rsidRPr="004B0B8F" w14:paraId="4A1C59F0" w14:textId="77777777" w:rsidTr="004B0B8F">
              <w:trPr>
                <w:trHeight w:val="342"/>
              </w:trPr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02A4B95" w14:textId="77777777" w:rsidR="004B0B8F" w:rsidRPr="004B0B8F" w:rsidRDefault="004B0B8F" w:rsidP="004B0B8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B0B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1A25465" w14:textId="77777777" w:rsidR="004B0B8F" w:rsidRPr="004B0B8F" w:rsidRDefault="004B0B8F" w:rsidP="004B0B8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B0B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B8C6230" w14:textId="77777777" w:rsidR="004B0B8F" w:rsidRPr="004B0B8F" w:rsidRDefault="004B0B8F" w:rsidP="004B0B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4B0B8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4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39F8774" w14:textId="77777777" w:rsidR="004B0B8F" w:rsidRPr="004B0B8F" w:rsidRDefault="004B0B8F" w:rsidP="004B0B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B0B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4B0B8F" w:rsidRPr="004B0B8F" w14:paraId="072A3A6A" w14:textId="77777777" w:rsidTr="004B0B8F">
              <w:trPr>
                <w:trHeight w:val="342"/>
              </w:trPr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77AF9CD" w14:textId="77777777" w:rsidR="004B0B8F" w:rsidRPr="004B0B8F" w:rsidRDefault="004B0B8F" w:rsidP="004B0B8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B0B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4B0B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4B0B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4B0B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4B0B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3CE16F8" w14:textId="77777777" w:rsidR="004B0B8F" w:rsidRPr="004B0B8F" w:rsidRDefault="004B0B8F" w:rsidP="004B0B8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B0B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4541EB5" w14:textId="77777777" w:rsidR="004B0B8F" w:rsidRPr="004B0B8F" w:rsidRDefault="004B0B8F" w:rsidP="004B0B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4B0B8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4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A2ACDE8" w14:textId="77777777" w:rsidR="004B0B8F" w:rsidRPr="004B0B8F" w:rsidRDefault="004B0B8F" w:rsidP="004B0B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B0B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4B0B8F" w:rsidRPr="004B0B8F" w14:paraId="6A6D7E61" w14:textId="77777777" w:rsidTr="004B0B8F">
              <w:trPr>
                <w:trHeight w:val="342"/>
              </w:trPr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00476B5" w14:textId="77777777" w:rsidR="004B0B8F" w:rsidRPr="004B0B8F" w:rsidRDefault="004B0B8F" w:rsidP="004B0B8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4B0B8F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4B0B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64AE6CD" w14:textId="77777777" w:rsidR="004B0B8F" w:rsidRPr="004B0B8F" w:rsidRDefault="004B0B8F" w:rsidP="004B0B8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B0B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28539CA" w14:textId="77777777" w:rsidR="004B0B8F" w:rsidRPr="004B0B8F" w:rsidRDefault="004B0B8F" w:rsidP="004B0B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4B0B8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4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C06C2D7" w14:textId="77777777" w:rsidR="004B0B8F" w:rsidRPr="004B0B8F" w:rsidRDefault="004B0B8F" w:rsidP="004B0B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B0B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4B0B8F" w:rsidRPr="004B0B8F" w14:paraId="0F536362" w14:textId="77777777" w:rsidTr="004B0B8F">
              <w:trPr>
                <w:trHeight w:val="342"/>
              </w:trPr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B2752A0" w14:textId="77777777" w:rsidR="004B0B8F" w:rsidRPr="004B0B8F" w:rsidRDefault="004B0B8F" w:rsidP="004B0B8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B0B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E99A78F" w14:textId="77777777" w:rsidR="004B0B8F" w:rsidRPr="004B0B8F" w:rsidRDefault="004B0B8F" w:rsidP="004B0B8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B0B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7BDCDD9" w14:textId="77777777" w:rsidR="004B0B8F" w:rsidRPr="004B0B8F" w:rsidRDefault="004B0B8F" w:rsidP="004B0B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4B0B8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4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78EE0D1" w14:textId="77777777" w:rsidR="004B0B8F" w:rsidRPr="004B0B8F" w:rsidRDefault="004B0B8F" w:rsidP="004B0B8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B0B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4B0B8F" w:rsidRPr="004B0B8F" w14:paraId="23375B23" w14:textId="77777777" w:rsidTr="004B0B8F">
              <w:trPr>
                <w:trHeight w:val="342"/>
              </w:trPr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8DF3923" w14:textId="77777777" w:rsidR="004B0B8F" w:rsidRPr="004B0B8F" w:rsidRDefault="004B0B8F" w:rsidP="004B0B8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B0B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69FD1E7" w14:textId="77777777" w:rsidR="004B0B8F" w:rsidRPr="004B0B8F" w:rsidRDefault="004B0B8F" w:rsidP="004B0B8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4B0B8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C444AC2" w14:textId="77777777" w:rsidR="004B0B8F" w:rsidRPr="004B0B8F" w:rsidRDefault="004B0B8F" w:rsidP="004B0B8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4B0B8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4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2F4C507" w14:textId="77777777" w:rsidR="004B0B8F" w:rsidRPr="004B0B8F" w:rsidRDefault="004B0B8F" w:rsidP="004B0B8F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4B0B8F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consider assigning a skin notation</w:t>
                  </w:r>
                </w:p>
              </w:tc>
            </w:tr>
          </w:tbl>
          <w:p w14:paraId="329D664C" w14:textId="3F1A3958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17DD4C74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76572C95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FCAB12B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DFB8CD9" w14:textId="6A3F24D1" w:rsidR="00EB3D1B" w:rsidRDefault="00A118EE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09564279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20151388" w14:textId="77777777" w:rsidTr="00A0607F">
        <w:trPr>
          <w:cantSplit/>
        </w:trPr>
        <w:tc>
          <w:tcPr>
            <w:tcW w:w="4077" w:type="dxa"/>
            <w:vAlign w:val="center"/>
          </w:tcPr>
          <w:p w14:paraId="4D40D6A0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B769A95" w14:textId="0BF83472" w:rsidR="001B79E5" w:rsidRDefault="00A118EE" w:rsidP="001B79E5">
                <w:pPr>
                  <w:pStyle w:val="Tablefont"/>
                </w:pPr>
                <w:r>
                  <w:t>65.01</w:t>
                </w:r>
              </w:p>
            </w:tc>
          </w:sdtContent>
        </w:sdt>
      </w:tr>
      <w:tr w:rsidR="00A31D99" w:rsidRPr="004C23F4" w14:paraId="4D7C99C9" w14:textId="77777777" w:rsidTr="00A0607F">
        <w:trPr>
          <w:cantSplit/>
        </w:trPr>
        <w:tc>
          <w:tcPr>
            <w:tcW w:w="4077" w:type="dxa"/>
            <w:vAlign w:val="center"/>
          </w:tcPr>
          <w:p w14:paraId="639B143B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4F6414BE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64400DD3" w14:textId="77777777" w:rsidTr="00A0607F">
        <w:trPr>
          <w:cantSplit/>
        </w:trPr>
        <w:tc>
          <w:tcPr>
            <w:tcW w:w="4077" w:type="dxa"/>
            <w:vAlign w:val="center"/>
          </w:tcPr>
          <w:p w14:paraId="402488EA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4A54B21" w14:textId="707194BF" w:rsidR="00687890" w:rsidRPr="004C23F4" w:rsidRDefault="00E75049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348B99DA" w14:textId="77777777" w:rsidTr="00A0607F">
        <w:trPr>
          <w:cantSplit/>
        </w:trPr>
        <w:tc>
          <w:tcPr>
            <w:tcW w:w="4077" w:type="dxa"/>
            <w:vAlign w:val="center"/>
          </w:tcPr>
          <w:p w14:paraId="085F3385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7481CF4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A425D20" w14:textId="77777777" w:rsidTr="00A0607F">
        <w:trPr>
          <w:cantSplit/>
        </w:trPr>
        <w:tc>
          <w:tcPr>
            <w:tcW w:w="4077" w:type="dxa"/>
            <w:vAlign w:val="center"/>
          </w:tcPr>
          <w:p w14:paraId="6A9A1889" w14:textId="77777777" w:rsidR="00687890" w:rsidRPr="00263255" w:rsidRDefault="00687890" w:rsidP="00263255">
            <w:pPr>
              <w:pStyle w:val="Tablefont"/>
            </w:pPr>
            <w:r w:rsidRPr="00263255">
              <w:lastRenderedPageBreak/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4AC1F87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C457149" w14:textId="77777777" w:rsidTr="00A0607F">
        <w:trPr>
          <w:cantSplit/>
        </w:trPr>
        <w:tc>
          <w:tcPr>
            <w:tcW w:w="4077" w:type="dxa"/>
            <w:vAlign w:val="center"/>
          </w:tcPr>
          <w:p w14:paraId="6EFB81B8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1AC5BAA" w14:textId="77777777" w:rsidR="00E06F40" w:rsidRPr="00A006A0" w:rsidRDefault="00203E93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F17BFE8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A6A40EF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D29FE93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F181855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A8EDFF7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949D24F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016177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2632AEE5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016C4875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32246C00" w14:textId="7D51F68F" w:rsidR="008E4F1F" w:rsidRDefault="008E4F1F" w:rsidP="008E4F1F">
      <w:pPr>
        <w:rPr>
          <w:b/>
        </w:rPr>
      </w:pPr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="00A118EE">
        <w:t>2003</w:t>
      </w:r>
      <w:r>
        <w:t xml:space="preserve">) </w:t>
      </w:r>
      <w:r w:rsidR="00A118EE" w:rsidRPr="00A118EE">
        <w:t xml:space="preserve">Sodium </w:t>
      </w:r>
      <w:proofErr w:type="spellStart"/>
      <w:r w:rsidR="00A118EE" w:rsidRPr="00A118EE">
        <w:t>azide</w:t>
      </w:r>
      <w:proofErr w:type="spellEnd"/>
      <w:r>
        <w:t xml:space="preserve"> – MAK value documentation.</w:t>
      </w:r>
    </w:p>
    <w:p w14:paraId="3A4FF805" w14:textId="1027933F" w:rsidR="008E4F1F" w:rsidRDefault="008E4F1F" w:rsidP="008E4F1F">
      <w:r w:rsidRPr="002022B6">
        <w:t>EU Scientific Committee on Occupational Exposure Limits (SCOEL)</w:t>
      </w:r>
      <w:r>
        <w:t xml:space="preserve"> (</w:t>
      </w:r>
      <w:r w:rsidR="00A118EE" w:rsidRPr="00A118EE">
        <w:t>2009</w:t>
      </w:r>
      <w:r>
        <w:t xml:space="preserve">) Recommendation from the Scientific Committee on Occupational Exposure Limits for </w:t>
      </w:r>
      <w:r w:rsidR="00A118EE" w:rsidRPr="00A118EE">
        <w:t xml:space="preserve">sodium </w:t>
      </w:r>
      <w:proofErr w:type="spellStart"/>
      <w:r w:rsidR="00A118EE" w:rsidRPr="00A118EE">
        <w:t>azide</w:t>
      </w:r>
      <w:proofErr w:type="spellEnd"/>
      <w:r>
        <w:t>. SCOEL/</w:t>
      </w:r>
      <w:r w:rsidR="00A118EE" w:rsidRPr="00A118EE">
        <w:t>SUM/51</w:t>
      </w:r>
      <w:r>
        <w:t>.</w:t>
      </w:r>
    </w:p>
    <w:p w14:paraId="4014A178" w14:textId="09C9A9B8" w:rsidR="00AA3808" w:rsidRDefault="00AA3808" w:rsidP="00AA3808">
      <w:r>
        <w:t xml:space="preserve">European Chemicals Agency (ECHA) (2020) </w:t>
      </w:r>
      <w:r w:rsidRPr="002D3F95">
        <w:t>Sodium fluoroacetate</w:t>
      </w:r>
      <w:r>
        <w:t xml:space="preserve"> – REACH assessment.</w:t>
      </w:r>
    </w:p>
    <w:p w14:paraId="728347CA" w14:textId="77777777" w:rsidR="00AA3808" w:rsidRPr="00D40637" w:rsidRDefault="00AA3808" w:rsidP="00AA3808">
      <w:r w:rsidRPr="00D40637">
        <w:t>US Environmental Protection Authority (US EPA) (</w:t>
      </w:r>
      <w:r>
        <w:t>1991</w:t>
      </w:r>
      <w:r w:rsidRPr="00D40637">
        <w:t>) Integrated Risk Information System (IRIS) Chemical Assessment Summary – Sodium fluoroacetate.</w:t>
      </w:r>
    </w:p>
    <w:p w14:paraId="59487FAC" w14:textId="77777777" w:rsidR="00AA3808" w:rsidRDefault="00AA3808" w:rsidP="008E4F1F">
      <w:pPr>
        <w:rPr>
          <w:b/>
        </w:rPr>
      </w:pPr>
    </w:p>
    <w:p w14:paraId="417B0753" w14:textId="77777777" w:rsidR="008E4F1F" w:rsidRPr="00351FE0" w:rsidRDefault="008E4F1F" w:rsidP="00084859"/>
    <w:sectPr w:rsidR="008E4F1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FF614" w14:textId="77777777" w:rsidR="000175A4" w:rsidRDefault="000175A4" w:rsidP="00F43AD5">
      <w:pPr>
        <w:spacing w:after="0" w:line="240" w:lineRule="auto"/>
      </w:pPr>
      <w:r>
        <w:separator/>
      </w:r>
    </w:p>
  </w:endnote>
  <w:endnote w:type="continuationSeparator" w:id="0">
    <w:p w14:paraId="7E0A899F" w14:textId="77777777" w:rsidR="000175A4" w:rsidRDefault="000175A4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99BD0" w14:textId="77777777" w:rsidR="00203E93" w:rsidRDefault="00203E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9026E62" w14:textId="5CF7A2B8" w:rsidR="00AA3808" w:rsidRDefault="00AA3808" w:rsidP="0034744C">
        <w:pPr>
          <w:pStyle w:val="Footer"/>
          <w:rPr>
            <w:sz w:val="18"/>
            <w:szCs w:val="18"/>
          </w:rPr>
        </w:pPr>
        <w:r w:rsidRPr="0027531B">
          <w:rPr>
            <w:b/>
            <w:sz w:val="18"/>
            <w:szCs w:val="18"/>
          </w:rPr>
          <w:t xml:space="preserve">Sodium </w:t>
        </w:r>
        <w:proofErr w:type="spellStart"/>
        <w:r w:rsidRPr="0027531B">
          <w:rPr>
            <w:b/>
            <w:sz w:val="18"/>
            <w:szCs w:val="18"/>
          </w:rPr>
          <w:t>azide</w:t>
        </w:r>
        <w:proofErr w:type="spellEnd"/>
        <w:r>
          <w:rPr>
            <w:b/>
            <w:sz w:val="18"/>
            <w:szCs w:val="18"/>
          </w:rPr>
          <w:t xml:space="preserve"> (</w:t>
        </w:r>
        <w:r w:rsidRPr="0027531B">
          <w:rPr>
            <w:b/>
            <w:sz w:val="18"/>
            <w:szCs w:val="18"/>
          </w:rPr>
          <w:t>26628-22-8</w:t>
        </w:r>
        <w:r>
          <w:rPr>
            <w:b/>
            <w:sz w:val="18"/>
            <w:szCs w:val="18"/>
          </w:rPr>
          <w:t>)</w:t>
        </w:r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</w:t>
        </w:r>
        <w:r>
          <w:rPr>
            <w:sz w:val="18"/>
            <w:szCs w:val="18"/>
          </w:rPr>
          <w:t>20</w:t>
        </w:r>
      </w:p>
      <w:p w14:paraId="2D517F5E" w14:textId="68797EEA" w:rsidR="00AA3808" w:rsidRPr="00F43AD5" w:rsidRDefault="00AA3808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D50BC8">
          <w:rPr>
            <w:noProof/>
            <w:sz w:val="18"/>
            <w:szCs w:val="18"/>
          </w:rPr>
          <w:t>1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D20F3" w14:textId="77777777" w:rsidR="00203E93" w:rsidRDefault="00203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378BF" w14:textId="77777777" w:rsidR="000175A4" w:rsidRDefault="000175A4" w:rsidP="00F43AD5">
      <w:pPr>
        <w:spacing w:after="0" w:line="240" w:lineRule="auto"/>
      </w:pPr>
      <w:r>
        <w:separator/>
      </w:r>
    </w:p>
  </w:footnote>
  <w:footnote w:type="continuationSeparator" w:id="0">
    <w:p w14:paraId="15F954A9" w14:textId="77777777" w:rsidR="000175A4" w:rsidRDefault="000175A4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E8BAE" w14:textId="77777777" w:rsidR="00203E93" w:rsidRDefault="00203E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A8792" w14:textId="5A0F20CA" w:rsidR="00AA3808" w:rsidRPr="00203E93" w:rsidRDefault="00203E93" w:rsidP="00203E93">
    <w:pPr>
      <w:pStyle w:val="Header"/>
      <w:jc w:val="right"/>
    </w:pPr>
    <w:r>
      <w:pict w14:anchorId="5AAED8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6145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00BACC33" wp14:editId="3C5D5C45">
          <wp:extent cx="2943225" cy="600075"/>
          <wp:effectExtent l="0" t="0" r="9525" b="9525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314DD" w14:textId="77777777" w:rsidR="00203E93" w:rsidRDefault="00203E9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09FB4" w14:textId="06A539A0" w:rsidR="00AA3808" w:rsidRDefault="00203E93" w:rsidP="00203E93">
    <w:pPr>
      <w:pStyle w:val="Header"/>
      <w:jc w:val="right"/>
    </w:pPr>
    <w:r>
      <w:pict w14:anchorId="66D26C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146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31A53603" wp14:editId="54CE5CEE">
          <wp:extent cx="2947670" cy="600710"/>
          <wp:effectExtent l="0" t="0" r="5080" b="889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02EDA"/>
    <w:multiLevelType w:val="hybridMultilevel"/>
    <w:tmpl w:val="A0F4236C"/>
    <w:lvl w:ilvl="0" w:tplc="2174C6F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4256D"/>
    <w:multiLevelType w:val="hybridMultilevel"/>
    <w:tmpl w:val="7500074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C70AA7"/>
    <w:multiLevelType w:val="hybridMultilevel"/>
    <w:tmpl w:val="DC36AB2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29075B"/>
    <w:multiLevelType w:val="hybridMultilevel"/>
    <w:tmpl w:val="DE4E05B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C218AF"/>
    <w:multiLevelType w:val="hybridMultilevel"/>
    <w:tmpl w:val="6D1AEC8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492F62"/>
    <w:multiLevelType w:val="hybridMultilevel"/>
    <w:tmpl w:val="47947518"/>
    <w:lvl w:ilvl="0" w:tplc="4B9C1E0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42FEF"/>
    <w:multiLevelType w:val="hybridMultilevel"/>
    <w:tmpl w:val="62D03F6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3ED9"/>
    <w:rsid w:val="00014C3F"/>
    <w:rsid w:val="000175A4"/>
    <w:rsid w:val="00017C82"/>
    <w:rsid w:val="00021353"/>
    <w:rsid w:val="00032B88"/>
    <w:rsid w:val="00037E52"/>
    <w:rsid w:val="000413C2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3A8"/>
    <w:rsid w:val="000B7B48"/>
    <w:rsid w:val="000C096D"/>
    <w:rsid w:val="000C139A"/>
    <w:rsid w:val="000C2053"/>
    <w:rsid w:val="000C248C"/>
    <w:rsid w:val="000D0643"/>
    <w:rsid w:val="000D291C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55999"/>
    <w:rsid w:val="00160F47"/>
    <w:rsid w:val="00177CA1"/>
    <w:rsid w:val="00183823"/>
    <w:rsid w:val="00183942"/>
    <w:rsid w:val="001915F6"/>
    <w:rsid w:val="001A009E"/>
    <w:rsid w:val="001A1287"/>
    <w:rsid w:val="001A3859"/>
    <w:rsid w:val="001A3C9D"/>
    <w:rsid w:val="001A43F8"/>
    <w:rsid w:val="001B79E5"/>
    <w:rsid w:val="001C3E66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3E93"/>
    <w:rsid w:val="002046A6"/>
    <w:rsid w:val="00204956"/>
    <w:rsid w:val="00213640"/>
    <w:rsid w:val="00221547"/>
    <w:rsid w:val="002216FC"/>
    <w:rsid w:val="00222533"/>
    <w:rsid w:val="00222F30"/>
    <w:rsid w:val="00224D49"/>
    <w:rsid w:val="00224EE2"/>
    <w:rsid w:val="00227EC7"/>
    <w:rsid w:val="00244AD1"/>
    <w:rsid w:val="002463BC"/>
    <w:rsid w:val="002465CE"/>
    <w:rsid w:val="002536E8"/>
    <w:rsid w:val="0025734A"/>
    <w:rsid w:val="00263255"/>
    <w:rsid w:val="0027531B"/>
    <w:rsid w:val="00276494"/>
    <w:rsid w:val="00277B0C"/>
    <w:rsid w:val="002B1A2C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B66D3"/>
    <w:rsid w:val="003C0D58"/>
    <w:rsid w:val="003D4635"/>
    <w:rsid w:val="003D4FA3"/>
    <w:rsid w:val="003E0807"/>
    <w:rsid w:val="003E51FB"/>
    <w:rsid w:val="003E5571"/>
    <w:rsid w:val="003E6B39"/>
    <w:rsid w:val="003F07E1"/>
    <w:rsid w:val="003F2198"/>
    <w:rsid w:val="003F551A"/>
    <w:rsid w:val="003F7FD5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B0B8F"/>
    <w:rsid w:val="004C1E3F"/>
    <w:rsid w:val="004C23F4"/>
    <w:rsid w:val="004C3475"/>
    <w:rsid w:val="004C58B6"/>
    <w:rsid w:val="004C7BE7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962"/>
    <w:rsid w:val="00551BD8"/>
    <w:rsid w:val="00581055"/>
    <w:rsid w:val="00591E38"/>
    <w:rsid w:val="005A19C5"/>
    <w:rsid w:val="005A3034"/>
    <w:rsid w:val="005A462D"/>
    <w:rsid w:val="005B253B"/>
    <w:rsid w:val="005B771D"/>
    <w:rsid w:val="005C5CC1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26E31"/>
    <w:rsid w:val="006363A8"/>
    <w:rsid w:val="00636DB7"/>
    <w:rsid w:val="006401B0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C42A1"/>
    <w:rsid w:val="006D5697"/>
    <w:rsid w:val="006D79EA"/>
    <w:rsid w:val="006E5D05"/>
    <w:rsid w:val="006F57D3"/>
    <w:rsid w:val="00701053"/>
    <w:rsid w:val="00701507"/>
    <w:rsid w:val="00703B3E"/>
    <w:rsid w:val="00714021"/>
    <w:rsid w:val="00716A0F"/>
    <w:rsid w:val="00717D45"/>
    <w:rsid w:val="007208F7"/>
    <w:rsid w:val="007218AF"/>
    <w:rsid w:val="007260F0"/>
    <w:rsid w:val="007365D1"/>
    <w:rsid w:val="00740E0E"/>
    <w:rsid w:val="00750212"/>
    <w:rsid w:val="00754779"/>
    <w:rsid w:val="0075716D"/>
    <w:rsid w:val="007654E5"/>
    <w:rsid w:val="00765F14"/>
    <w:rsid w:val="00770E31"/>
    <w:rsid w:val="007770F1"/>
    <w:rsid w:val="007828B6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C3A47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028"/>
    <w:rsid w:val="00810C6D"/>
    <w:rsid w:val="00812887"/>
    <w:rsid w:val="00815B13"/>
    <w:rsid w:val="00823763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C6040"/>
    <w:rsid w:val="008D026D"/>
    <w:rsid w:val="008D23AB"/>
    <w:rsid w:val="008D4B8B"/>
    <w:rsid w:val="008D5A78"/>
    <w:rsid w:val="008E4F1F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5B68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9F2A50"/>
    <w:rsid w:val="00A01D0C"/>
    <w:rsid w:val="00A0607F"/>
    <w:rsid w:val="00A0643F"/>
    <w:rsid w:val="00A067EE"/>
    <w:rsid w:val="00A10FCE"/>
    <w:rsid w:val="00A118E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4682"/>
    <w:rsid w:val="00A8672F"/>
    <w:rsid w:val="00A93057"/>
    <w:rsid w:val="00A968B0"/>
    <w:rsid w:val="00A9758B"/>
    <w:rsid w:val="00AA3808"/>
    <w:rsid w:val="00AB2672"/>
    <w:rsid w:val="00AB2817"/>
    <w:rsid w:val="00AB43C4"/>
    <w:rsid w:val="00AC32E7"/>
    <w:rsid w:val="00AC3A9F"/>
    <w:rsid w:val="00AC6D2F"/>
    <w:rsid w:val="00AD5336"/>
    <w:rsid w:val="00AE2745"/>
    <w:rsid w:val="00AE2F64"/>
    <w:rsid w:val="00AF42CB"/>
    <w:rsid w:val="00AF483F"/>
    <w:rsid w:val="00AF5E07"/>
    <w:rsid w:val="00AF5F06"/>
    <w:rsid w:val="00AF7034"/>
    <w:rsid w:val="00B00A25"/>
    <w:rsid w:val="00B0701E"/>
    <w:rsid w:val="00B1422A"/>
    <w:rsid w:val="00B1765C"/>
    <w:rsid w:val="00B213C4"/>
    <w:rsid w:val="00B40C60"/>
    <w:rsid w:val="00B479A9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D6E4C"/>
    <w:rsid w:val="00BF2406"/>
    <w:rsid w:val="00C06756"/>
    <w:rsid w:val="00C06E43"/>
    <w:rsid w:val="00C16315"/>
    <w:rsid w:val="00C3091E"/>
    <w:rsid w:val="00C351CC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C51A5"/>
    <w:rsid w:val="00CD2BFD"/>
    <w:rsid w:val="00CD7E2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4C89"/>
    <w:rsid w:val="00D50BC8"/>
    <w:rsid w:val="00D516CD"/>
    <w:rsid w:val="00D668E6"/>
    <w:rsid w:val="00D70670"/>
    <w:rsid w:val="00D74D80"/>
    <w:rsid w:val="00D76624"/>
    <w:rsid w:val="00D87570"/>
    <w:rsid w:val="00D91CB9"/>
    <w:rsid w:val="00D93034"/>
    <w:rsid w:val="00D97989"/>
    <w:rsid w:val="00D97D8D"/>
    <w:rsid w:val="00DA352E"/>
    <w:rsid w:val="00DB42B5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04E"/>
    <w:rsid w:val="00E07CE8"/>
    <w:rsid w:val="00E26A07"/>
    <w:rsid w:val="00E32595"/>
    <w:rsid w:val="00E37CFD"/>
    <w:rsid w:val="00E41A26"/>
    <w:rsid w:val="00E46BCB"/>
    <w:rsid w:val="00E51CAF"/>
    <w:rsid w:val="00E52065"/>
    <w:rsid w:val="00E60F04"/>
    <w:rsid w:val="00E62AAC"/>
    <w:rsid w:val="00E67C2F"/>
    <w:rsid w:val="00E67EF5"/>
    <w:rsid w:val="00E75049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03DA"/>
    <w:rsid w:val="00ED1D89"/>
    <w:rsid w:val="00ED57DA"/>
    <w:rsid w:val="00ED66BC"/>
    <w:rsid w:val="00EE62AF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4029"/>
    <w:rsid w:val="00F56DD0"/>
    <w:rsid w:val="00F6491C"/>
    <w:rsid w:val="00F67BBB"/>
    <w:rsid w:val="00F8258E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1D603410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C7B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BE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BE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635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9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FFDE270CB50461B826B01949848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30F8-F751-45C7-BEFB-A7D3397CEB99}"/>
      </w:docPartPr>
      <w:docPartBody>
        <w:p w:rsidR="00D21A9F" w:rsidRDefault="00D21A9F">
          <w:pPr>
            <w:pStyle w:val="CFFDE270CB50461B826B0194984892C5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DA2FFE9CEF2D415F9F59B567F352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1C5-42A4-4306-B55E-10EEC441C04B}"/>
      </w:docPartPr>
      <w:docPartBody>
        <w:p w:rsidR="00110D93" w:rsidRDefault="00CA72D3" w:rsidP="00CA72D3">
          <w:pPr>
            <w:pStyle w:val="DA2FFE9CEF2D415F9F59B567F352ED2C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1EF68C893FDF48D28F4E60CB6A9D0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63C8D-4115-41EB-928F-C9DFBD3FB54C}"/>
      </w:docPartPr>
      <w:docPartBody>
        <w:p w:rsidR="00062872" w:rsidRDefault="009F6C1A" w:rsidP="009F6C1A">
          <w:pPr>
            <w:pStyle w:val="1EF68C893FDF48D28F4E60CB6A9D08A8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062872"/>
    <w:rsid w:val="00110D93"/>
    <w:rsid w:val="00347D16"/>
    <w:rsid w:val="003E0149"/>
    <w:rsid w:val="004D623A"/>
    <w:rsid w:val="00755FBF"/>
    <w:rsid w:val="009F6C1A"/>
    <w:rsid w:val="00CA72D3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6C1A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A2FFE9CEF2D415F9F59B567F352ED2C">
    <w:name w:val="DA2FFE9CEF2D415F9F59B567F352ED2C"/>
    <w:rsid w:val="00CA72D3"/>
  </w:style>
  <w:style w:type="paragraph" w:customStyle="1" w:styleId="5D53F05AD7944968826F77A574B2BBB8">
    <w:name w:val="5D53F05AD7944968826F77A574B2BBB8"/>
    <w:rsid w:val="009F6C1A"/>
  </w:style>
  <w:style w:type="paragraph" w:customStyle="1" w:styleId="1EF68C893FDF48D28F4E60CB6A9D08A8">
    <w:name w:val="1EF68C893FDF48D28F4E60CB6A9D08A8"/>
    <w:rsid w:val="009F6C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AAD23-6C95-4543-9076-8899DFE23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bf54d604-3e62-4e70-ba33-9e9084b96a66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58D515D-E5E6-4985-A02E-82F0A9F7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10</cp:revision>
  <cp:lastPrinted>2018-10-22T22:41:00Z</cp:lastPrinted>
  <dcterms:created xsi:type="dcterms:W3CDTF">2020-01-30T05:52:00Z</dcterms:created>
  <dcterms:modified xsi:type="dcterms:W3CDTF">2020-07-21T01:19:00Z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