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7C8CF762" w:rsidR="00BD499F" w:rsidRPr="004C23F4" w:rsidRDefault="00A11153" w:rsidP="00B40C60">
          <w:pPr>
            <w:pStyle w:val="Heading1"/>
            <w:jc w:val="center"/>
            <w:rPr>
              <w:rFonts w:ascii="Arial" w:hAnsi="Arial" w:cs="Arial"/>
            </w:rPr>
          </w:pPr>
          <w:r w:rsidRPr="00A11153">
            <w:rPr>
              <w:rFonts w:ascii="Arial" w:hAnsi="Arial" w:cs="Arial"/>
            </w:rPr>
            <w:t>Sodium hydroxide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2"/>
        <w:gridCol w:w="5034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2CB36463" w:rsidR="00F43AD5" w:rsidRPr="00717D45" w:rsidRDefault="00A11153" w:rsidP="00B76A41">
            <w:pPr>
              <w:pStyle w:val="Tablefont"/>
            </w:pPr>
            <w:r w:rsidRPr="00A11153">
              <w:t>1310-73-2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6C04A498" w:rsidR="00F43AD5" w:rsidRPr="00717D45" w:rsidRDefault="00A11153" w:rsidP="00B76A41">
            <w:pPr>
              <w:pStyle w:val="Tablefont"/>
            </w:pPr>
            <w:r>
              <w:t>Caustic soda, lye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66419B36" w:rsidR="00F43AD5" w:rsidRPr="00717D45" w:rsidRDefault="00A11153" w:rsidP="00B76A41">
            <w:pPr>
              <w:pStyle w:val="Tablefont"/>
            </w:pPr>
            <w:r>
              <w:t>NaOH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6FA135C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136D8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77777777" w:rsidR="002C7AFE" w:rsidRPr="00EB3D1B" w:rsidRDefault="00037E5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3870EAEB" w:rsidR="00037E52" w:rsidRPr="00EB3D1B" w:rsidRDefault="00F136D8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2 mg/m</w:t>
            </w:r>
            <w:r w:rsidRPr="00F136D8">
              <w:rPr>
                <w:b/>
                <w:vertAlign w:val="superscript"/>
              </w:rPr>
              <w:t>3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61A5AEED" w:rsidR="00037E52" w:rsidRPr="00EB3D1B" w:rsidRDefault="00A11153" w:rsidP="00037E52">
            <w:pPr>
              <w:pStyle w:val="Tablefont"/>
              <w:rPr>
                <w:b/>
              </w:rPr>
            </w:pPr>
            <w:r w:rsidRPr="00A11153">
              <w:rPr>
                <w:b/>
              </w:rPr>
              <w:t>10 mg/m</w:t>
            </w:r>
            <w:r w:rsidRPr="00A11153">
              <w:rPr>
                <w:b/>
                <w:vertAlign w:val="superscript"/>
              </w:rPr>
              <w:t>3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7B3931C1" w:rsidR="00155999" w:rsidRPr="00EB3D1B" w:rsidRDefault="00155999" w:rsidP="00037E52">
            <w:pPr>
              <w:pStyle w:val="Tablefont"/>
              <w:rPr>
                <w:b/>
              </w:rPr>
            </w:pPr>
            <w:r w:rsidRPr="004633FD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B226C" w:rsidRPr="004633FD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6A00084E" w:rsidR="006639B4" w:rsidRPr="004C23F4" w:rsidRDefault="007A2D1E" w:rsidP="000C139A">
      <w:pPr>
        <w:rPr>
          <w:rFonts w:cs="Arial"/>
        </w:rPr>
      </w:pPr>
      <w:r w:rsidRPr="003A62A1">
        <w:rPr>
          <w:rFonts w:cs="Arial"/>
        </w:rPr>
        <w:t xml:space="preserve">A peak limitation of </w:t>
      </w:r>
      <w:r>
        <w:rPr>
          <w:rFonts w:cs="Arial"/>
        </w:rPr>
        <w:t xml:space="preserve">2 </w:t>
      </w:r>
      <w:r w:rsidRPr="003A62A1">
        <w:rPr>
          <w:rFonts w:cs="Arial"/>
        </w:rPr>
        <w:t>mg/m</w:t>
      </w:r>
      <w:r w:rsidRPr="003A62A1">
        <w:rPr>
          <w:rFonts w:cs="Arial"/>
          <w:vertAlign w:val="superscript"/>
        </w:rPr>
        <w:t>3</w:t>
      </w:r>
      <w:r w:rsidRPr="003A62A1">
        <w:rPr>
          <w:rFonts w:cs="Arial"/>
        </w:rPr>
        <w:t xml:space="preserve"> </w:t>
      </w:r>
      <w:r w:rsidR="00C029B9">
        <w:rPr>
          <w:rFonts w:cs="Arial"/>
        </w:rPr>
        <w:t xml:space="preserve">is recommended to </w:t>
      </w:r>
      <w:r>
        <w:rPr>
          <w:rFonts w:cs="Arial"/>
        </w:rPr>
        <w:t xml:space="preserve">protect for </w:t>
      </w:r>
      <w:r w:rsidR="00AF4D5E">
        <w:rPr>
          <w:rFonts w:cs="Arial"/>
        </w:rPr>
        <w:t xml:space="preserve">acute </w:t>
      </w:r>
      <w:r>
        <w:rPr>
          <w:rFonts w:cs="Arial"/>
        </w:rPr>
        <w:t xml:space="preserve">irritation </w:t>
      </w:r>
      <w:r w:rsidR="00AF4D5E">
        <w:rPr>
          <w:rFonts w:cs="Arial"/>
        </w:rPr>
        <w:t>of the</w:t>
      </w:r>
      <w:r>
        <w:rPr>
          <w:rFonts w:cs="Arial"/>
        </w:rPr>
        <w:t xml:space="preserve"> eyes, skin and mucous membranes in exposed workers.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88E1009" w14:textId="77777777" w:rsidR="00507040" w:rsidRDefault="00C029B9" w:rsidP="006639B4">
      <w:pPr>
        <w:rPr>
          <w:rFonts w:cs="Arial"/>
        </w:rPr>
      </w:pPr>
      <w:r>
        <w:rPr>
          <w:rFonts w:cs="Arial"/>
        </w:rPr>
        <w:t xml:space="preserve">Sodium hydroxide is a soluble, strong base, used in numerous industries such as pulp and paper, soap and detergents, cellophane and textiles, etching and electroplating. </w:t>
      </w:r>
    </w:p>
    <w:p w14:paraId="567FA350" w14:textId="77777777" w:rsidR="0097365D" w:rsidRDefault="007A2D1E" w:rsidP="006639B4">
      <w:pPr>
        <w:rPr>
          <w:rFonts w:cs="Arial"/>
        </w:rPr>
      </w:pPr>
      <w:r>
        <w:t xml:space="preserve">The critical effects are identified as irritation of the eyes, skin and </w:t>
      </w:r>
      <w:r>
        <w:rPr>
          <w:rFonts w:cs="Arial"/>
        </w:rPr>
        <w:t>mucous membranes (ACGIH, 2001).</w:t>
      </w:r>
      <w:r w:rsidR="00507040">
        <w:rPr>
          <w:rFonts w:cs="Arial"/>
        </w:rPr>
        <w:t xml:space="preserve"> </w:t>
      </w:r>
    </w:p>
    <w:p w14:paraId="78966CD4" w14:textId="21A09F0E" w:rsidR="007A2D1E" w:rsidRPr="00D00A25" w:rsidRDefault="00D57653" w:rsidP="006639B4">
      <w:r>
        <w:t>Much of the data from humans generally relates to accidental or suicidal ingestion</w:t>
      </w:r>
      <w:r w:rsidR="00507040">
        <w:t xml:space="preserve"> with</w:t>
      </w:r>
      <w:r>
        <w:t xml:space="preserve"> </w:t>
      </w:r>
      <w:r w:rsidR="00C20216">
        <w:t xml:space="preserve">effects include necrosis, principally of the mouth, oesophagus, gastric mucosa, hypersalivation, emesis, cardiovascular collapse, tracheal obstruction and </w:t>
      </w:r>
      <w:r w:rsidR="00AB226C">
        <w:t>dyspnoea</w:t>
      </w:r>
      <w:r w:rsidR="00C20216">
        <w:t>, retching and severe pain (ACGIH, 20</w:t>
      </w:r>
      <w:r w:rsidR="00AB226C">
        <w:t>18</w:t>
      </w:r>
      <w:r w:rsidR="00C20216">
        <w:t xml:space="preserve">). </w:t>
      </w:r>
      <w:r w:rsidR="00507040">
        <w:t xml:space="preserve">The </w:t>
      </w:r>
      <w:r w:rsidR="00CD5F83">
        <w:t>main</w:t>
      </w:r>
      <w:r w:rsidR="00D00A25">
        <w:t xml:space="preserve"> effect</w:t>
      </w:r>
      <w:r w:rsidR="00507040">
        <w:t>s</w:t>
      </w:r>
      <w:r w:rsidR="00D00A25">
        <w:t xml:space="preserve"> of exposure </w:t>
      </w:r>
      <w:r w:rsidR="00507040">
        <w:t>are</w:t>
      </w:r>
      <w:r w:rsidR="00D00A25">
        <w:t xml:space="preserve"> local irritation and corrosion. </w:t>
      </w:r>
      <w:r w:rsidR="00162ECF">
        <w:t>Very limited inhalation data</w:t>
      </w:r>
      <w:r w:rsidR="00AB226C">
        <w:t xml:space="preserve"> </w:t>
      </w:r>
      <w:r w:rsidR="00303B84">
        <w:t>are</w:t>
      </w:r>
      <w:r w:rsidR="00AB226C">
        <w:t xml:space="preserve"> available with</w:t>
      </w:r>
      <w:r w:rsidR="00B24100">
        <w:t xml:space="preserve"> irritant effects of caustic mists encountered at 1 to 40 mg/m</w:t>
      </w:r>
      <w:r w:rsidR="00B24100" w:rsidRPr="00FD05A9">
        <w:rPr>
          <w:vertAlign w:val="superscript"/>
        </w:rPr>
        <w:t>3</w:t>
      </w:r>
      <w:r w:rsidR="00AB226C">
        <w:t>, with 2 mg/m</w:t>
      </w:r>
      <w:r w:rsidR="00AB226C" w:rsidRPr="00AB226C">
        <w:rPr>
          <w:vertAlign w:val="superscript"/>
        </w:rPr>
        <w:t>3</w:t>
      </w:r>
      <w:r w:rsidR="00AB226C">
        <w:t xml:space="preserve"> considered ‘noticeably but not excessively’ </w:t>
      </w:r>
      <w:r w:rsidR="00507040">
        <w:t xml:space="preserve">irritating </w:t>
      </w:r>
      <w:r w:rsidR="00D00A25">
        <w:t>(ACGIH, 20</w:t>
      </w:r>
      <w:r w:rsidR="00AB226C">
        <w:t>18</w:t>
      </w:r>
      <w:r w:rsidR="00D00A25">
        <w:t>).</w:t>
      </w:r>
    </w:p>
    <w:p w14:paraId="61301CB3" w14:textId="0625B396" w:rsidR="00AA7965" w:rsidRPr="004C23F4" w:rsidRDefault="00AA7965" w:rsidP="006639B4">
      <w:pPr>
        <w:rPr>
          <w:rFonts w:cs="Arial"/>
        </w:rPr>
      </w:pPr>
      <w:r>
        <w:t xml:space="preserve">The peak limitation </w:t>
      </w:r>
      <w:r w:rsidR="00F11E3D">
        <w:t>of 2 mg/m</w:t>
      </w:r>
      <w:r w:rsidR="00F11E3D" w:rsidRPr="00AB226C">
        <w:rPr>
          <w:vertAlign w:val="superscript"/>
        </w:rPr>
        <w:t>3</w:t>
      </w:r>
      <w:r w:rsidR="00F11E3D">
        <w:t xml:space="preserve"> </w:t>
      </w:r>
      <w:r>
        <w:t xml:space="preserve">as assigned by </w:t>
      </w:r>
      <w:r w:rsidR="00F11E3D">
        <w:t xml:space="preserve">SWA, </w:t>
      </w:r>
      <w:r>
        <w:t>ACGIH (20</w:t>
      </w:r>
      <w:r w:rsidR="00AB226C">
        <w:t>18</w:t>
      </w:r>
      <w:r>
        <w:t>) and HCOTN (2000)</w:t>
      </w:r>
      <w:r w:rsidR="00303B84">
        <w:t xml:space="preserve"> </w:t>
      </w:r>
      <w:r w:rsidR="00F11E3D">
        <w:t xml:space="preserve">is recommended </w:t>
      </w:r>
      <w:r w:rsidR="00CD5F83">
        <w:t xml:space="preserve">to </w:t>
      </w:r>
      <w:r w:rsidR="00F11E3D">
        <w:t xml:space="preserve">be retained </w:t>
      </w:r>
      <w:r>
        <w:t xml:space="preserve">and is </w:t>
      </w:r>
      <w:r w:rsidR="009E1CE0">
        <w:t xml:space="preserve">generally </w:t>
      </w:r>
      <w:r>
        <w:t xml:space="preserve">protective of irritation to </w:t>
      </w:r>
      <w:r>
        <w:rPr>
          <w:rFonts w:cs="Arial"/>
        </w:rPr>
        <w:t>eyes, skin and mucous membranes</w:t>
      </w:r>
      <w:r>
        <w:t xml:space="preserve"> in exposed workers.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F136D8" w:rsidRDefault="008E4F1F" w:rsidP="008E4F1F">
      <w:pPr>
        <w:rPr>
          <w:rFonts w:cs="Arial"/>
        </w:rPr>
      </w:pPr>
      <w:r w:rsidRPr="00F136D8">
        <w:rPr>
          <w:rFonts w:cs="Arial"/>
        </w:rPr>
        <w:t>Not classified as a carcinogen according to the Globally Harmonized System of</w:t>
      </w:r>
      <w:r w:rsidR="00155999" w:rsidRPr="00F136D8">
        <w:rPr>
          <w:rFonts w:cs="Arial"/>
        </w:rPr>
        <w:t xml:space="preserve"> Classification and Labelling of</w:t>
      </w:r>
      <w:r w:rsidRPr="00F136D8">
        <w:rPr>
          <w:rFonts w:cs="Arial"/>
        </w:rPr>
        <w:t xml:space="preserve"> Chemicals (GHS). </w:t>
      </w:r>
    </w:p>
    <w:p w14:paraId="03916CCC" w14:textId="77777777" w:rsidR="008E4F1F" w:rsidRPr="00F136D8" w:rsidRDefault="008E4F1F" w:rsidP="008E4F1F">
      <w:pPr>
        <w:rPr>
          <w:rFonts w:cs="Arial"/>
        </w:rPr>
      </w:pPr>
      <w:r w:rsidRPr="00F136D8">
        <w:rPr>
          <w:rFonts w:cs="Arial"/>
        </w:rPr>
        <w:t xml:space="preserve">Not classified as a skin </w:t>
      </w:r>
      <w:r w:rsidR="00155999" w:rsidRPr="00F136D8">
        <w:rPr>
          <w:rFonts w:cs="Arial"/>
        </w:rPr>
        <w:t xml:space="preserve">sensitiser </w:t>
      </w:r>
      <w:r w:rsidRPr="00F136D8">
        <w:rPr>
          <w:rFonts w:cs="Arial"/>
        </w:rPr>
        <w:t>or respiratory sensitiser according to the GHS.</w:t>
      </w:r>
    </w:p>
    <w:p w14:paraId="7D0772D2" w14:textId="683FDF52" w:rsidR="004529F0" w:rsidRPr="004C23F4" w:rsidRDefault="00B24100" w:rsidP="008E4F1F">
      <w:pPr>
        <w:rPr>
          <w:rFonts w:cs="Arial"/>
        </w:rPr>
      </w:pPr>
      <w:r w:rsidRPr="00B24100">
        <w:rPr>
          <w:rFonts w:cs="Arial"/>
        </w:rPr>
        <w:lastRenderedPageBreak/>
        <w:t xml:space="preserve">A skin notation is not </w:t>
      </w:r>
      <w:r w:rsidR="00507040">
        <w:rPr>
          <w:rFonts w:cs="Arial"/>
        </w:rPr>
        <w:t>recommend</w:t>
      </w:r>
      <w:r w:rsidRPr="00B24100">
        <w:rPr>
          <w:rFonts w:cs="Arial"/>
        </w:rPr>
        <w:t>ed based on the available evidence</w:t>
      </w:r>
      <w:r w:rsidR="008E4F1F" w:rsidRPr="00F136D8">
        <w:rPr>
          <w:rFonts w:cs="Arial"/>
        </w:rPr>
        <w:t>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792E3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792E39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11FFD833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11153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11153">
                  <w:t>Peak limitation: 2 mg/m</w:t>
                </w:r>
                <w:r w:rsidR="00A11153" w:rsidRPr="00A1115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792E39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792E3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1995D77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11153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11153">
                  <w:t>TLV-Ceiling: 2 mg/m</w:t>
                </w:r>
                <w:r w:rsidR="00A11153" w:rsidRPr="00A1115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792E39">
        <w:trPr>
          <w:gridAfter w:val="1"/>
          <w:wAfter w:w="8" w:type="pct"/>
          <w:cantSplit/>
        </w:trPr>
        <w:tc>
          <w:tcPr>
            <w:tcW w:w="4992" w:type="pct"/>
          </w:tcPr>
          <w:p w14:paraId="77E7BF5A" w14:textId="7071D4E4" w:rsidR="00C978F0" w:rsidRDefault="007A2D1E" w:rsidP="003365A5">
            <w:pPr>
              <w:pStyle w:val="Tabletextprimarysource"/>
            </w:pPr>
            <w:r>
              <w:t>TLV-Ceiling recommended to minimise irritation to eyes, skin and mucous membranes in exposed workers. TLV is based on a concentration that produces a noticeable, but not excessive, ocular and upper respiratory tract irritation.</w:t>
            </w:r>
          </w:p>
          <w:p w14:paraId="0BD70CE8" w14:textId="683BE96C" w:rsidR="007A2D1E" w:rsidRDefault="007A2D1E" w:rsidP="007A2D1E">
            <w:pPr>
              <w:pStyle w:val="Tabletextprimarysource"/>
            </w:pPr>
            <w:r>
              <w:t>Summary of data:</w:t>
            </w:r>
          </w:p>
          <w:p w14:paraId="5416E404" w14:textId="5D76B1F8" w:rsidR="007A2D1E" w:rsidRDefault="007A2D1E" w:rsidP="007A2D1E">
            <w:pPr>
              <w:pStyle w:val="Tabletextprimarysource"/>
            </w:pPr>
            <w:r>
              <w:t>Human data:</w:t>
            </w:r>
          </w:p>
          <w:p w14:paraId="79D3B023" w14:textId="65F2DA0B" w:rsidR="007A2D1E" w:rsidRDefault="00005839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Numerous cases of accidental and suicidal poisonings</w:t>
            </w:r>
          </w:p>
          <w:p w14:paraId="30A3D859" w14:textId="27B7A9DB" w:rsidR="00005839" w:rsidRDefault="00005839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Ingestion causes necrosis, principally</w:t>
            </w:r>
            <w:r w:rsidR="000963C2">
              <w:t xml:space="preserve"> of</w:t>
            </w:r>
            <w:r>
              <w:t xml:space="preserve"> the mouth, oesophagus and gastric mucosa, hypersalivation, emesis, cardiovascular collapse, tracheal obstruction and </w:t>
            </w:r>
            <w:r w:rsidR="00AB226C">
              <w:t>dyspnoea</w:t>
            </w:r>
            <w:r>
              <w:t xml:space="preserve">, </w:t>
            </w:r>
            <w:r w:rsidR="000963C2">
              <w:t>retching and severe pain</w:t>
            </w:r>
          </w:p>
          <w:p w14:paraId="0F364D19" w14:textId="4BFC0B74" w:rsidR="000963C2" w:rsidRDefault="000963C2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Death occurs due to shock, infection of corroded tissue, pulmonary necrosis or asphyxia</w:t>
            </w:r>
          </w:p>
          <w:p w14:paraId="6C4CAA78" w14:textId="7D27A6BD" w:rsidR="000963C2" w:rsidRDefault="00FD05A9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 of one oesophageal carcinoma due to localised stricture following ingestion</w:t>
            </w:r>
          </w:p>
          <w:p w14:paraId="48602AB9" w14:textId="1F503344" w:rsidR="00507040" w:rsidRDefault="00FD05A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 mg/m</w:t>
            </w:r>
            <w:r w:rsidRPr="00FD05A9">
              <w:rPr>
                <w:vertAlign w:val="superscript"/>
              </w:rPr>
              <w:t>3</w:t>
            </w:r>
            <w:r>
              <w:t xml:space="preserve"> considered ‘a concentration that is noticeably, but not excessively, irritant’</w:t>
            </w:r>
            <w:r w:rsidR="00E63F52">
              <w:t>:</w:t>
            </w:r>
            <w:r>
              <w:t xml:space="preserve"> </w:t>
            </w:r>
          </w:p>
          <w:p w14:paraId="7534971E" w14:textId="314E9036" w:rsidR="00FD05A9" w:rsidRDefault="00FD05A9" w:rsidP="004633F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irritant effects of caustic mists encountered at 1</w:t>
            </w:r>
            <w:r w:rsidR="00303B84">
              <w:t>–</w:t>
            </w:r>
            <w:r>
              <w:t>40 mg/m</w:t>
            </w:r>
            <w:r w:rsidRPr="00FD05A9">
              <w:rPr>
                <w:vertAlign w:val="superscript"/>
              </w:rPr>
              <w:t>3</w:t>
            </w:r>
            <w:r w:rsidR="009E1CE0">
              <w:rPr>
                <w:vertAlign w:val="superscript"/>
              </w:rPr>
              <w:t xml:space="preserve">, </w:t>
            </w:r>
            <w:r w:rsidR="009E1CE0">
              <w:t>(</w:t>
            </w:r>
            <w:r w:rsidR="009E1CE0" w:rsidRPr="009E1CE0">
              <w:t xml:space="preserve">no exposure </w:t>
            </w:r>
            <w:r w:rsidR="009E1CE0">
              <w:t xml:space="preserve">or sampling </w:t>
            </w:r>
            <w:r w:rsidR="009E1CE0" w:rsidRPr="009E1CE0">
              <w:t>times provided</w:t>
            </w:r>
            <w:r w:rsidR="009E1CE0">
              <w:t>)</w:t>
            </w:r>
            <w:r w:rsidR="009E1CE0">
              <w:rPr>
                <w:vertAlign w:val="superscript"/>
              </w:rPr>
              <w:t xml:space="preserve"> </w:t>
            </w:r>
          </w:p>
          <w:p w14:paraId="1DEE246B" w14:textId="7C01C31A" w:rsidR="00E63F52" w:rsidRDefault="000C002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Burning and redness of nose, throat or eyes reported in workers undertaking cleaning with airborne concentrations of 0.005</w:t>
            </w:r>
            <w:r w:rsidR="00303B84">
              <w:t>–</w:t>
            </w:r>
            <w:r>
              <w:t>0.7 mg/m</w:t>
            </w:r>
            <w:r w:rsidRPr="000C002E">
              <w:rPr>
                <w:vertAlign w:val="superscript"/>
              </w:rPr>
              <w:t>3</w:t>
            </w:r>
            <w:r w:rsidR="00E63F52">
              <w:t>:</w:t>
            </w:r>
            <w:r>
              <w:t xml:space="preserve"> </w:t>
            </w:r>
          </w:p>
          <w:p w14:paraId="6F66B745" w14:textId="3AB0710F" w:rsidR="00FD05A9" w:rsidRDefault="000C002E" w:rsidP="004633F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solvents also present up to 780 mg/m</w:t>
            </w:r>
            <w:r w:rsidRPr="000C002E">
              <w:rPr>
                <w:vertAlign w:val="superscript"/>
              </w:rPr>
              <w:t>3</w:t>
            </w:r>
            <w:r w:rsidR="009E1CE0">
              <w:t xml:space="preserve"> (</w:t>
            </w:r>
            <w:r w:rsidR="009E1CE0" w:rsidRPr="009E1CE0">
              <w:t>no exposure</w:t>
            </w:r>
            <w:r w:rsidR="009E1CE0">
              <w:t xml:space="preserve"> or sampling</w:t>
            </w:r>
            <w:r w:rsidR="009E1CE0" w:rsidRPr="009E1CE0">
              <w:t xml:space="preserve"> times provided</w:t>
            </w:r>
            <w:r w:rsidR="009E1CE0">
              <w:t>)</w:t>
            </w:r>
          </w:p>
          <w:p w14:paraId="22DC2C69" w14:textId="12C53B3D" w:rsidR="000C002E" w:rsidRDefault="00DE07D8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Severe eye injury reported in workers exposed to high concentrations (as dust or liquid); no further information</w:t>
            </w:r>
          </w:p>
          <w:p w14:paraId="337E61C3" w14:textId="6F673245" w:rsidR="00DE07D8" w:rsidRDefault="00DE07D8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Application of 1 g</w:t>
            </w:r>
            <w:r w:rsidR="00E63F52">
              <w:t xml:space="preserve"> </w:t>
            </w:r>
            <w:r>
              <w:t>equivalent to forearms of volunteers (15</w:t>
            </w:r>
            <w:r w:rsidR="00303B84">
              <w:t>–</w:t>
            </w:r>
            <w:r>
              <w:t>180 min) caused dissolution of cells in outer layer of epidermis, progressing to oedema and destruction of epidermis in 60 mins</w:t>
            </w:r>
            <w:r w:rsidR="00AC3C87">
              <w:t>.</w:t>
            </w:r>
          </w:p>
          <w:p w14:paraId="6050E5BE" w14:textId="2D9659DA" w:rsidR="00DE07D8" w:rsidRDefault="00AC3C87" w:rsidP="00AC3C87">
            <w:pPr>
              <w:pStyle w:val="Tabletextprimarysource"/>
            </w:pPr>
            <w:r>
              <w:t>Animal data:</w:t>
            </w:r>
          </w:p>
          <w:p w14:paraId="04EDE7CC" w14:textId="6500646B" w:rsidR="00AC3C87" w:rsidRDefault="00AC3C87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Ingestion in dogs</w:t>
            </w:r>
            <w:r w:rsidR="0097365D">
              <w:t xml:space="preserve"> causes </w:t>
            </w:r>
            <w:r>
              <w:t>haemorrhagic gastritis and oesophageal strictures</w:t>
            </w:r>
          </w:p>
          <w:p w14:paraId="1C99A8D7" w14:textId="31692CCD" w:rsidR="00E63F52" w:rsidRDefault="0031028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Oral intubation in rabbits: </w:t>
            </w:r>
          </w:p>
          <w:p w14:paraId="1AD0D93C" w14:textId="2AE9E611" w:rsidR="00E63F52" w:rsidRDefault="00AC3C87" w:rsidP="00E63F52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 xml:space="preserve">4% solution </w:t>
            </w:r>
            <w:r w:rsidR="00310282">
              <w:t xml:space="preserve">caused mucosal and submucosal necrosis </w:t>
            </w:r>
          </w:p>
          <w:p w14:paraId="5330F1C7" w14:textId="6A2BEED8" w:rsidR="00E63F52" w:rsidRDefault="00310282" w:rsidP="00E63F52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12% solution eroded into muscle</w:t>
            </w:r>
          </w:p>
          <w:p w14:paraId="304BEC76" w14:textId="77777777" w:rsidR="00E63F52" w:rsidRDefault="00310282" w:rsidP="00E63F52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28% solution caused perforation</w:t>
            </w:r>
          </w:p>
          <w:p w14:paraId="7C2EADE9" w14:textId="3276B80D" w:rsidR="00AC3C87" w:rsidRDefault="00310282" w:rsidP="004633F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similar results in cats</w:t>
            </w:r>
          </w:p>
          <w:p w14:paraId="2CA1DBB6" w14:textId="7EAD27CC" w:rsidR="00310282" w:rsidRDefault="00310282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5% aqueous solution applied to rabbit skin (4 h) caused severe necrosis</w:t>
            </w:r>
          </w:p>
          <w:p w14:paraId="53DCAB2E" w14:textId="54728A21" w:rsidR="00310282" w:rsidRDefault="00310282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inhaling aerosols 30 min/d suffered pulmonary damage (concentrations not provided)</w:t>
            </w:r>
            <w:r w:rsidR="00292AF1">
              <w:t>.</w:t>
            </w:r>
          </w:p>
          <w:p w14:paraId="115D273D" w14:textId="77777777" w:rsidR="00303B84" w:rsidRDefault="00303B84" w:rsidP="003365A5">
            <w:pPr>
              <w:pStyle w:val="Tabletextprimarysource"/>
            </w:pPr>
          </w:p>
          <w:p w14:paraId="1A89E70F" w14:textId="77777777" w:rsidR="007A2D1E" w:rsidRDefault="007A2D1E" w:rsidP="003365A5">
            <w:pPr>
              <w:pStyle w:val="Tabletextprimarysource"/>
            </w:pPr>
            <w:r>
              <w:t>Insufficient data to recommend skin, SEN or carcinogenicity notations.</w:t>
            </w:r>
          </w:p>
          <w:p w14:paraId="0CE4D35D" w14:textId="011B9759" w:rsidR="00303B84" w:rsidRPr="00DA352E" w:rsidRDefault="00303B84" w:rsidP="003365A5">
            <w:pPr>
              <w:pStyle w:val="Tabletextprimarysource"/>
            </w:pPr>
          </w:p>
        </w:tc>
      </w:tr>
      <w:tr w:rsidR="00C978F0" w:rsidRPr="00DA352E" w14:paraId="174F8B79" w14:textId="77777777" w:rsidTr="00792E3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6D69AE0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11153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11153">
                  <w:t>Not assigned</w:t>
                </w:r>
              </w:sdtContent>
            </w:sdt>
          </w:p>
        </w:tc>
      </w:tr>
      <w:tr w:rsidR="00C978F0" w:rsidRPr="00DA352E" w14:paraId="4433014F" w14:textId="77777777" w:rsidTr="00792E39">
        <w:trPr>
          <w:gridAfter w:val="1"/>
          <w:wAfter w:w="8" w:type="pct"/>
          <w:cantSplit/>
        </w:trPr>
        <w:tc>
          <w:tcPr>
            <w:tcW w:w="4992" w:type="pct"/>
          </w:tcPr>
          <w:p w14:paraId="59FD882E" w14:textId="25F8D372" w:rsidR="001D6BB6" w:rsidRDefault="001D6BB6" w:rsidP="003365A5">
            <w:pPr>
              <w:pStyle w:val="Tabletextprimarysource"/>
            </w:pPr>
            <w:r>
              <w:t xml:space="preserve">MAK withdrawn as cannot identify exposure concentration where irritation will </w:t>
            </w:r>
            <w:r w:rsidR="005240F2">
              <w:t xml:space="preserve">certainly </w:t>
            </w:r>
            <w:r>
              <w:t>not occur from available data.</w:t>
            </w:r>
          </w:p>
          <w:p w14:paraId="1D38904E" w14:textId="4D83F291" w:rsidR="00C978F0" w:rsidRDefault="00292AF1" w:rsidP="003365A5">
            <w:pPr>
              <w:pStyle w:val="Tabletextprimarysource"/>
            </w:pPr>
            <w:r>
              <w:t>Summary of additional data:</w:t>
            </w:r>
          </w:p>
          <w:p w14:paraId="3E5C17CF" w14:textId="77777777" w:rsidR="00292AF1" w:rsidRDefault="009A2458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Corrosive to skin and eyes</w:t>
            </w:r>
          </w:p>
          <w:p w14:paraId="15852D40" w14:textId="77777777" w:rsidR="009A2458" w:rsidRPr="009A2458" w:rsidRDefault="009A2458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Poorly documented reports of irritation to airways and eyes from exposure at 0.5 mg/m</w:t>
            </w:r>
            <w:r w:rsidRPr="009A2458">
              <w:rPr>
                <w:vertAlign w:val="superscript"/>
              </w:rPr>
              <w:t>3</w:t>
            </w:r>
          </w:p>
          <w:p w14:paraId="7449BEF2" w14:textId="4BB09383" w:rsidR="004F74DC" w:rsidRDefault="00DA1884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increased mortality from malignant and non-malignant diseases amongst 265 </w:t>
            </w:r>
            <w:r w:rsidR="00405FB5">
              <w:t xml:space="preserve">workers at </w:t>
            </w:r>
            <w:r>
              <w:t>factory producing chlorine, employed up to 30 y</w:t>
            </w:r>
          </w:p>
          <w:p w14:paraId="5243B416" w14:textId="66555FD1" w:rsidR="009A2458" w:rsidRDefault="009A2458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Negative in mutagenicity tests; clastogenic effects </w:t>
            </w:r>
            <w:r>
              <w:rPr>
                <w:i/>
              </w:rPr>
              <w:t xml:space="preserve">in </w:t>
            </w:r>
            <w:r w:rsidRPr="009A2458">
              <w:t>vitro</w:t>
            </w:r>
            <w:r>
              <w:t xml:space="preserve"> </w:t>
            </w:r>
            <w:r w:rsidRPr="009A2458">
              <w:t>following</w:t>
            </w:r>
            <w:r>
              <w:t xml:space="preserve"> increased pH of the culture medium</w:t>
            </w:r>
            <w:r w:rsidR="004F74DC">
              <w:t xml:space="preserve"> with metabolic activation only</w:t>
            </w:r>
          </w:p>
          <w:p w14:paraId="089878D4" w14:textId="76457CE2" w:rsidR="00E63F52" w:rsidRDefault="009A245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‘Few available tests’ indicate not genotoxic at physiological pH</w:t>
            </w:r>
            <w:r w:rsidR="00CD5F83">
              <w:t>:</w:t>
            </w:r>
            <w:r>
              <w:t xml:space="preserve"> </w:t>
            </w:r>
          </w:p>
          <w:p w14:paraId="1A71874F" w14:textId="6BBB3977" w:rsidR="009A2458" w:rsidRDefault="009A2458" w:rsidP="004633FD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local carcinogenic effects observed in humans following severe poisoning and animals after dermal application due to</w:t>
            </w:r>
            <w:r w:rsidR="001D6BB6">
              <w:t xml:space="preserve"> cell</w:t>
            </w:r>
            <w:r>
              <w:t xml:space="preserve"> regeneration following tissue damage</w:t>
            </w:r>
            <w:r w:rsidR="006139EC">
              <w:t xml:space="preserve"> and scarring</w:t>
            </w:r>
          </w:p>
          <w:p w14:paraId="1B955673" w14:textId="77777777" w:rsidR="00CD5F83" w:rsidRDefault="008F5C40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48 h patch test</w:t>
            </w:r>
            <w:r w:rsidR="000C6172">
              <w:t xml:space="preserve"> in volunteers</w:t>
            </w:r>
            <w:r>
              <w:t xml:space="preserve">: </w:t>
            </w:r>
          </w:p>
          <w:p w14:paraId="2B362219" w14:textId="62D4DFAA" w:rsidR="006139EC" w:rsidRDefault="008F5C40" w:rsidP="00CD5F83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 xml:space="preserve">no irritation from 1% aqueous solution but irritant skin reactions at </w:t>
            </w:r>
            <w:r>
              <w:rPr>
                <w:rFonts w:cs="Arial"/>
              </w:rPr>
              <w:t>≥</w:t>
            </w:r>
            <w:r w:rsidR="000C6172">
              <w:t>2%.</w:t>
            </w:r>
          </w:p>
          <w:p w14:paraId="61A64F09" w14:textId="370DE5D0" w:rsidR="00303B84" w:rsidRPr="00DA352E" w:rsidRDefault="00303B84" w:rsidP="004633FD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E6A0B2C" w14:textId="77777777" w:rsidTr="00792E3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41FE1B6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1115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11153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792E39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06961C26" w:rsidR="00C978F0" w:rsidRPr="00DA352E" w:rsidRDefault="00A11153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12BAB90D" w14:textId="77777777" w:rsidTr="00792E3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146448F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1115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11153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792E39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475FCB0F" w:rsidR="00DA352E" w:rsidRPr="00DA352E" w:rsidRDefault="00A11153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605F758C" w14:textId="77777777" w:rsidTr="00792E3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64519A8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11153" w:rsidRPr="00A11153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11153">
                  <w:t>Ceiling limit: 2 mg/m</w:t>
                </w:r>
                <w:r w:rsidR="00A11153" w:rsidRPr="00A1115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050CB3E" w14:textId="77777777" w:rsidTr="00792E39">
        <w:trPr>
          <w:gridAfter w:val="1"/>
          <w:wAfter w:w="8" w:type="pct"/>
          <w:cantSplit/>
        </w:trPr>
        <w:tc>
          <w:tcPr>
            <w:tcW w:w="4992" w:type="pct"/>
          </w:tcPr>
          <w:p w14:paraId="5A356C09" w14:textId="77777777" w:rsidR="00DA352E" w:rsidRDefault="00405FB5" w:rsidP="003365A5">
            <w:pPr>
              <w:pStyle w:val="Tabletextprimarysource"/>
            </w:pPr>
            <w:r>
              <w:t>Summary of additional data:</w:t>
            </w:r>
          </w:p>
          <w:p w14:paraId="622F4DA1" w14:textId="5DA38A8B" w:rsidR="00D00A25" w:rsidRDefault="00D00A25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Most dominant effect is local irritation and corrosion</w:t>
            </w:r>
          </w:p>
          <w:p w14:paraId="423826EE" w14:textId="5332E2B0" w:rsidR="00405FB5" w:rsidRDefault="006D5CAF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10% solution corrosive in </w:t>
            </w:r>
            <w:r>
              <w:rPr>
                <w:i/>
              </w:rPr>
              <w:t>in vitro</w:t>
            </w:r>
            <w:r>
              <w:t xml:space="preserve"> skin corrosion test</w:t>
            </w:r>
          </w:p>
          <w:p w14:paraId="408DD875" w14:textId="56D57942" w:rsidR="00E63F52" w:rsidRDefault="00C55C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TWA exposure levels of 265 workers survey (cited in DFG, 1999) estimated to be </w:t>
            </w:r>
            <w:r w:rsidR="00E63F52">
              <w:br/>
            </w:r>
            <w:r>
              <w:t>0.5</w:t>
            </w:r>
            <w:r w:rsidR="00303B84">
              <w:t>–</w:t>
            </w:r>
            <w:r>
              <w:t>2.0 mg/m</w:t>
            </w:r>
            <w:r w:rsidRPr="00C55CD1">
              <w:rPr>
                <w:vertAlign w:val="superscript"/>
              </w:rPr>
              <w:t>3</w:t>
            </w:r>
            <w:r w:rsidR="00CD5F83">
              <w:t>:</w:t>
            </w:r>
          </w:p>
          <w:p w14:paraId="54E6B573" w14:textId="36D62323" w:rsidR="006D5CAF" w:rsidRDefault="00C55CD1" w:rsidP="004633FD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medical aid was sought most for skin contact and least for inhalation</w:t>
            </w:r>
          </w:p>
          <w:p w14:paraId="3A17B8E7" w14:textId="500EBED8" w:rsidR="004633FD" w:rsidRDefault="00E86D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 h exposure at 65 mg/m</w:t>
            </w:r>
            <w:r w:rsidRPr="00E86DDB">
              <w:rPr>
                <w:vertAlign w:val="superscript"/>
              </w:rPr>
              <w:t>3</w:t>
            </w:r>
            <w:r>
              <w:t xml:space="preserve"> (nose only) or 250</w:t>
            </w:r>
            <w:r w:rsidR="00303B84">
              <w:t>–</w:t>
            </w:r>
            <w:r>
              <w:t>3,200 mg/m</w:t>
            </w:r>
            <w:r w:rsidRPr="00E86DDB">
              <w:rPr>
                <w:vertAlign w:val="superscript"/>
              </w:rPr>
              <w:t>3</w:t>
            </w:r>
            <w:r>
              <w:t xml:space="preserve"> (whole body) in young and adult rats: </w:t>
            </w:r>
            <w:bookmarkStart w:id="0" w:name="_GoBack"/>
            <w:bookmarkEnd w:id="0"/>
          </w:p>
          <w:p w14:paraId="5BEA673E" w14:textId="77777777" w:rsidR="004633FD" w:rsidRDefault="00E86DDB" w:rsidP="004633FD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larynx target organ</w:t>
            </w:r>
          </w:p>
          <w:p w14:paraId="52146099" w14:textId="60BC4919" w:rsidR="004633FD" w:rsidRDefault="00E86DDB" w:rsidP="004633FD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no effects on nasal turbinates, lungs, oesophagus or stomach</w:t>
            </w:r>
          </w:p>
          <w:p w14:paraId="630451B9" w14:textId="324D1BC0" w:rsidR="004633FD" w:rsidRDefault="00E86DDB" w:rsidP="004633FD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no effects at 65 mg/m</w:t>
            </w:r>
            <w:r w:rsidRPr="00E86DDB">
              <w:rPr>
                <w:vertAlign w:val="superscript"/>
              </w:rPr>
              <w:t>3</w:t>
            </w:r>
          </w:p>
          <w:p w14:paraId="608BA774" w14:textId="532E5C28" w:rsidR="004633FD" w:rsidRDefault="00E86DDB" w:rsidP="004633FD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 xml:space="preserve">6/11 </w:t>
            </w:r>
            <w:r w:rsidR="000810E7">
              <w:t>di</w:t>
            </w:r>
            <w:r>
              <w:t>ed at 3,200 mg/m</w:t>
            </w:r>
            <w:r w:rsidRPr="00E86DDB">
              <w:rPr>
                <w:vertAlign w:val="superscript"/>
              </w:rPr>
              <w:t>3</w:t>
            </w:r>
          </w:p>
          <w:p w14:paraId="2E7E56BD" w14:textId="34924858" w:rsidR="00C55CD1" w:rsidRDefault="00E86DDB" w:rsidP="004633FD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 xml:space="preserve">aerosols mainly </w:t>
            </w:r>
            <w:r w:rsidR="000810E7">
              <w:t>consisted of Na</w:t>
            </w:r>
            <w:r w:rsidR="000810E7" w:rsidRPr="000810E7">
              <w:rPr>
                <w:vertAlign w:val="subscript"/>
              </w:rPr>
              <w:t>2</w:t>
            </w:r>
            <w:r w:rsidR="000810E7">
              <w:t>CO</w:t>
            </w:r>
            <w:r w:rsidR="000810E7" w:rsidRPr="000810E7">
              <w:rPr>
                <w:vertAlign w:val="subscript"/>
              </w:rPr>
              <w:t>3</w:t>
            </w:r>
          </w:p>
          <w:p w14:paraId="61057824" w14:textId="77777777" w:rsidR="00E86DDB" w:rsidRDefault="000810E7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0810E7">
              <w:rPr>
                <w:vertAlign w:val="subscript"/>
              </w:rPr>
              <w:t>50</w:t>
            </w:r>
            <w:r>
              <w:t>: 1,350 mg/kg (rabbits, dermal)</w:t>
            </w:r>
          </w:p>
          <w:p w14:paraId="04C91C99" w14:textId="77777777" w:rsidR="000810E7" w:rsidRDefault="000810E7" w:rsidP="004633F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Committee concluded insufficient information to comment on </w:t>
            </w:r>
            <w:r w:rsidR="00437405">
              <w:t>OEL.</w:t>
            </w:r>
          </w:p>
          <w:p w14:paraId="492D7791" w14:textId="53B5E96F" w:rsidR="00303B84" w:rsidRPr="00DA352E" w:rsidRDefault="00303B84" w:rsidP="004633F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AE89AB3" w14:textId="77777777" w:rsidTr="00792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0C4323A" w14:textId="77777777" w:rsidTr="00792E39">
        <w:trPr>
          <w:cantSplit/>
        </w:trPr>
        <w:tc>
          <w:tcPr>
            <w:tcW w:w="1498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4" w:type="dxa"/>
          </w:tcPr>
          <w:p w14:paraId="46AE65C2" w14:textId="3D26EA03" w:rsidR="004966BF" w:rsidRDefault="00792E3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3740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2B82A5B6" w14:textId="7BA18583" w:rsidR="004966BF" w:rsidRPr="004C23F4" w:rsidRDefault="0043740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4" w:type="dxa"/>
          </w:tcPr>
          <w:p w14:paraId="2A568FF0" w14:textId="77777777" w:rsidR="004966BF" w:rsidRDefault="00437405" w:rsidP="004633F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REL 2 mg/m</w:t>
            </w:r>
            <w:r w:rsidRPr="00437405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ceiling</w:t>
            </w:r>
          </w:p>
          <w:p w14:paraId="4E1BEF9D" w14:textId="6AEE1B54" w:rsidR="00437405" w:rsidRPr="004C23F4" w:rsidRDefault="00437405" w:rsidP="004633F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IDLH 10 mg/m</w:t>
            </w:r>
            <w:r w:rsidRPr="00437405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303B84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21C7ACE5" w14:textId="77777777" w:rsidR="007E2A4B" w:rsidRDefault="007E2A4B"/>
    <w:bookmarkEnd w:id="1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437405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3D896E1E" w:rsidR="002E0D61" w:rsidRDefault="0043740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43740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748FC38B" w:rsidR="008A36CF" w:rsidRPr="006901A2" w:rsidRDefault="0043740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792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792E39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326DCB5C" w:rsidR="00687890" w:rsidRPr="00DD2F9B" w:rsidRDefault="00A11153" w:rsidP="00DD2F9B">
            <w:pPr>
              <w:pStyle w:val="Tablefont"/>
            </w:pPr>
            <w:r w:rsidRPr="00A11153">
              <w:t>—</w:t>
            </w:r>
          </w:p>
        </w:tc>
      </w:tr>
      <w:tr w:rsidR="007925F0" w:rsidRPr="004C23F4" w14:paraId="2A0C13EF" w14:textId="77777777" w:rsidTr="00792E39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623F5F06" w:rsidR="007925F0" w:rsidRPr="00DD2F9B" w:rsidRDefault="00A11153" w:rsidP="00DD2F9B">
            <w:pPr>
              <w:pStyle w:val="Tablefont"/>
            </w:pPr>
            <w:r w:rsidRPr="00A11153">
              <w:t>—</w:t>
            </w:r>
          </w:p>
        </w:tc>
      </w:tr>
      <w:tr w:rsidR="00AF483F" w:rsidRPr="004C23F4" w14:paraId="4C1044B3" w14:textId="77777777" w:rsidTr="00792E39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2053B0FC" w:rsidR="00AF483F" w:rsidRPr="00DD2F9B" w:rsidRDefault="00A11153" w:rsidP="00DD2F9B">
            <w:pPr>
              <w:pStyle w:val="Tablefont"/>
            </w:pPr>
            <w:r w:rsidRPr="00A11153">
              <w:t>—</w:t>
            </w:r>
          </w:p>
        </w:tc>
      </w:tr>
      <w:tr w:rsidR="00687890" w:rsidRPr="004C23F4" w14:paraId="7812F0EC" w14:textId="77777777" w:rsidTr="00792E39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45B43E58" w:rsidR="00687890" w:rsidRPr="00DD2F9B" w:rsidRDefault="00A1115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792E39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5D7A445C" w:rsidR="00E41A26" w:rsidRPr="00DD2F9B" w:rsidRDefault="00A11153" w:rsidP="00DD2F9B">
            <w:pPr>
              <w:pStyle w:val="Tablefont"/>
            </w:pPr>
            <w:r w:rsidRPr="00A11153">
              <w:t>—</w:t>
            </w:r>
          </w:p>
        </w:tc>
      </w:tr>
      <w:tr w:rsidR="002E0D61" w:rsidRPr="004C23F4" w14:paraId="57A490EF" w14:textId="77777777" w:rsidTr="00792E39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66150573" w:rsidR="002E0D61" w:rsidRPr="00DD2F9B" w:rsidRDefault="00A11153" w:rsidP="00DD2F9B">
            <w:pPr>
              <w:pStyle w:val="Tablefont"/>
            </w:pPr>
            <w:r w:rsidRPr="00A11153">
              <w:t>—</w:t>
            </w:r>
          </w:p>
        </w:tc>
      </w:tr>
      <w:tr w:rsidR="002E0D61" w:rsidRPr="004C23F4" w14:paraId="43FA3590" w14:textId="77777777" w:rsidTr="00792E39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43790AE8" w:rsidR="002E0D61" w:rsidRPr="00DD2F9B" w:rsidRDefault="00A11153" w:rsidP="00DD2F9B">
            <w:pPr>
              <w:pStyle w:val="Tablefont"/>
            </w:pPr>
            <w:r w:rsidRPr="00A11153">
              <w:t>—</w:t>
            </w:r>
          </w:p>
        </w:tc>
      </w:tr>
      <w:tr w:rsidR="002E0D61" w:rsidRPr="004C23F4" w14:paraId="2AC7B866" w14:textId="77777777" w:rsidTr="00792E39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7BFA8104" w:rsidR="002E0D61" w:rsidRPr="00DD2F9B" w:rsidRDefault="00A1115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792E39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6F49FFCA" w:rsidR="002E0D61" w:rsidRPr="00DD2F9B" w:rsidRDefault="00A11153" w:rsidP="00DD2F9B">
            <w:pPr>
              <w:pStyle w:val="Tablefont"/>
            </w:pPr>
            <w:r w:rsidRPr="00A11153">
              <w:t>—</w:t>
            </w:r>
          </w:p>
        </w:tc>
      </w:tr>
      <w:tr w:rsidR="00386093" w:rsidRPr="004C23F4" w14:paraId="5F6A6A8E" w14:textId="77777777" w:rsidTr="00792E39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1735234" w:rsidR="00386093" w:rsidRPr="00DD2F9B" w:rsidRDefault="00A1115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792E39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0CAA3D55" w:rsidR="00386093" w:rsidRPr="00DD2F9B" w:rsidRDefault="00AE052C" w:rsidP="00D87570">
            <w:pPr>
              <w:pStyle w:val="Tablefont"/>
              <w:keepNext/>
            </w:pPr>
            <w:r w:rsidRPr="00A11153">
              <w:t>—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B24100" w:rsidRPr="004C23F4" w14:paraId="13F32721" w14:textId="77777777" w:rsidTr="00E42051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87E64F1" w14:textId="77777777" w:rsidR="00B24100" w:rsidRPr="004C23F4" w:rsidRDefault="00B24100" w:rsidP="00E42051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>
              <w:tab/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754"/>
        <w:gridCol w:w="1107"/>
        <w:gridCol w:w="1107"/>
        <w:gridCol w:w="3058"/>
      </w:tblGrid>
      <w:tr w:rsidR="00B24100" w:rsidRPr="00B24100" w14:paraId="2431A450" w14:textId="77777777" w:rsidTr="00B24100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01F8169" w14:textId="77777777" w:rsidR="00B24100" w:rsidRPr="00B24100" w:rsidRDefault="00B24100" w:rsidP="00B241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Adverse effects in human case study: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B48858" w14:textId="77777777" w:rsidR="00B24100" w:rsidRPr="00B24100" w:rsidRDefault="00B24100" w:rsidP="00B241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FDF3A5C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1CEC392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24100" w:rsidRPr="00B24100" w14:paraId="273460A9" w14:textId="77777777" w:rsidTr="00B24100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F7956AC" w14:textId="77777777" w:rsidR="00B24100" w:rsidRPr="00B24100" w:rsidRDefault="00B24100" w:rsidP="00B241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≤1000 mg/kg: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FED483" w14:textId="77777777" w:rsidR="00B24100" w:rsidRPr="00B24100" w:rsidRDefault="00B24100" w:rsidP="00B241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72B58C5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F9335D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24100" w:rsidRPr="00B24100" w14:paraId="063C071D" w14:textId="77777777" w:rsidTr="00B24100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F6D0020" w14:textId="77777777" w:rsidR="00B24100" w:rsidRPr="00B24100" w:rsidRDefault="00B24100" w:rsidP="00B241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repeat-dose NOAEL ≤200 mg/kg: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3AA7F1A" w14:textId="77777777" w:rsidR="00B24100" w:rsidRPr="00B24100" w:rsidRDefault="00B24100" w:rsidP="00B241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EDADA1E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CEE8A4A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24100" w:rsidRPr="00B24100" w14:paraId="1D8CA3C7" w14:textId="77777777" w:rsidTr="00B24100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E988ED" w14:textId="77777777" w:rsidR="00B24100" w:rsidRPr="00B24100" w:rsidRDefault="00B24100" w:rsidP="00B241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/Inhalation LD</w:t>
            </w: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&lt;10: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536B813" w14:textId="77777777" w:rsidR="00B24100" w:rsidRPr="00B24100" w:rsidRDefault="00B24100" w:rsidP="00B241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F4091C8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B25A089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24100" w:rsidRPr="00B24100" w14:paraId="18716702" w14:textId="77777777" w:rsidTr="00B24100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773D472" w14:textId="77777777" w:rsidR="00B24100" w:rsidRPr="00B24100" w:rsidRDefault="00B24100" w:rsidP="00B241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  <w:t>In vivo</w:t>
            </w: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dermal absorption rate &gt;10%: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1A9FA5E" w14:textId="77777777" w:rsidR="00B24100" w:rsidRPr="00B24100" w:rsidRDefault="00B24100" w:rsidP="00B241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0F6EA00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7BD399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24100" w:rsidRPr="00B24100" w14:paraId="45529F40" w14:textId="77777777" w:rsidTr="00B24100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18963B5" w14:textId="77777777" w:rsidR="00B24100" w:rsidRPr="00B24100" w:rsidRDefault="00B24100" w:rsidP="00B241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Estimated dermal exposure at WES &gt;10%: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C3087F" w14:textId="77777777" w:rsidR="00B24100" w:rsidRPr="00B24100" w:rsidRDefault="00B24100" w:rsidP="00B241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29BFA3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BA99F57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24100" w:rsidRPr="00B24100" w14:paraId="2A3EAD87" w14:textId="77777777" w:rsidTr="00B24100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DB44181" w14:textId="77777777" w:rsidR="00B24100" w:rsidRPr="00B24100" w:rsidRDefault="00B24100" w:rsidP="00B2410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41B0E0" w14:textId="77777777" w:rsidR="00B24100" w:rsidRPr="00B24100" w:rsidRDefault="00B24100" w:rsidP="00B2410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E2B785D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4B54C58" w14:textId="77777777" w:rsidR="00B24100" w:rsidRPr="00B24100" w:rsidRDefault="00B24100" w:rsidP="00B2410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24100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a skin notation is not warranted</w:t>
            </w: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313BF12D" w:rsidR="00EB3D1B" w:rsidRDefault="00C029B9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33C87357" w:rsidR="001B79E5" w:rsidRDefault="00AE052C" w:rsidP="001B79E5">
                <w:pPr>
                  <w:pStyle w:val="Tablefont"/>
                </w:pPr>
                <w:r w:rsidRPr="00AE052C">
                  <w:t>39.99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792E3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60BDB834" w:rsidR="008E4F1F" w:rsidRDefault="008E4F1F" w:rsidP="008E4F1F">
      <w:pPr>
        <w:rPr>
          <w:b/>
        </w:rPr>
      </w:pPr>
      <w:r w:rsidRPr="002022B6">
        <w:t>Deutsche Forschungsgemeinschaft (DFG)</w:t>
      </w:r>
      <w:r>
        <w:t xml:space="preserve"> (</w:t>
      </w:r>
      <w:r w:rsidR="00AE052C">
        <w:t>1999</w:t>
      </w:r>
      <w:r>
        <w:t xml:space="preserve">) </w:t>
      </w:r>
      <w:r w:rsidR="00AE052C" w:rsidRPr="00AE052C">
        <w:t>Sodium hydroxide</w:t>
      </w:r>
      <w:r>
        <w:t xml:space="preserve"> – MAK value documentation.</w:t>
      </w:r>
    </w:p>
    <w:p w14:paraId="28EAA9C1" w14:textId="6DBC2DF1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AE052C" w:rsidRPr="00AE052C">
        <w:t>2000</w:t>
      </w:r>
      <w:r>
        <w:t xml:space="preserve">) </w:t>
      </w:r>
      <w:r w:rsidR="00AE052C" w:rsidRPr="00AE052C">
        <w:t>Sodium hydroxide</w:t>
      </w:r>
      <w:r w:rsidRPr="005F7416">
        <w:t xml:space="preserve">. Health-based calculated occupational cancer risk values. The Hague: Health Council of the Netherlands; publication no. </w:t>
      </w:r>
      <w:r w:rsidR="00AE052C" w:rsidRPr="00AE052C">
        <w:t>2000/15OSH/015</w:t>
      </w:r>
      <w:r>
        <w:t>.</w:t>
      </w:r>
    </w:p>
    <w:p w14:paraId="77EFB18B" w14:textId="2841CB1D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r w:rsidR="00AE052C" w:rsidRPr="00AE052C">
        <w:t>1994</w:t>
      </w:r>
      <w:r>
        <w:t xml:space="preserve">) Immediately dangerous to life or health concentrations – </w:t>
      </w:r>
      <w:r w:rsidR="00AE052C" w:rsidRPr="00AE052C">
        <w:t>Sodium hydroxide</w:t>
      </w:r>
      <w:r>
        <w:t>.</w:t>
      </w:r>
    </w:p>
    <w:p w14:paraId="417B0753" w14:textId="576CF5FE" w:rsidR="008E4F1F" w:rsidRPr="00351FE0" w:rsidRDefault="00AE052C" w:rsidP="00084859">
      <w:r w:rsidRPr="00D86E03">
        <w:t>US National Institute for Occupational Safety and Health (NIOSH)</w:t>
      </w:r>
      <w:r>
        <w:t xml:space="preserve"> (</w:t>
      </w:r>
      <w:r w:rsidRPr="00AE052C">
        <w:t>2011</w:t>
      </w:r>
      <w:r>
        <w:t xml:space="preserve">) </w:t>
      </w:r>
      <w:r w:rsidRPr="006B0272">
        <w:t xml:space="preserve">NIOSH Skin Notation Profiles: </w:t>
      </w:r>
      <w:r w:rsidRPr="00AE052C">
        <w:t>Sodium Hydroxide (NaOH)</w:t>
      </w:r>
      <w:r>
        <w:t>.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D1DE7" w14:textId="77777777" w:rsidR="006D50B1" w:rsidRDefault="006D50B1" w:rsidP="00F43AD5">
      <w:pPr>
        <w:spacing w:after="0" w:line="240" w:lineRule="auto"/>
      </w:pPr>
      <w:r>
        <w:separator/>
      </w:r>
    </w:p>
  </w:endnote>
  <w:endnote w:type="continuationSeparator" w:id="0">
    <w:p w14:paraId="20BD3FA1" w14:textId="77777777" w:rsidR="006D50B1" w:rsidRDefault="006D50B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A11F" w14:textId="77777777" w:rsidR="00792E39" w:rsidRDefault="00792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FFF01D5" w14:textId="77777777" w:rsidR="00A11153" w:rsidRPr="00A11153" w:rsidRDefault="00A11153" w:rsidP="00A11153">
        <w:pPr>
          <w:pStyle w:val="Footer"/>
          <w:rPr>
            <w:b/>
            <w:sz w:val="18"/>
            <w:szCs w:val="18"/>
          </w:rPr>
        </w:pPr>
      </w:p>
      <w:p w14:paraId="39026E62" w14:textId="596CE877" w:rsidR="008A36CF" w:rsidRDefault="00A11153" w:rsidP="00A11153">
        <w:pPr>
          <w:pStyle w:val="Footer"/>
          <w:rPr>
            <w:sz w:val="18"/>
            <w:szCs w:val="18"/>
          </w:rPr>
        </w:pPr>
        <w:r w:rsidRPr="00A11153">
          <w:rPr>
            <w:b/>
            <w:sz w:val="18"/>
            <w:szCs w:val="18"/>
          </w:rPr>
          <w:t xml:space="preserve">Sodium hydroxide </w:t>
        </w:r>
        <w:r w:rsidR="008A36CF">
          <w:rPr>
            <w:b/>
            <w:sz w:val="18"/>
            <w:szCs w:val="18"/>
          </w:rPr>
          <w:t>(</w:t>
        </w:r>
        <w:r w:rsidRPr="00A11153">
          <w:rPr>
            <w:b/>
            <w:sz w:val="18"/>
            <w:szCs w:val="18"/>
          </w:rPr>
          <w:t>1310-73-2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AB226C">
          <w:rPr>
            <w:sz w:val="18"/>
            <w:szCs w:val="18"/>
          </w:rPr>
          <w:t>20</w:t>
        </w:r>
      </w:p>
      <w:p w14:paraId="2D517F5E" w14:textId="3B9BD0A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C4641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D1DA" w14:textId="77777777" w:rsidR="00792E39" w:rsidRDefault="00792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5C07E" w14:textId="77777777" w:rsidR="006D50B1" w:rsidRDefault="006D50B1" w:rsidP="00F43AD5">
      <w:pPr>
        <w:spacing w:after="0" w:line="240" w:lineRule="auto"/>
      </w:pPr>
      <w:r>
        <w:separator/>
      </w:r>
    </w:p>
  </w:footnote>
  <w:footnote w:type="continuationSeparator" w:id="0">
    <w:p w14:paraId="58EA1325" w14:textId="77777777" w:rsidR="006D50B1" w:rsidRDefault="006D50B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B55E" w14:textId="77777777" w:rsidR="00792E39" w:rsidRDefault="00792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3D7E" w14:textId="7F1BF64A" w:rsidR="00792E39" w:rsidRDefault="00792E39" w:rsidP="00792E39">
    <w:pPr>
      <w:pStyle w:val="Header"/>
      <w:jc w:val="right"/>
    </w:pPr>
    <w:r>
      <w:pict w14:anchorId="2A8724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DA06D85" wp14:editId="66A5BBA1">
          <wp:extent cx="2947670" cy="600710"/>
          <wp:effectExtent l="0" t="0" r="5080" b="889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6162E8BA" w:rsidR="008A36CF" w:rsidRPr="00792E39" w:rsidRDefault="008A36CF" w:rsidP="00792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6A4AD" w14:textId="77777777" w:rsidR="00792E39" w:rsidRDefault="00792E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37CA6" w14:textId="6A56ECCF" w:rsidR="00792E39" w:rsidRDefault="00792E39" w:rsidP="00792E39">
    <w:pPr>
      <w:pStyle w:val="Header"/>
      <w:jc w:val="right"/>
    </w:pPr>
    <w:r>
      <w:pict w14:anchorId="53021E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3675138" wp14:editId="449D8728">
          <wp:extent cx="2947670" cy="600710"/>
          <wp:effectExtent l="0" t="0" r="5080" b="889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05AA0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1200DB"/>
    <w:multiLevelType w:val="hybridMultilevel"/>
    <w:tmpl w:val="099AB62E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BE177D2"/>
    <w:multiLevelType w:val="hybridMultilevel"/>
    <w:tmpl w:val="C622BCD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583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10E7"/>
    <w:rsid w:val="00084513"/>
    <w:rsid w:val="00084859"/>
    <w:rsid w:val="00092D94"/>
    <w:rsid w:val="000963C2"/>
    <w:rsid w:val="000B0868"/>
    <w:rsid w:val="000B3E12"/>
    <w:rsid w:val="000B3E78"/>
    <w:rsid w:val="000B7B48"/>
    <w:rsid w:val="000C002E"/>
    <w:rsid w:val="000C096D"/>
    <w:rsid w:val="000C139A"/>
    <w:rsid w:val="000C2053"/>
    <w:rsid w:val="000C248C"/>
    <w:rsid w:val="000C6172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62ECF"/>
    <w:rsid w:val="001656D1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C4641"/>
    <w:rsid w:val="001D56F0"/>
    <w:rsid w:val="001D663B"/>
    <w:rsid w:val="001D6BB6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2AF1"/>
    <w:rsid w:val="002B1A2C"/>
    <w:rsid w:val="002C34F2"/>
    <w:rsid w:val="002C58FF"/>
    <w:rsid w:val="002C7AFE"/>
    <w:rsid w:val="002D05D2"/>
    <w:rsid w:val="002E0D61"/>
    <w:rsid w:val="002E4C7B"/>
    <w:rsid w:val="00303B84"/>
    <w:rsid w:val="0030740C"/>
    <w:rsid w:val="00310282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5FB5"/>
    <w:rsid w:val="00406785"/>
    <w:rsid w:val="004079B4"/>
    <w:rsid w:val="00417A56"/>
    <w:rsid w:val="00420957"/>
    <w:rsid w:val="00422A10"/>
    <w:rsid w:val="00430179"/>
    <w:rsid w:val="00437405"/>
    <w:rsid w:val="004414B5"/>
    <w:rsid w:val="00444482"/>
    <w:rsid w:val="00444B42"/>
    <w:rsid w:val="00445E44"/>
    <w:rsid w:val="004509E2"/>
    <w:rsid w:val="004515EE"/>
    <w:rsid w:val="004529F0"/>
    <w:rsid w:val="00460A03"/>
    <w:rsid w:val="004633FD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4F74DC"/>
    <w:rsid w:val="0050005E"/>
    <w:rsid w:val="00502B88"/>
    <w:rsid w:val="00507040"/>
    <w:rsid w:val="005142C4"/>
    <w:rsid w:val="0051509C"/>
    <w:rsid w:val="005240F2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39EC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50B1"/>
    <w:rsid w:val="006D5CAF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2E39"/>
    <w:rsid w:val="007939B3"/>
    <w:rsid w:val="0079509C"/>
    <w:rsid w:val="00796708"/>
    <w:rsid w:val="007A2D1E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C40"/>
    <w:rsid w:val="008F5DCD"/>
    <w:rsid w:val="00900951"/>
    <w:rsid w:val="00910155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365D"/>
    <w:rsid w:val="00974F2D"/>
    <w:rsid w:val="00977524"/>
    <w:rsid w:val="00977E88"/>
    <w:rsid w:val="00984920"/>
    <w:rsid w:val="0099303A"/>
    <w:rsid w:val="009971C2"/>
    <w:rsid w:val="009A1254"/>
    <w:rsid w:val="009A2458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1CE0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1153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7965"/>
    <w:rsid w:val="00AB226C"/>
    <w:rsid w:val="00AB2672"/>
    <w:rsid w:val="00AB2817"/>
    <w:rsid w:val="00AB43C4"/>
    <w:rsid w:val="00AC32E7"/>
    <w:rsid w:val="00AC3A9F"/>
    <w:rsid w:val="00AC3C87"/>
    <w:rsid w:val="00AC6D2F"/>
    <w:rsid w:val="00AE052C"/>
    <w:rsid w:val="00AE2745"/>
    <w:rsid w:val="00AE2F64"/>
    <w:rsid w:val="00AF42CB"/>
    <w:rsid w:val="00AF483F"/>
    <w:rsid w:val="00AF4D5E"/>
    <w:rsid w:val="00AF5E07"/>
    <w:rsid w:val="00AF5F06"/>
    <w:rsid w:val="00B00A25"/>
    <w:rsid w:val="00B1422A"/>
    <w:rsid w:val="00B1765C"/>
    <w:rsid w:val="00B213C4"/>
    <w:rsid w:val="00B24100"/>
    <w:rsid w:val="00B40C60"/>
    <w:rsid w:val="00B479A9"/>
    <w:rsid w:val="00B52EDF"/>
    <w:rsid w:val="00B667BD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29B9"/>
    <w:rsid w:val="00C06E43"/>
    <w:rsid w:val="00C16315"/>
    <w:rsid w:val="00C20216"/>
    <w:rsid w:val="00C3091E"/>
    <w:rsid w:val="00C40FF1"/>
    <w:rsid w:val="00C419E2"/>
    <w:rsid w:val="00C5020E"/>
    <w:rsid w:val="00C55CD1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D5F83"/>
    <w:rsid w:val="00CE5AD6"/>
    <w:rsid w:val="00CE617F"/>
    <w:rsid w:val="00CE78EF"/>
    <w:rsid w:val="00D00A25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57653"/>
    <w:rsid w:val="00D668E6"/>
    <w:rsid w:val="00D70670"/>
    <w:rsid w:val="00D74D80"/>
    <w:rsid w:val="00D76624"/>
    <w:rsid w:val="00D87570"/>
    <w:rsid w:val="00D91CB9"/>
    <w:rsid w:val="00D97989"/>
    <w:rsid w:val="00D97D8D"/>
    <w:rsid w:val="00DA1884"/>
    <w:rsid w:val="00DA352E"/>
    <w:rsid w:val="00DC7694"/>
    <w:rsid w:val="00DD1BF6"/>
    <w:rsid w:val="00DD2F9B"/>
    <w:rsid w:val="00DE07D8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3F52"/>
    <w:rsid w:val="00E67C2F"/>
    <w:rsid w:val="00E67EF5"/>
    <w:rsid w:val="00E804EA"/>
    <w:rsid w:val="00E80A71"/>
    <w:rsid w:val="00E82337"/>
    <w:rsid w:val="00E86DDB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1E3D"/>
    <w:rsid w:val="00F136D8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05A9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7A2D1E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4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4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4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4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150FB8"/>
    <w:rsid w:val="00153413"/>
    <w:rsid w:val="00347D16"/>
    <w:rsid w:val="003E0149"/>
    <w:rsid w:val="003E5DC6"/>
    <w:rsid w:val="00755FB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297DE179127D439F9F14F9645E55F9BC">
    <w:name w:val="297DE179127D439F9F14F9645E55F9BC"/>
    <w:rsid w:val="00150FB8"/>
  </w:style>
  <w:style w:type="paragraph" w:customStyle="1" w:styleId="179980F469C9499A8E18EF6DD00826F7">
    <w:name w:val="179980F469C9499A8E18EF6DD00826F7"/>
    <w:rsid w:val="00150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9C2A-E1A9-4549-86E4-A4ABD0D54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f54d604-3e62-4e70-ba33-9e9084b96a6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C2D13D-DE09-4D58-8ECE-05AEE230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9</cp:revision>
  <cp:lastPrinted>2018-10-22T22:41:00Z</cp:lastPrinted>
  <dcterms:created xsi:type="dcterms:W3CDTF">2020-01-28T05:37:00Z</dcterms:created>
  <dcterms:modified xsi:type="dcterms:W3CDTF">2020-07-21T01:20:00Z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