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62CEC" w14:textId="7CF998B8" w:rsidR="00BD499F" w:rsidRPr="004C23F4" w:rsidRDefault="00BC45C5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C62527" w:rsidRPr="00C62527">
            <w:rPr>
              <w:rFonts w:ascii="Arial" w:hAnsi="Arial" w:cs="Arial"/>
            </w:rPr>
            <w:t>Sodium metabisul</w:t>
          </w:r>
          <w:r w:rsidR="00DD1E74">
            <w:rPr>
              <w:rFonts w:ascii="Arial" w:hAnsi="Arial" w:cs="Arial"/>
            </w:rPr>
            <w:t>F</w:t>
          </w:r>
          <w:r w:rsidR="00C62527" w:rsidRPr="00C62527">
            <w:rPr>
              <w:rFonts w:ascii="Arial" w:hAnsi="Arial" w:cs="Arial"/>
            </w:rPr>
            <w:t>ite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4"/>
        <w:gridCol w:w="5042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3ADC694B" w:rsidR="00F43AD5" w:rsidRPr="00717D45" w:rsidRDefault="00726ECA" w:rsidP="00B76A41">
            <w:pPr>
              <w:pStyle w:val="Tablefont"/>
            </w:pPr>
            <w:r w:rsidRPr="00726ECA">
              <w:t>7681-57-4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06A6F98A" w:rsidR="00F43AD5" w:rsidRPr="00717D45" w:rsidRDefault="00726ECA" w:rsidP="00B76A41">
            <w:pPr>
              <w:pStyle w:val="Tablefont"/>
            </w:pPr>
            <w:r>
              <w:t xml:space="preserve">Disodium </w:t>
            </w:r>
            <w:proofErr w:type="spellStart"/>
            <w:r>
              <w:t>disulphite</w:t>
            </w:r>
            <w:proofErr w:type="spellEnd"/>
            <w:r>
              <w:t xml:space="preserve">, sodium </w:t>
            </w:r>
            <w:r w:rsidR="00DD1E74">
              <w:t>pyrosulfate, sodium metabisulphite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592E5F9F" w:rsidR="00F43AD5" w:rsidRPr="00717D45" w:rsidRDefault="00726ECA" w:rsidP="00B76A41">
            <w:pPr>
              <w:pStyle w:val="Tablefont"/>
            </w:pPr>
            <w:r>
              <w:t>Na</w:t>
            </w:r>
            <w:r w:rsidRPr="00726ECA">
              <w:rPr>
                <w:vertAlign w:val="subscript"/>
              </w:rPr>
              <w:t>2</w:t>
            </w:r>
            <w:r>
              <w:t>S</w:t>
            </w:r>
            <w:r w:rsidRPr="00726ECA">
              <w:rPr>
                <w:vertAlign w:val="subscript"/>
              </w:rPr>
              <w:t>2</w:t>
            </w:r>
            <w:r>
              <w:t>O</w:t>
            </w:r>
            <w:r w:rsidRPr="00726ECA">
              <w:rPr>
                <w:vertAlign w:val="subscript"/>
              </w:rPr>
              <w:t>5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4DF8440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4212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1DFB026D" w:rsidR="002C7AFE" w:rsidRPr="00EB3D1B" w:rsidRDefault="001A0B51" w:rsidP="00017C82">
            <w:pPr>
              <w:pStyle w:val="Tablefont"/>
              <w:rPr>
                <w:b/>
              </w:rPr>
            </w:pPr>
            <w:r w:rsidRPr="001A0B51">
              <w:rPr>
                <w:b/>
              </w:rPr>
              <w:t>5 mg/m</w:t>
            </w:r>
            <w:r w:rsidRPr="001A0B51"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1CACA981" w:rsidR="00155999" w:rsidRPr="00EB3D1B" w:rsidRDefault="00155999" w:rsidP="00037E52">
            <w:pPr>
              <w:pStyle w:val="Tablefont"/>
              <w:rPr>
                <w:b/>
              </w:rPr>
            </w:pPr>
            <w:r w:rsidRPr="008E7E11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E0073" w:rsidRPr="008E7E1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3C088198" w:rsidR="006639B4" w:rsidRDefault="009E0073" w:rsidP="000C139A">
      <w:pPr>
        <w:rPr>
          <w:rFonts w:cs="Arial"/>
        </w:rPr>
      </w:pPr>
      <w:r w:rsidRPr="009E0073">
        <w:rPr>
          <w:rFonts w:cs="Arial"/>
        </w:rPr>
        <w:t xml:space="preserve">A TWA of </w:t>
      </w:r>
      <w:r>
        <w:rPr>
          <w:rFonts w:cs="Arial"/>
        </w:rPr>
        <w:t>5 mg/m</w:t>
      </w:r>
      <w:r w:rsidRPr="009E0073"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Pr="009E0073">
        <w:rPr>
          <w:rFonts w:cs="Arial"/>
        </w:rPr>
        <w:t xml:space="preserve">is recommended to protect for </w:t>
      </w:r>
      <w:r w:rsidRPr="00131BCF">
        <w:t>irritation of the upper respiratory tract and mucous membrane</w:t>
      </w:r>
      <w:r w:rsidRPr="009E0073">
        <w:rPr>
          <w:rFonts w:cs="Arial"/>
        </w:rPr>
        <w:t xml:space="preserve"> in exposed workers.</w:t>
      </w:r>
    </w:p>
    <w:p w14:paraId="2D60761E" w14:textId="62B1C13D" w:rsidR="0054212E" w:rsidRPr="004C23F4" w:rsidRDefault="0054212E" w:rsidP="000C139A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E8F151C" w14:textId="77777777" w:rsidR="00BF0711" w:rsidRDefault="009E0073" w:rsidP="009E0073">
      <w:pPr>
        <w:rPr>
          <w:rFonts w:cs="Arial"/>
        </w:rPr>
      </w:pPr>
      <w:r w:rsidRPr="009E0073">
        <w:rPr>
          <w:rFonts w:cs="Arial"/>
        </w:rPr>
        <w:t xml:space="preserve">Sodium metabisulphite </w:t>
      </w:r>
      <w:r>
        <w:rPr>
          <w:rFonts w:cs="Arial"/>
        </w:rPr>
        <w:t xml:space="preserve">is primarily used as a </w:t>
      </w:r>
      <w:r w:rsidRPr="00B60443">
        <w:rPr>
          <w:rFonts w:cs="Arial"/>
        </w:rPr>
        <w:t>food preservative and as an antioxidant</w:t>
      </w:r>
      <w:r>
        <w:rPr>
          <w:rFonts w:cs="Arial"/>
        </w:rPr>
        <w:t xml:space="preserve">. </w:t>
      </w:r>
    </w:p>
    <w:p w14:paraId="724C467B" w14:textId="77777777" w:rsidR="001A0A30" w:rsidRDefault="009E0073" w:rsidP="009E0073">
      <w:pPr>
        <w:rPr>
          <w:rFonts w:cs="Arial"/>
        </w:rPr>
      </w:pPr>
      <w:r>
        <w:rPr>
          <w:rFonts w:cs="Arial"/>
        </w:rPr>
        <w:t>C</w:t>
      </w:r>
      <w:r w:rsidRPr="00612AF7">
        <w:rPr>
          <w:rFonts w:cs="Arial"/>
        </w:rPr>
        <w:t xml:space="preserve">ritical effects </w:t>
      </w:r>
      <w:r w:rsidR="00DD1E74">
        <w:rPr>
          <w:rFonts w:cs="Arial"/>
        </w:rPr>
        <w:t xml:space="preserve">of exposure </w:t>
      </w:r>
      <w:r w:rsidRPr="00612AF7">
        <w:rPr>
          <w:rFonts w:cs="Arial"/>
        </w:rPr>
        <w:t xml:space="preserve">are </w:t>
      </w:r>
      <w:r w:rsidRPr="00131BCF">
        <w:t>irritation of the upper respiratory tract</w:t>
      </w:r>
      <w:r w:rsidR="00DD1E74">
        <w:t xml:space="preserve"> (URT)</w:t>
      </w:r>
      <w:r w:rsidRPr="00131BCF">
        <w:t xml:space="preserve"> and mucous membrane</w:t>
      </w:r>
      <w:r>
        <w:rPr>
          <w:rFonts w:cs="Arial"/>
        </w:rPr>
        <w:t>.</w:t>
      </w:r>
      <w:r w:rsidR="00BF0711">
        <w:rPr>
          <w:rFonts w:cs="Arial"/>
        </w:rPr>
        <w:t xml:space="preserve"> </w:t>
      </w:r>
    </w:p>
    <w:p w14:paraId="0B19C404" w14:textId="12CDBF55" w:rsidR="009E0073" w:rsidRPr="00333D3D" w:rsidRDefault="009E0073" w:rsidP="009E0073">
      <w:pPr>
        <w:rPr>
          <w:rFonts w:cs="Arial"/>
        </w:rPr>
      </w:pPr>
      <w:r>
        <w:rPr>
          <w:rFonts w:cs="Arial"/>
        </w:rPr>
        <w:t>Limited data exists from both human and animal studies. ACGIH</w:t>
      </w:r>
      <w:r w:rsidR="00333D3D">
        <w:rPr>
          <w:rFonts w:cs="Arial"/>
        </w:rPr>
        <w:t xml:space="preserve"> (2018)</w:t>
      </w:r>
      <w:r>
        <w:rPr>
          <w:rFonts w:cs="Arial"/>
        </w:rPr>
        <w:t xml:space="preserve"> extrapolated a 7 mg/m</w:t>
      </w:r>
      <w:r w:rsidRPr="009E0073">
        <w:rPr>
          <w:rFonts w:cs="Arial"/>
          <w:vertAlign w:val="superscript"/>
        </w:rPr>
        <w:t>3</w:t>
      </w:r>
      <w:r>
        <w:rPr>
          <w:rFonts w:cs="Arial"/>
        </w:rPr>
        <w:t xml:space="preserve"> NOAEC from a </w:t>
      </w:r>
      <w:r w:rsidR="001A0A30">
        <w:rPr>
          <w:rFonts w:cs="Arial"/>
        </w:rPr>
        <w:t>two-</w:t>
      </w:r>
      <w:r>
        <w:rPr>
          <w:rFonts w:cs="Arial"/>
        </w:rPr>
        <w:t xml:space="preserve">year feeding study </w:t>
      </w:r>
      <w:r w:rsidR="00BF0711">
        <w:rPr>
          <w:rFonts w:cs="Arial"/>
        </w:rPr>
        <w:t>i</w:t>
      </w:r>
      <w:r>
        <w:rPr>
          <w:rFonts w:cs="Arial"/>
        </w:rPr>
        <w:t>n rats exposed at 0.215%</w:t>
      </w:r>
      <w:r w:rsidR="00786CC1">
        <w:rPr>
          <w:rFonts w:cs="Arial"/>
        </w:rPr>
        <w:t xml:space="preserve"> (</w:t>
      </w:r>
      <w:r w:rsidR="00216B8A">
        <w:rPr>
          <w:rFonts w:cs="Arial"/>
        </w:rPr>
        <w:t>intake source not</w:t>
      </w:r>
      <w:r w:rsidR="00786CC1">
        <w:rPr>
          <w:rFonts w:cs="Arial"/>
        </w:rPr>
        <w:t xml:space="preserve"> provided)</w:t>
      </w:r>
      <w:r>
        <w:rPr>
          <w:rFonts w:cs="Arial"/>
        </w:rPr>
        <w:t xml:space="preserve">. </w:t>
      </w:r>
      <w:r w:rsidR="001A0A30">
        <w:rPr>
          <w:rFonts w:cs="Arial"/>
        </w:rPr>
        <w:t>URT</w:t>
      </w:r>
      <w:r w:rsidR="001A0A30" w:rsidRPr="00333D3D">
        <w:rPr>
          <w:rFonts w:cs="Arial"/>
        </w:rPr>
        <w:t xml:space="preserve"> and mucous membrane</w:t>
      </w:r>
      <w:r w:rsidR="001A0A30">
        <w:rPr>
          <w:rFonts w:cs="Arial"/>
        </w:rPr>
        <w:t xml:space="preserve"> irritation was reported</w:t>
      </w:r>
      <w:r w:rsidR="009D0B5D">
        <w:rPr>
          <w:rFonts w:cs="Arial"/>
        </w:rPr>
        <w:t xml:space="preserve"> in</w:t>
      </w:r>
      <w:r>
        <w:rPr>
          <w:rFonts w:cs="Arial"/>
        </w:rPr>
        <w:t xml:space="preserve"> a</w:t>
      </w:r>
      <w:r w:rsidR="009D0B5D">
        <w:rPr>
          <w:rFonts w:cs="Arial"/>
        </w:rPr>
        <w:t>n</w:t>
      </w:r>
      <w:r>
        <w:rPr>
          <w:rFonts w:cs="Arial"/>
        </w:rPr>
        <w:t xml:space="preserve"> inhalation study in dogs</w:t>
      </w:r>
      <w:r w:rsidR="00333D3D">
        <w:rPr>
          <w:rFonts w:cs="Arial"/>
        </w:rPr>
        <w:t xml:space="preserve"> exposed at 1 mg/m</w:t>
      </w:r>
      <w:r w:rsidR="00333D3D" w:rsidRPr="00333D3D">
        <w:rPr>
          <w:rFonts w:cs="Arial"/>
          <w:vertAlign w:val="superscript"/>
        </w:rPr>
        <w:t>3</w:t>
      </w:r>
      <w:r w:rsidR="00333D3D">
        <w:rPr>
          <w:rFonts w:cs="Arial"/>
        </w:rPr>
        <w:t xml:space="preserve"> </w:t>
      </w:r>
      <w:r w:rsidR="001A0A30">
        <w:rPr>
          <w:rFonts w:cs="Arial"/>
        </w:rPr>
        <w:t>for 290</w:t>
      </w:r>
      <w:r w:rsidR="009D0B5D">
        <w:rPr>
          <w:rFonts w:cs="Arial"/>
        </w:rPr>
        <w:t> </w:t>
      </w:r>
      <w:r w:rsidR="001A0A30">
        <w:rPr>
          <w:rFonts w:cs="Arial"/>
        </w:rPr>
        <w:t>day</w:t>
      </w:r>
      <w:r w:rsidR="009D0B5D">
        <w:rPr>
          <w:rFonts w:cs="Arial"/>
        </w:rPr>
        <w:t>s</w:t>
      </w:r>
      <w:r w:rsidR="001A0A30">
        <w:rPr>
          <w:rFonts w:cs="Arial"/>
        </w:rPr>
        <w:t xml:space="preserve"> </w:t>
      </w:r>
      <w:r w:rsidR="00333D3D">
        <w:rPr>
          <w:rFonts w:cs="Arial"/>
        </w:rPr>
        <w:t>(NICNAS 2013).</w:t>
      </w:r>
    </w:p>
    <w:p w14:paraId="4F21E54C" w14:textId="78FE43D1" w:rsidR="00DD1E74" w:rsidRDefault="009E0073" w:rsidP="00DD1E74">
      <w:pPr>
        <w:rPr>
          <w:rFonts w:cs="Arial"/>
        </w:rPr>
      </w:pPr>
      <w:r w:rsidRPr="00D261A4">
        <w:rPr>
          <w:rFonts w:cs="Arial"/>
        </w:rPr>
        <w:t xml:space="preserve">Given the </w:t>
      </w:r>
      <w:r w:rsidR="00333D3D">
        <w:rPr>
          <w:rFonts w:cs="Arial"/>
        </w:rPr>
        <w:t>contradictory</w:t>
      </w:r>
      <w:r w:rsidRPr="00D261A4">
        <w:rPr>
          <w:rFonts w:cs="Arial"/>
        </w:rPr>
        <w:t xml:space="preserve"> exposure data</w:t>
      </w:r>
      <w:r w:rsidR="001A0A30">
        <w:rPr>
          <w:rFonts w:cs="Arial"/>
        </w:rPr>
        <w:t xml:space="preserve"> in the two studies</w:t>
      </w:r>
      <w:r w:rsidRPr="00D261A4">
        <w:rPr>
          <w:rFonts w:cs="Arial"/>
        </w:rPr>
        <w:t xml:space="preserve">, the TWA of </w:t>
      </w:r>
      <w:r w:rsidR="00333D3D">
        <w:rPr>
          <w:rFonts w:cs="Arial"/>
        </w:rPr>
        <w:t>5</w:t>
      </w:r>
      <w:r w:rsidRPr="00D261A4">
        <w:rPr>
          <w:rFonts w:cs="Arial"/>
        </w:rPr>
        <w:t xml:space="preserve"> </w:t>
      </w:r>
      <w:r w:rsidR="00333D3D">
        <w:rPr>
          <w:rFonts w:cs="Arial"/>
        </w:rPr>
        <w:t>mg/m</w:t>
      </w:r>
      <w:r w:rsidR="00333D3D" w:rsidRPr="009E0073">
        <w:rPr>
          <w:rFonts w:cs="Arial"/>
          <w:vertAlign w:val="superscript"/>
        </w:rPr>
        <w:t>3</w:t>
      </w:r>
      <w:r w:rsidR="00333D3D">
        <w:rPr>
          <w:rFonts w:cs="Arial"/>
        </w:rPr>
        <w:t xml:space="preserve"> </w:t>
      </w:r>
      <w:r w:rsidR="001A0A30" w:rsidRPr="00D261A4">
        <w:rPr>
          <w:rFonts w:cs="Arial"/>
        </w:rPr>
        <w:t>by ACGIH</w:t>
      </w:r>
      <w:r w:rsidR="001A0A30">
        <w:rPr>
          <w:rFonts w:cs="Arial"/>
        </w:rPr>
        <w:t xml:space="preserve"> </w:t>
      </w:r>
      <w:r w:rsidRPr="00D261A4">
        <w:rPr>
          <w:rFonts w:cs="Arial"/>
        </w:rPr>
        <w:t>is recommended to be retained to limit irritant effects</w:t>
      </w:r>
      <w:r w:rsidR="00800FBE">
        <w:rPr>
          <w:rFonts w:cs="Arial"/>
        </w:rPr>
        <w:t xml:space="preserve"> in exposed workers</w:t>
      </w:r>
      <w:r w:rsidR="009D0B5D">
        <w:rPr>
          <w:rFonts w:cs="Arial"/>
        </w:rPr>
        <w:t>. I</w:t>
      </w:r>
      <w:r w:rsidR="00DD1E74">
        <w:rPr>
          <w:rFonts w:cs="Arial"/>
        </w:rPr>
        <w:t>t is recommended that a review of additional sources be conducted at the next scheduled review.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9E0073" w:rsidRDefault="008E4F1F" w:rsidP="008E4F1F">
      <w:pPr>
        <w:rPr>
          <w:rFonts w:cs="Arial"/>
        </w:rPr>
      </w:pPr>
      <w:r w:rsidRPr="009E0073">
        <w:rPr>
          <w:rFonts w:cs="Arial"/>
        </w:rPr>
        <w:t>Not classified as a carcinogen according to the Globally Harmonized System of</w:t>
      </w:r>
      <w:r w:rsidR="00155999" w:rsidRPr="009E0073">
        <w:rPr>
          <w:rFonts w:cs="Arial"/>
        </w:rPr>
        <w:t xml:space="preserve"> Classification and Labelling of</w:t>
      </w:r>
      <w:r w:rsidRPr="009E0073">
        <w:rPr>
          <w:rFonts w:cs="Arial"/>
        </w:rPr>
        <w:t xml:space="preserve"> Chemicals (GHS). </w:t>
      </w:r>
    </w:p>
    <w:p w14:paraId="03916CCC" w14:textId="77777777" w:rsidR="008E4F1F" w:rsidRPr="009E0073" w:rsidRDefault="008E4F1F" w:rsidP="008E4F1F">
      <w:pPr>
        <w:rPr>
          <w:rFonts w:cs="Arial"/>
        </w:rPr>
      </w:pPr>
      <w:r w:rsidRPr="009E0073">
        <w:rPr>
          <w:rFonts w:cs="Arial"/>
        </w:rPr>
        <w:t xml:space="preserve">Not classified as a skin </w:t>
      </w:r>
      <w:r w:rsidR="00155999" w:rsidRPr="009E0073">
        <w:rPr>
          <w:rFonts w:cs="Arial"/>
        </w:rPr>
        <w:t xml:space="preserve">sensitiser </w:t>
      </w:r>
      <w:r w:rsidRPr="009E0073">
        <w:rPr>
          <w:rFonts w:cs="Arial"/>
        </w:rPr>
        <w:t>or respiratory sensitiser according to the GHS.</w:t>
      </w:r>
    </w:p>
    <w:p w14:paraId="21CCE2A5" w14:textId="2C9A5E35" w:rsidR="0025734A" w:rsidRPr="004C23F4" w:rsidRDefault="009E0073">
      <w:pPr>
        <w:rPr>
          <w:rFonts w:cs="Arial"/>
        </w:rPr>
      </w:pPr>
      <w:r w:rsidRPr="009E0073">
        <w:rPr>
          <w:rFonts w:cs="Arial"/>
        </w:rPr>
        <w:t xml:space="preserve">A skin notation is not </w:t>
      </w:r>
      <w:r w:rsidR="00DD1E74">
        <w:rPr>
          <w:rFonts w:cs="Arial"/>
        </w:rPr>
        <w:t>recommended</w:t>
      </w:r>
      <w:r w:rsidRPr="009E0073">
        <w:rPr>
          <w:rFonts w:cs="Arial"/>
        </w:rPr>
        <w:t xml:space="preserve"> based on the available evidence</w:t>
      </w:r>
      <w:r w:rsidR="008E4F1F" w:rsidRPr="009E0073">
        <w:rPr>
          <w:rFonts w:cs="Arial"/>
        </w:rPr>
        <w:t>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BC45C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BC45C5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5790C6A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26EC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26ECA">
                  <w:t>TWA: 5 mg/m</w:t>
                </w:r>
                <w:r w:rsidR="00726ECA" w:rsidRPr="00726EC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BC45C5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BC45C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4F84A74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26EC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26ECA">
                  <w:t>TLV-TWA: 5 mg/m</w:t>
                </w:r>
                <w:r w:rsidR="00726ECA" w:rsidRPr="00726EC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BC45C5">
        <w:trPr>
          <w:gridAfter w:val="1"/>
          <w:wAfter w:w="8" w:type="pct"/>
          <w:cantSplit/>
        </w:trPr>
        <w:tc>
          <w:tcPr>
            <w:tcW w:w="4992" w:type="pct"/>
          </w:tcPr>
          <w:p w14:paraId="4EAA18B2" w14:textId="388AD3B7" w:rsidR="00131BCF" w:rsidRDefault="00131BCF" w:rsidP="00131BCF">
            <w:pPr>
              <w:pStyle w:val="Tabletextprimarysource"/>
            </w:pPr>
            <w:r>
              <w:t xml:space="preserve">TLV-TWA recommended to minimise the risk of </w:t>
            </w:r>
            <w:r w:rsidRPr="00131BCF">
              <w:t xml:space="preserve">irritation of the </w:t>
            </w:r>
            <w:r w:rsidR="00DD1E74">
              <w:t>URT</w:t>
            </w:r>
            <w:r w:rsidRPr="00131BCF">
              <w:t xml:space="preserve"> and mucous membranes</w:t>
            </w:r>
            <w:r>
              <w:t xml:space="preserve"> in exposed workers.</w:t>
            </w:r>
          </w:p>
          <w:p w14:paraId="6E82446B" w14:textId="6662F287" w:rsidR="00131BCF" w:rsidRDefault="00131BCF" w:rsidP="00131BCF">
            <w:pPr>
              <w:pStyle w:val="Tabletextprimarysource"/>
            </w:pPr>
            <w:r>
              <w:t>Summary of data:</w:t>
            </w:r>
          </w:p>
          <w:p w14:paraId="7CFF1E80" w14:textId="77777777" w:rsidR="001A0A30" w:rsidRDefault="001A0A30" w:rsidP="00131BCF">
            <w:pPr>
              <w:pStyle w:val="Tabletextprimarysource"/>
            </w:pPr>
          </w:p>
          <w:p w14:paraId="71368A98" w14:textId="77777777" w:rsidR="00131BCF" w:rsidRDefault="00131BCF" w:rsidP="00131BC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6243F093" w14:textId="1446CD26" w:rsidR="00131BCF" w:rsidRDefault="00BF0711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</w:t>
            </w:r>
            <w:r w:rsidR="00131BCF" w:rsidRPr="00131BCF">
              <w:t xml:space="preserve"> cases of occupational asthma</w:t>
            </w:r>
            <w:r w:rsidR="00131BCF">
              <w:t xml:space="preserve"> reported</w:t>
            </w:r>
            <w:r w:rsidR="00131BCF" w:rsidRPr="00131BCF">
              <w:t xml:space="preserve"> in laundry workers</w:t>
            </w:r>
            <w:r w:rsidR="00131BCF">
              <w:t xml:space="preserve"> (exposure pathway and concentration not noticed) </w:t>
            </w:r>
          </w:p>
          <w:p w14:paraId="03271B7C" w14:textId="5329DA39" w:rsidR="00131BCF" w:rsidRDefault="00FF4FDB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</w:t>
            </w:r>
            <w:r w:rsidR="00131BCF" w:rsidRPr="00131BCF">
              <w:t>woman</w:t>
            </w:r>
            <w:r w:rsidR="00131BCF">
              <w:t xml:space="preserve"> </w:t>
            </w:r>
            <w:r w:rsidR="001A0A30">
              <w:t>(</w:t>
            </w:r>
            <w:r w:rsidR="001A0A30" w:rsidRPr="00131BCF">
              <w:t>67</w:t>
            </w:r>
            <w:r w:rsidR="001A0A30">
              <w:t xml:space="preserve"> </w:t>
            </w:r>
            <w:proofErr w:type="spellStart"/>
            <w:r w:rsidR="001A0A30">
              <w:t>yr</w:t>
            </w:r>
            <w:proofErr w:type="spellEnd"/>
            <w:r w:rsidR="001A0A30">
              <w:t xml:space="preserve"> of age)</w:t>
            </w:r>
            <w:r w:rsidR="001A0A30" w:rsidRPr="00131BCF">
              <w:t xml:space="preserve"> </w:t>
            </w:r>
            <w:r w:rsidR="00131BCF">
              <w:t>reported</w:t>
            </w:r>
            <w:r w:rsidR="00131BCF" w:rsidRPr="00131BCF">
              <w:t xml:space="preserve"> severe asthma</w:t>
            </w:r>
            <w:r w:rsidR="00131BCF">
              <w:t xml:space="preserve"> after eating </w:t>
            </w:r>
            <w:r w:rsidR="00131BCF" w:rsidRPr="00131BCF">
              <w:t>salad with vinegar</w:t>
            </w:r>
            <w:r w:rsidR="00131BCF">
              <w:t xml:space="preserve"> </w:t>
            </w:r>
            <w:r w:rsidR="00131BCF" w:rsidRPr="00131BCF">
              <w:t>dressing</w:t>
            </w:r>
            <w:r w:rsidR="00131BCF">
              <w:t xml:space="preserve"> containing </w:t>
            </w:r>
            <w:r w:rsidR="00DD1E74" w:rsidRPr="00DD1E74">
              <w:rPr>
                <w:szCs w:val="20"/>
              </w:rPr>
              <w:t>s</w:t>
            </w:r>
            <w:r w:rsidR="00131BCF" w:rsidRPr="00DD1E74">
              <w:rPr>
                <w:szCs w:val="20"/>
              </w:rPr>
              <w:t>odium metabisulphite</w:t>
            </w:r>
            <w:r w:rsidR="00FD7496">
              <w:rPr>
                <w:szCs w:val="20"/>
              </w:rPr>
              <w:t>.</w:t>
            </w:r>
          </w:p>
          <w:p w14:paraId="695F843D" w14:textId="77777777" w:rsidR="00131BCF" w:rsidRDefault="00131BCF" w:rsidP="00131BC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564C5CC6" w14:textId="68D770F7" w:rsidR="00131BCF" w:rsidRDefault="00131BCF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131BCF">
              <w:rPr>
                <w:vertAlign w:val="subscript"/>
              </w:rPr>
              <w:t>50</w:t>
            </w:r>
            <w:r>
              <w:t>: 115 mg/kg (rats, oral)</w:t>
            </w:r>
            <w:r w:rsidR="00BF0711">
              <w:t>;</w:t>
            </w:r>
            <w:r>
              <w:t xml:space="preserve"> primary response was </w:t>
            </w:r>
            <w:r w:rsidRPr="00131BCF">
              <w:t xml:space="preserve">irritation of the </w:t>
            </w:r>
            <w:r w:rsidR="00DD1E74">
              <w:t>URT</w:t>
            </w:r>
          </w:p>
          <w:p w14:paraId="45DBEFD4" w14:textId="03A69A6E" w:rsidR="00131BCF" w:rsidRDefault="00051D20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0.6% solution (rats, 5</w:t>
            </w:r>
            <w:r w:rsidR="003E1287">
              <w:t>–</w:t>
            </w:r>
            <w:r>
              <w:t xml:space="preserve">7 </w:t>
            </w:r>
            <w:proofErr w:type="spellStart"/>
            <w:r>
              <w:t>wk</w:t>
            </w:r>
            <w:proofErr w:type="spellEnd"/>
            <w:r>
              <w:t xml:space="preserve">, oral) </w:t>
            </w:r>
            <w:r w:rsidRPr="00051D20">
              <w:t xml:space="preserve">was associated with reduced </w:t>
            </w:r>
            <w:r w:rsidR="001A0A30">
              <w:t>body weight</w:t>
            </w:r>
            <w:r w:rsidR="001A0A30" w:rsidRPr="00051D20">
              <w:t xml:space="preserve"> </w:t>
            </w:r>
            <w:r w:rsidRPr="00051D20">
              <w:t>gain caused by thiamine deficiency</w:t>
            </w:r>
          </w:p>
          <w:p w14:paraId="5741DD9B" w14:textId="297F2E7A" w:rsidR="00131BCF" w:rsidRDefault="00051D20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at 0.215% (rats, 2 </w:t>
            </w:r>
            <w:proofErr w:type="spellStart"/>
            <w:r>
              <w:t>yr</w:t>
            </w:r>
            <w:proofErr w:type="spellEnd"/>
            <w:r>
              <w:t xml:space="preserve">, oral) </w:t>
            </w:r>
            <w:r w:rsidRPr="00051D20">
              <w:t>produced no adverse effects</w:t>
            </w:r>
            <w:r w:rsidR="00786CC1">
              <w:t xml:space="preserve"> </w:t>
            </w:r>
            <w:r w:rsidR="00786CC1">
              <w:rPr>
                <w:rFonts w:cs="Arial"/>
              </w:rPr>
              <w:t>(no information provided</w:t>
            </w:r>
            <w:r w:rsidR="00216B8A">
              <w:rPr>
                <w:rFonts w:cs="Arial"/>
              </w:rPr>
              <w:t xml:space="preserve"> on intake source</w:t>
            </w:r>
            <w:r w:rsidR="00786CC1">
              <w:rPr>
                <w:rFonts w:cs="Arial"/>
              </w:rPr>
              <w:t>)</w:t>
            </w:r>
            <w:r w:rsidR="00FF4FDB">
              <w:rPr>
                <w:rFonts w:cs="Arial"/>
              </w:rPr>
              <w:t>:</w:t>
            </w:r>
          </w:p>
          <w:p w14:paraId="5BBDC51C" w14:textId="5CC176C9" w:rsidR="00051D20" w:rsidRDefault="00DD1E74" w:rsidP="008E7E11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>
              <w:t>e</w:t>
            </w:r>
            <w:r w:rsidR="00051D20" w:rsidRPr="00051D20">
              <w:t xml:space="preserve">xtrapolation of data to humans, </w:t>
            </w:r>
            <w:r w:rsidR="00051D20">
              <w:t>with</w:t>
            </w:r>
            <w:r w:rsidR="00051D20" w:rsidRPr="00051D20">
              <w:t xml:space="preserve"> a 100-fold </w:t>
            </w:r>
            <w:r>
              <w:t>UF</w:t>
            </w:r>
            <w:r w:rsidR="00051D20" w:rsidRPr="00051D20">
              <w:t xml:space="preserve"> and assuming equivalent bioavailability, </w:t>
            </w:r>
            <w:r w:rsidR="001A0A30">
              <w:t>results in</w:t>
            </w:r>
            <w:r w:rsidR="00051D20" w:rsidRPr="00051D20">
              <w:t xml:space="preserve"> an equivalent air concentration of 7.0 mg/m</w:t>
            </w:r>
            <w:r w:rsidR="00051D20" w:rsidRPr="00051D20">
              <w:rPr>
                <w:vertAlign w:val="superscript"/>
              </w:rPr>
              <w:t>3</w:t>
            </w:r>
          </w:p>
          <w:p w14:paraId="5F3E1A1F" w14:textId="04F6E613" w:rsidR="00051D20" w:rsidRDefault="00051D20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at </w:t>
            </w:r>
            <w:r w:rsidRPr="00051D20">
              <w:t xml:space="preserve">0.7, 1.5, 3, 6, </w:t>
            </w:r>
            <w:r>
              <w:t>and</w:t>
            </w:r>
            <w:r w:rsidRPr="00051D20">
              <w:t xml:space="preserve"> 13 mmol/kg/d</w:t>
            </w:r>
            <w:r>
              <w:t xml:space="preserve"> (rats, 3 gen, oral)</w:t>
            </w:r>
            <w:r w:rsidR="00FF4FDB">
              <w:t>:</w:t>
            </w:r>
          </w:p>
          <w:p w14:paraId="4DF48BDF" w14:textId="4BB2E70F" w:rsidR="00051D20" w:rsidRDefault="00051D20" w:rsidP="008E7E11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 w:rsidRPr="00051D20">
              <w:t xml:space="preserve">reduced </w:t>
            </w:r>
            <w:r w:rsidR="001A0A30">
              <w:t>body weight</w:t>
            </w:r>
            <w:r w:rsidR="001A0A30" w:rsidRPr="00051D20">
              <w:t xml:space="preserve"> </w:t>
            </w:r>
            <w:r w:rsidRPr="00051D20">
              <w:t xml:space="preserve">gain observed </w:t>
            </w:r>
            <w:r w:rsidR="001A0A30">
              <w:t xml:space="preserve">in </w:t>
            </w:r>
            <w:r w:rsidRPr="00051D20">
              <w:t>F1 and F2 generation</w:t>
            </w:r>
          </w:p>
          <w:p w14:paraId="5DFD1AE8" w14:textId="29991E8D" w:rsidR="00051D20" w:rsidRDefault="00051D20" w:rsidP="008E7E11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 w:rsidRPr="00051D20">
              <w:t>no effect on birth weights, number of offspring/litter</w:t>
            </w:r>
            <w:r w:rsidR="00BF0711">
              <w:t xml:space="preserve"> size</w:t>
            </w:r>
            <w:r w:rsidRPr="00051D20">
              <w:t xml:space="preserve"> or other parameters of reproductive success.</w:t>
            </w:r>
          </w:p>
          <w:p w14:paraId="61A84123" w14:textId="7AB7BDBD" w:rsidR="008D306E" w:rsidRDefault="00BF0711" w:rsidP="008E7E11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>
              <w:t>WHO</w:t>
            </w:r>
            <w:r w:rsidR="00051D20" w:rsidRPr="00051D20">
              <w:t xml:space="preserve"> calculated a</w:t>
            </w:r>
            <w:r w:rsidR="00D242DA">
              <w:t>n</w:t>
            </w:r>
            <w:r w:rsidR="00051D20" w:rsidRPr="00051D20">
              <w:t xml:space="preserve"> ADI for humans of 0.7 mg/kg</w:t>
            </w:r>
            <w:r w:rsidR="00D242DA">
              <w:t>/</w:t>
            </w:r>
            <w:proofErr w:type="gramStart"/>
            <w:r w:rsidR="001A0A30">
              <w:t>d</w:t>
            </w:r>
            <w:r w:rsidR="00FF4FDB">
              <w:t>.</w:t>
            </w:r>
            <w:proofErr w:type="gramEnd"/>
          </w:p>
          <w:p w14:paraId="3124ED79" w14:textId="77777777" w:rsidR="003E1287" w:rsidRDefault="003E1287" w:rsidP="00051D2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04C643B" w14:textId="40412316" w:rsidR="00051D20" w:rsidRDefault="008D306E" w:rsidP="00051D2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8D306E">
              <w:t>Not Classifiable as a Human Carcinogen</w:t>
            </w:r>
            <w:r w:rsidR="001A0A30">
              <w:t xml:space="preserve"> (</w:t>
            </w:r>
            <w:r w:rsidR="001A0A30" w:rsidRPr="008D306E">
              <w:t>A4</w:t>
            </w:r>
            <w:r w:rsidR="001A0A30">
              <w:t>)</w:t>
            </w:r>
            <w:r w:rsidR="00DD1E74">
              <w:t>.</w:t>
            </w:r>
          </w:p>
          <w:p w14:paraId="75CFD710" w14:textId="77777777" w:rsidR="008D306E" w:rsidRDefault="008D306E" w:rsidP="00051D2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Insufficient data to recommend a skin or sensitiser notation.</w:t>
            </w:r>
          </w:p>
          <w:p w14:paraId="0CE4D35D" w14:textId="556DF153" w:rsidR="003E1287" w:rsidRPr="00DA352E" w:rsidRDefault="003E1287" w:rsidP="00051D2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74F8B79" w14:textId="77777777" w:rsidTr="00BC45C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02C9828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26E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726ECA">
                  <w:t>NA</w:t>
                </w:r>
                <w:proofErr w:type="spellEnd"/>
              </w:sdtContent>
            </w:sdt>
          </w:p>
        </w:tc>
      </w:tr>
      <w:tr w:rsidR="00C978F0" w:rsidRPr="00DA352E" w14:paraId="4433014F" w14:textId="77777777" w:rsidTr="00BC45C5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1064F822" w:rsidR="00C978F0" w:rsidRPr="00DA352E" w:rsidRDefault="00726ECA" w:rsidP="003365A5">
            <w:pPr>
              <w:pStyle w:val="Tabletextprimarysource"/>
            </w:pPr>
            <w:r>
              <w:t>No report</w:t>
            </w:r>
            <w:r w:rsidR="00DD1E74">
              <w:t>.</w:t>
            </w:r>
          </w:p>
        </w:tc>
      </w:tr>
      <w:tr w:rsidR="00C978F0" w:rsidRPr="00DA352E" w14:paraId="0E6A0B2C" w14:textId="77777777" w:rsidTr="00BC45C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5BE4B6C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26E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26ECA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BC45C5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0C8FE481" w:rsidR="00C978F0" w:rsidRPr="00DA352E" w:rsidRDefault="00726ECA" w:rsidP="003365A5">
            <w:pPr>
              <w:pStyle w:val="Tabletextprimarysource"/>
            </w:pPr>
            <w:r>
              <w:t>No report</w:t>
            </w:r>
            <w:r w:rsidR="00DD1E74">
              <w:t>.</w:t>
            </w:r>
          </w:p>
        </w:tc>
      </w:tr>
      <w:tr w:rsidR="00DA352E" w:rsidRPr="00DA352E" w14:paraId="12BAB90D" w14:textId="77777777" w:rsidTr="00BC45C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BFA13E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26E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26ECA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BC45C5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073DEC87" w:rsidR="00DA352E" w:rsidRPr="00DA352E" w:rsidRDefault="00726ECA" w:rsidP="003365A5">
            <w:pPr>
              <w:pStyle w:val="Tabletextprimarysource"/>
            </w:pPr>
            <w:r>
              <w:t>No report</w:t>
            </w:r>
            <w:r w:rsidR="00DD1E74">
              <w:t>.</w:t>
            </w:r>
          </w:p>
        </w:tc>
      </w:tr>
      <w:tr w:rsidR="00DA352E" w:rsidRPr="00DA352E" w14:paraId="605F758C" w14:textId="77777777" w:rsidTr="00BC45C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2CA501B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26E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726ECA">
                  <w:t>NA</w:t>
                </w:r>
                <w:proofErr w:type="spellEnd"/>
              </w:sdtContent>
            </w:sdt>
          </w:p>
        </w:tc>
      </w:tr>
      <w:tr w:rsidR="00DA352E" w:rsidRPr="00DA352E" w14:paraId="7050CB3E" w14:textId="77777777" w:rsidTr="00BC45C5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6DA7AB57" w:rsidR="00DA352E" w:rsidRPr="00DA352E" w:rsidRDefault="00726ECA" w:rsidP="003365A5">
            <w:pPr>
              <w:pStyle w:val="Tabletextprimarysource"/>
            </w:pPr>
            <w:r>
              <w:t>No report</w:t>
            </w:r>
            <w:r w:rsidR="00DD1E74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AE89AB3" w14:textId="77777777" w:rsidTr="00BC4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BC45C5">
        <w:trPr>
          <w:cantSplit/>
        </w:trPr>
        <w:tc>
          <w:tcPr>
            <w:tcW w:w="1497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37DAB09E" w14:textId="0166146B" w:rsidR="004966BF" w:rsidRPr="00CE617F" w:rsidRDefault="00BC45C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5600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55CF33C2" w:rsidR="004966BF" w:rsidRPr="004C23F4" w:rsidRDefault="0065600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4" w:type="dxa"/>
          </w:tcPr>
          <w:p w14:paraId="721B1719" w14:textId="77777777" w:rsidR="004966BF" w:rsidRDefault="008D306E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BE5194">
              <w:rPr>
                <w:vertAlign w:val="subscript"/>
              </w:rPr>
              <w:t>50</w:t>
            </w:r>
            <w:r>
              <w:t>: &gt;2,000 mg/kg (rats, dermal)</w:t>
            </w:r>
          </w:p>
          <w:p w14:paraId="5FD1554D" w14:textId="469F2D2C" w:rsidR="008D306E" w:rsidRDefault="008D306E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skin sensiti</w:t>
            </w:r>
            <w:r w:rsidR="00DD1E74">
              <w:t>s</w:t>
            </w:r>
            <w:r>
              <w:t>ation tests on guinea pigs</w:t>
            </w:r>
          </w:p>
          <w:p w14:paraId="2E97CC15" w14:textId="75F7029A" w:rsidR="008D306E" w:rsidRDefault="00656004" w:rsidP="008E7E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1 mg/m</w:t>
            </w:r>
            <w:r w:rsidRPr="00BE5194">
              <w:rPr>
                <w:vertAlign w:val="superscript"/>
              </w:rPr>
              <w:t>3</w:t>
            </w:r>
            <w:r>
              <w:t xml:space="preserve"> aerosol (dogs, </w:t>
            </w:r>
            <w:r w:rsidR="00D242DA">
              <w:t>290-</w:t>
            </w:r>
            <w:r>
              <w:t>d, inhalation)</w:t>
            </w:r>
            <w:r w:rsidRPr="00656004">
              <w:t xml:space="preserve"> epithelial changes </w:t>
            </w:r>
            <w:r>
              <w:t>in</w:t>
            </w:r>
            <w:r w:rsidRPr="00656004">
              <w:t xml:space="preserve"> hyperplastic foci in the respiratory region of the nasal cavity</w:t>
            </w:r>
            <w:r>
              <w:t xml:space="preserve"> and </w:t>
            </w:r>
            <w:r w:rsidRPr="00656004">
              <w:t>increase in the conciliated cell numbers in the membranous portion of the trachea</w:t>
            </w:r>
          </w:p>
          <w:p w14:paraId="0076C2F1" w14:textId="0C9ADE3F" w:rsidR="008D306E" w:rsidRPr="004C23F4" w:rsidRDefault="00656004" w:rsidP="008E7E1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Negative results in genotoxic assay</w:t>
            </w:r>
            <w:r w:rsidR="003E1287">
              <w:t>.</w:t>
            </w:r>
            <w:r w:rsidR="008D306E">
              <w:t xml:space="preserve"> </w:t>
            </w:r>
          </w:p>
        </w:tc>
      </w:tr>
      <w:tr w:rsidR="004966BF" w:rsidRPr="004C23F4" w14:paraId="61B5CF9D" w14:textId="77777777" w:rsidTr="00BC45C5">
        <w:trPr>
          <w:cantSplit/>
        </w:trPr>
        <w:tc>
          <w:tcPr>
            <w:tcW w:w="1497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1B271840" w14:textId="1645E207" w:rsidR="004966BF" w:rsidRPr="00CE617F" w:rsidRDefault="00BC45C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E519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58A1DCDD" w:rsidR="004966BF" w:rsidRPr="004C23F4" w:rsidRDefault="00BE519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5C689328" w14:textId="77777777" w:rsidR="004966BF" w:rsidRDefault="00656004" w:rsidP="008E7E1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BE5194">
              <w:t>LD</w:t>
            </w:r>
            <w:r w:rsidRPr="00BE5194">
              <w:rPr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male 1,420 mg/kg</w:t>
            </w:r>
            <w:r w:rsidR="00BE5194">
              <w:rPr>
                <w:rStyle w:val="checkbox"/>
                <w:rFonts w:ascii="Arial" w:hAnsi="Arial" w:cs="Arial"/>
              </w:rPr>
              <w:t>, female 1,630 (rats, oral)</w:t>
            </w:r>
          </w:p>
          <w:p w14:paraId="412578AD" w14:textId="77777777" w:rsidR="00BE5194" w:rsidRDefault="00BE5194" w:rsidP="008E7E1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LC</w:t>
            </w:r>
            <w:r w:rsidRPr="00BE5194">
              <w:rPr>
                <w:vertAlign w:val="subscript"/>
              </w:rPr>
              <w:t>50</w:t>
            </w:r>
            <w:r w:rsidRPr="00BE5194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5,500 mg/m</w:t>
            </w:r>
            <w:r w:rsidRPr="00BE5194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(rats, 4 hr)</w:t>
            </w:r>
          </w:p>
          <w:p w14:paraId="5C19B807" w14:textId="490508DB" w:rsidR="00BE5194" w:rsidRPr="00BE5194" w:rsidRDefault="00BE5194" w:rsidP="008E7E1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 xml:space="preserve">Negative results </w:t>
            </w:r>
            <w:r w:rsidRPr="00DD1E74">
              <w:rPr>
                <w:i/>
                <w:iCs/>
              </w:rPr>
              <w:t>in vivo</w:t>
            </w:r>
            <w:r>
              <w:t xml:space="preserve"> and </w:t>
            </w:r>
            <w:r w:rsidRPr="00DD1E74">
              <w:rPr>
                <w:i/>
                <w:iCs/>
              </w:rPr>
              <w:t>in vitro</w:t>
            </w:r>
            <w:r>
              <w:t xml:space="preserve"> assays</w:t>
            </w:r>
            <w:r w:rsidR="003E1287">
              <w:t>.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B60443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1F9C7170" w:rsidR="002E0D61" w:rsidRDefault="00B6044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B6044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72C1E318" w:rsidR="008A36CF" w:rsidRPr="006901A2" w:rsidRDefault="00B6044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BC4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BC45C5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4A24FC7E" w:rsidR="00687890" w:rsidRPr="00DD2F9B" w:rsidRDefault="00726ECA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BC45C5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0D12A1DE" w:rsidR="007925F0" w:rsidRPr="00DD2F9B" w:rsidRDefault="009F7E32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C1044B3" w14:textId="77777777" w:rsidTr="00BC45C5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2BFB092" w:rsidR="00AF483F" w:rsidRPr="00DD2F9B" w:rsidRDefault="009F7E32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812F0EC" w14:textId="77777777" w:rsidTr="00BC45C5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3A0C670D" w:rsidR="00687890" w:rsidRPr="00DD2F9B" w:rsidRDefault="009F7E3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BC45C5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29DF98D8" w:rsidR="00E41A26" w:rsidRPr="00DD2F9B" w:rsidRDefault="009F7E32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BC45C5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3B12F4B" w:rsidR="002E0D61" w:rsidRPr="00DD2F9B" w:rsidRDefault="009F7E32" w:rsidP="00DD2F9B">
            <w:pPr>
              <w:pStyle w:val="Tablefont"/>
            </w:pPr>
            <w:r w:rsidRPr="009F7E32">
              <w:t>Carcinogenicity – A4</w:t>
            </w:r>
          </w:p>
        </w:tc>
      </w:tr>
      <w:tr w:rsidR="002E0D61" w:rsidRPr="004C23F4" w14:paraId="43FA3590" w14:textId="77777777" w:rsidTr="00BC45C5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C745F07" w:rsidR="002E0D61" w:rsidRPr="00DD2F9B" w:rsidRDefault="009F7E3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BC45C5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1DBAC02E" w:rsidR="002E0D61" w:rsidRPr="00DD2F9B" w:rsidRDefault="009F7E3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BC45C5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2175D60B" w:rsidR="002E0D61" w:rsidRPr="00DD2F9B" w:rsidRDefault="009F7E3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BC45C5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165F62B" w:rsidR="00386093" w:rsidRPr="00DD2F9B" w:rsidRDefault="009F7E3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BC45C5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4F7A971B" w:rsidR="00386093" w:rsidRPr="00DD2F9B" w:rsidRDefault="009F7E3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5" w:type="dxa"/>
              <w:tblLook w:val="04A0" w:firstRow="1" w:lastRow="0" w:firstColumn="1" w:lastColumn="0" w:noHBand="0" w:noVBand="1"/>
            </w:tblPr>
            <w:tblGrid>
              <w:gridCol w:w="3765"/>
              <w:gridCol w:w="900"/>
              <w:gridCol w:w="900"/>
              <w:gridCol w:w="3240"/>
            </w:tblGrid>
            <w:tr w:rsidR="00B60443" w:rsidRPr="00B60443" w14:paraId="7C597A92" w14:textId="77777777" w:rsidTr="00B60443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09E8B5" w14:textId="77777777" w:rsidR="00B60443" w:rsidRPr="00B60443" w:rsidRDefault="00B60443" w:rsidP="00B6044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31269F" w14:textId="77777777" w:rsidR="00B60443" w:rsidRPr="00B60443" w:rsidRDefault="00B60443" w:rsidP="00B6044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A36473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15C94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60443" w:rsidRPr="00B60443" w14:paraId="6BDE6E00" w14:textId="77777777" w:rsidTr="00B60443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C026F5" w14:textId="77777777" w:rsidR="00B60443" w:rsidRPr="00B60443" w:rsidRDefault="00B60443" w:rsidP="00B6044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A3387A" w14:textId="77777777" w:rsidR="00B60443" w:rsidRPr="00B60443" w:rsidRDefault="00B60443" w:rsidP="00B6044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BA985A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73B473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60443" w:rsidRPr="00B60443" w14:paraId="106861FC" w14:textId="77777777" w:rsidTr="00B60443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2EE81D" w14:textId="77777777" w:rsidR="00B60443" w:rsidRPr="00B60443" w:rsidRDefault="00B60443" w:rsidP="00B6044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8B92F3" w14:textId="77777777" w:rsidR="00B60443" w:rsidRPr="00B60443" w:rsidRDefault="00B60443" w:rsidP="00B6044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915C20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882E62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60443" w:rsidRPr="00B60443" w14:paraId="4C6A287D" w14:textId="77777777" w:rsidTr="00B60443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83C81B" w14:textId="77777777" w:rsidR="00B60443" w:rsidRPr="00B60443" w:rsidRDefault="00B60443" w:rsidP="00B6044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A07931" w14:textId="77777777" w:rsidR="00B60443" w:rsidRPr="00B60443" w:rsidRDefault="00B60443" w:rsidP="00B6044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562E49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3A6610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60443" w:rsidRPr="00B60443" w14:paraId="152CDB05" w14:textId="77777777" w:rsidTr="00B60443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A0117D" w14:textId="77777777" w:rsidR="00B60443" w:rsidRPr="00B60443" w:rsidRDefault="00B60443" w:rsidP="00B6044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CBA63A" w14:textId="77777777" w:rsidR="00B60443" w:rsidRPr="00B60443" w:rsidRDefault="00B60443" w:rsidP="00B6044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B4D34A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1A9E05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60443" w:rsidRPr="00B60443" w14:paraId="249E364A" w14:textId="77777777" w:rsidTr="00B60443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DB00F1" w14:textId="77777777" w:rsidR="00B60443" w:rsidRPr="00B60443" w:rsidRDefault="00B60443" w:rsidP="00B6044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C00B40" w14:textId="77777777" w:rsidR="00B60443" w:rsidRPr="00B60443" w:rsidRDefault="00B60443" w:rsidP="00B6044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7C46BB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B23B6A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60443" w:rsidRPr="00B60443" w14:paraId="456F9ABD" w14:textId="77777777" w:rsidTr="00B60443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95741F" w14:textId="77777777" w:rsidR="00B60443" w:rsidRPr="00B60443" w:rsidRDefault="00B60443" w:rsidP="00B6044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94AECA" w14:textId="77777777" w:rsidR="00B60443" w:rsidRPr="00B60443" w:rsidRDefault="00B60443" w:rsidP="00B6044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0259F1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41553B" w14:textId="77777777" w:rsidR="00B60443" w:rsidRPr="00B60443" w:rsidRDefault="00B60443" w:rsidP="00B6044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B6044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1721E355" w:rsidR="00EB3D1B" w:rsidRDefault="009F7E3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4386E606" w:rsidR="001B79E5" w:rsidRDefault="009F7E32" w:rsidP="001B79E5">
                <w:pPr>
                  <w:pStyle w:val="Tablefont"/>
                </w:pPr>
                <w:r w:rsidRPr="009F7E32">
                  <w:t>190.10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BC45C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D94FE62" w14:textId="0F0584B6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9F7E32" w:rsidRPr="009F7E32">
        <w:t>2013</w:t>
      </w:r>
      <w:r>
        <w:t xml:space="preserve">) </w:t>
      </w:r>
      <w:proofErr w:type="spellStart"/>
      <w:r w:rsidR="009F7E32" w:rsidRPr="009F7E32">
        <w:t>Sulfites</w:t>
      </w:r>
      <w:proofErr w:type="spellEnd"/>
      <w:r w:rsidR="009F7E32" w:rsidRPr="009F7E32">
        <w:t>: Human health tier II assessment</w:t>
      </w:r>
      <w:r>
        <w:t xml:space="preserve"> – IMAP report.</w:t>
      </w:r>
    </w:p>
    <w:p w14:paraId="417B0753" w14:textId="27E2E661" w:rsidR="008E4F1F" w:rsidRPr="00351FE0" w:rsidRDefault="009F7E32" w:rsidP="00084859">
      <w:r>
        <w:t>European Chemicals Agency (ECHA) (</w:t>
      </w:r>
      <w:r w:rsidR="00DD1E74">
        <w:t>2020</w:t>
      </w:r>
      <w:r>
        <w:t xml:space="preserve">) </w:t>
      </w:r>
      <w:r w:rsidRPr="009F7E32">
        <w:t>Sodium metabisulphite</w:t>
      </w:r>
      <w:r>
        <w:t xml:space="preserve"> – REACH assessment.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066D" w14:textId="77777777" w:rsidR="006C4CE6" w:rsidRDefault="006C4CE6" w:rsidP="00F43AD5">
      <w:pPr>
        <w:spacing w:after="0" w:line="240" w:lineRule="auto"/>
      </w:pPr>
      <w:r>
        <w:separator/>
      </w:r>
    </w:p>
  </w:endnote>
  <w:endnote w:type="continuationSeparator" w:id="0">
    <w:p w14:paraId="1DB45B16" w14:textId="77777777" w:rsidR="006C4CE6" w:rsidRDefault="006C4CE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41D06" w14:textId="77777777" w:rsidR="00BC45C5" w:rsidRDefault="00BC4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4E84584C" w:rsidR="008A36CF" w:rsidRDefault="00726ECA" w:rsidP="0034744C">
        <w:pPr>
          <w:pStyle w:val="Footer"/>
          <w:rPr>
            <w:sz w:val="18"/>
            <w:szCs w:val="18"/>
          </w:rPr>
        </w:pPr>
        <w:r w:rsidRPr="00726ECA">
          <w:rPr>
            <w:b/>
            <w:sz w:val="18"/>
            <w:szCs w:val="18"/>
          </w:rPr>
          <w:t>Sodium metabisulphite</w:t>
        </w:r>
        <w:r w:rsidR="008A36CF">
          <w:rPr>
            <w:b/>
            <w:sz w:val="18"/>
            <w:szCs w:val="18"/>
          </w:rPr>
          <w:t xml:space="preserve"> (</w:t>
        </w:r>
        <w:r w:rsidRPr="00726ECA">
          <w:rPr>
            <w:b/>
            <w:sz w:val="18"/>
            <w:szCs w:val="18"/>
          </w:rPr>
          <w:t>7681-57-4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DD1E74">
          <w:rPr>
            <w:sz w:val="18"/>
            <w:szCs w:val="18"/>
          </w:rPr>
          <w:t>20</w:t>
        </w:r>
      </w:p>
      <w:p w14:paraId="2D517F5E" w14:textId="14D92809" w:rsidR="008A36CF" w:rsidRPr="00F43AD5" w:rsidRDefault="008A36CF" w:rsidP="00DD1E74">
        <w:pPr>
          <w:pStyle w:val="Footer"/>
          <w:jc w:val="center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E5689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61C4" w14:textId="77777777" w:rsidR="00BC45C5" w:rsidRDefault="00BC4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2196" w14:textId="77777777" w:rsidR="006C4CE6" w:rsidRDefault="006C4CE6" w:rsidP="00F43AD5">
      <w:pPr>
        <w:spacing w:after="0" w:line="240" w:lineRule="auto"/>
      </w:pPr>
      <w:r>
        <w:separator/>
      </w:r>
    </w:p>
  </w:footnote>
  <w:footnote w:type="continuationSeparator" w:id="0">
    <w:p w14:paraId="686E73CA" w14:textId="77777777" w:rsidR="006C4CE6" w:rsidRDefault="006C4CE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8A52" w14:textId="77777777" w:rsidR="00BC45C5" w:rsidRDefault="00BC4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899AB" w14:textId="2046556A" w:rsidR="00BC45C5" w:rsidRDefault="00BC45C5" w:rsidP="00BC45C5">
    <w:pPr>
      <w:pStyle w:val="Header"/>
      <w:jc w:val="right"/>
    </w:pPr>
    <w:r>
      <w:pict w14:anchorId="23CE1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5252CE8" wp14:editId="5031C458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0B64599A" w:rsidR="008A36CF" w:rsidRPr="00BC45C5" w:rsidRDefault="008A36CF" w:rsidP="00BC4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B731" w14:textId="77777777" w:rsidR="00BC45C5" w:rsidRDefault="00BC45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D9A6" w14:textId="0C799FBD" w:rsidR="00BC45C5" w:rsidRDefault="00BC45C5" w:rsidP="00BC45C5">
    <w:pPr>
      <w:pStyle w:val="Header"/>
      <w:jc w:val="right"/>
    </w:pPr>
    <w:bookmarkStart w:id="5" w:name="_GoBack"/>
    <w:bookmarkEnd w:id="5"/>
    <w:r>
      <w:pict w14:anchorId="609D9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7B594DE" wp14:editId="7E0B2439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02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7D656B"/>
    <w:multiLevelType w:val="hybridMultilevel"/>
    <w:tmpl w:val="EE747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1D20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1BCF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0A30"/>
    <w:rsid w:val="001A0B51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6B8A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7407"/>
    <w:rsid w:val="002E0D61"/>
    <w:rsid w:val="002E1CF6"/>
    <w:rsid w:val="002E4C7B"/>
    <w:rsid w:val="0030740C"/>
    <w:rsid w:val="00315833"/>
    <w:rsid w:val="003215EE"/>
    <w:rsid w:val="003224BF"/>
    <w:rsid w:val="003241A8"/>
    <w:rsid w:val="003253F0"/>
    <w:rsid w:val="003337DA"/>
    <w:rsid w:val="00333D3D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128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689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212E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004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4CE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6ECA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86CC1"/>
    <w:rsid w:val="00791847"/>
    <w:rsid w:val="007925F0"/>
    <w:rsid w:val="007939B3"/>
    <w:rsid w:val="0079509C"/>
    <w:rsid w:val="00796457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0FBE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5E95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306E"/>
    <w:rsid w:val="008D4B8B"/>
    <w:rsid w:val="008D5A78"/>
    <w:rsid w:val="008E4F1F"/>
    <w:rsid w:val="008E7B64"/>
    <w:rsid w:val="008E7E11"/>
    <w:rsid w:val="008F42A6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0B5D"/>
    <w:rsid w:val="009D3B5A"/>
    <w:rsid w:val="009E0073"/>
    <w:rsid w:val="009E0C05"/>
    <w:rsid w:val="009E0D1C"/>
    <w:rsid w:val="009E2214"/>
    <w:rsid w:val="009E355A"/>
    <w:rsid w:val="009E63E2"/>
    <w:rsid w:val="009F04D2"/>
    <w:rsid w:val="009F05CF"/>
    <w:rsid w:val="009F0F3A"/>
    <w:rsid w:val="009F7E32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0443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45C5"/>
    <w:rsid w:val="00BD499F"/>
    <w:rsid w:val="00BD56DE"/>
    <w:rsid w:val="00BE5194"/>
    <w:rsid w:val="00BF0711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2527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242DA"/>
    <w:rsid w:val="00D31357"/>
    <w:rsid w:val="00D33220"/>
    <w:rsid w:val="00D334D1"/>
    <w:rsid w:val="00D44C89"/>
    <w:rsid w:val="00D516CD"/>
    <w:rsid w:val="00D668E6"/>
    <w:rsid w:val="00D70670"/>
    <w:rsid w:val="00D70FDF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1E74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15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6DC5"/>
    <w:rsid w:val="00F970C9"/>
    <w:rsid w:val="00FA06A8"/>
    <w:rsid w:val="00FA3276"/>
    <w:rsid w:val="00FA3DF5"/>
    <w:rsid w:val="00FA741F"/>
    <w:rsid w:val="00FB4E07"/>
    <w:rsid w:val="00FB755A"/>
    <w:rsid w:val="00FC60A2"/>
    <w:rsid w:val="00FD1871"/>
    <w:rsid w:val="00FD3110"/>
    <w:rsid w:val="00FD7496"/>
    <w:rsid w:val="00FF4FD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131BC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FD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162F39"/>
    <w:rsid w:val="00347D16"/>
    <w:rsid w:val="003E0149"/>
    <w:rsid w:val="006B6EEB"/>
    <w:rsid w:val="00755FB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AC191011DA0346E38613E52A1C73CC3B">
    <w:name w:val="AC191011DA0346E38613E52A1C73CC3B"/>
    <w:rsid w:val="006B6EEB"/>
  </w:style>
  <w:style w:type="paragraph" w:customStyle="1" w:styleId="D58369F43FF04881AECFE15CA96DA7F3">
    <w:name w:val="D58369F43FF04881AECFE15CA96DA7F3"/>
    <w:rsid w:val="006B6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7884-EBA6-45EC-95B4-4D0C5C202BF4}">
  <ds:schemaRefs>
    <ds:schemaRef ds:uri="http://schemas.microsoft.com/office/infopath/2007/PartnerControls"/>
    <ds:schemaRef ds:uri="http://schemas.openxmlformats.org/package/2006/metadata/core-properties"/>
    <ds:schemaRef ds:uri="bf54d604-3e62-4e70-ba33-9e9084b96a66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3E115B-791E-4C6F-B0B6-78A3E45EF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EA428-116A-4189-BF7C-A13883957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D7DBD-0E47-460C-B679-B4F0011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2020-03-10T04:39:00Z</dcterms:created>
  <dcterms:modified xsi:type="dcterms:W3CDTF">2020-07-21T01:21:00Z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