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542E8E72" w:rsidR="00BD499F" w:rsidRPr="004C23F4" w:rsidRDefault="00B54CFE" w:rsidP="00B40C60">
          <w:pPr>
            <w:pStyle w:val="Heading1"/>
            <w:jc w:val="center"/>
            <w:rPr>
              <w:rFonts w:ascii="Arial" w:hAnsi="Arial" w:cs="Arial"/>
            </w:rPr>
          </w:pPr>
          <w:r w:rsidRPr="00B54CFE">
            <w:rPr>
              <w:rFonts w:ascii="Arial" w:hAnsi="Arial" w:cs="Arial"/>
            </w:rPr>
            <w:t>Starch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9"/>
        <w:gridCol w:w="5037"/>
      </w:tblGrid>
      <w:tr w:rsidR="00F43AD5" w:rsidRPr="004C23F4" w14:paraId="189D6E38" w14:textId="77777777" w:rsidTr="00B76A41">
        <w:trPr>
          <w:cantSplit/>
          <w:tblHeader/>
        </w:trPr>
        <w:tc>
          <w:tcPr>
            <w:tcW w:w="4077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3EDBFD9E" w14:textId="7B5B2056" w:rsidR="00F43AD5" w:rsidRPr="00717D45" w:rsidRDefault="004160A6" w:rsidP="00B76A41">
            <w:pPr>
              <w:pStyle w:val="Tablefont"/>
            </w:pPr>
            <w:r w:rsidRPr="004160A6">
              <w:t>9005-25-8</w:t>
            </w:r>
          </w:p>
        </w:tc>
      </w:tr>
      <w:tr w:rsidR="00F43AD5" w:rsidRPr="004C23F4" w14:paraId="562A9F51" w14:textId="77777777" w:rsidTr="00B76A41">
        <w:trPr>
          <w:cantSplit/>
        </w:trPr>
        <w:tc>
          <w:tcPr>
            <w:tcW w:w="4077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32648AB9" w14:textId="3F39BE96" w:rsidR="00F43AD5" w:rsidRPr="00717D45" w:rsidRDefault="004160A6" w:rsidP="00B76A41">
            <w:pPr>
              <w:pStyle w:val="Tablefont"/>
            </w:pPr>
            <w:proofErr w:type="spellStart"/>
            <w:r>
              <w:t>Amylum</w:t>
            </w:r>
            <w:proofErr w:type="spellEnd"/>
          </w:p>
        </w:tc>
      </w:tr>
      <w:tr w:rsidR="00F43AD5" w:rsidRPr="004C23F4" w14:paraId="6EE54A08" w14:textId="77777777" w:rsidTr="00B76A41">
        <w:trPr>
          <w:cantSplit/>
        </w:trPr>
        <w:tc>
          <w:tcPr>
            <w:tcW w:w="4077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69369B00" w14:textId="3F0B3D70" w:rsidR="00F43AD5" w:rsidRPr="00717D45" w:rsidRDefault="004160A6" w:rsidP="00B76A41">
            <w:pPr>
              <w:pStyle w:val="Tablefont"/>
            </w:pPr>
            <w:r>
              <w:t>(C</w:t>
            </w:r>
            <w:r w:rsidRPr="004160A6">
              <w:rPr>
                <w:vertAlign w:val="subscript"/>
              </w:rPr>
              <w:t>6</w:t>
            </w:r>
            <w:r>
              <w:t>H</w:t>
            </w:r>
            <w:r w:rsidRPr="004160A6">
              <w:rPr>
                <w:vertAlign w:val="subscript"/>
              </w:rPr>
              <w:t>10</w:t>
            </w:r>
            <w:r>
              <w:t>O</w:t>
            </w:r>
            <w:proofErr w:type="gramStart"/>
            <w:r w:rsidRPr="004160A6">
              <w:rPr>
                <w:vertAlign w:val="subscript"/>
              </w:rPr>
              <w:t>5</w:t>
            </w:r>
            <w:r>
              <w:t>)</w:t>
            </w:r>
            <w:r w:rsidRPr="004160A6">
              <w:rPr>
                <w:vertAlign w:val="subscript"/>
              </w:rPr>
              <w:t>n</w:t>
            </w:r>
            <w:proofErr w:type="gramEnd"/>
          </w:p>
        </w:tc>
      </w:tr>
      <w:tr w:rsidR="00F43AD5" w:rsidRPr="004C23F4" w14:paraId="7AD5A991" w14:textId="77777777" w:rsidTr="00B76A41">
        <w:trPr>
          <w:cantSplit/>
        </w:trPr>
        <w:tc>
          <w:tcPr>
            <w:tcW w:w="4077" w:type="dxa"/>
          </w:tcPr>
          <w:p w14:paraId="6D55F87C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162A9653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71D72173" w14:textId="4ADBD21E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0C154A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7496BDF5" w:rsidR="002C7AFE" w:rsidRPr="00585187" w:rsidRDefault="00030124" w:rsidP="00017C82">
            <w:pPr>
              <w:pStyle w:val="Tablefont"/>
              <w:rPr>
                <w:b/>
              </w:rPr>
            </w:pPr>
            <w:r w:rsidRPr="00B65B7B">
              <w:rPr>
                <w:b/>
              </w:rPr>
              <w:t>10 mg/m</w:t>
            </w:r>
            <w:r w:rsidRPr="00B65B7B">
              <w:rPr>
                <w:b/>
                <w:vertAlign w:val="superscript"/>
              </w:rPr>
              <w:t>3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155999" w:rsidRPr="004C23F4" w14:paraId="27D0E012" w14:textId="77777777" w:rsidTr="004549A3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12CC3929" w:rsidR="00155999" w:rsidRPr="00EB3D1B" w:rsidRDefault="00155999" w:rsidP="00037E52">
            <w:pPr>
              <w:pStyle w:val="Tablefont"/>
              <w:rPr>
                <w:b/>
              </w:rPr>
            </w:pPr>
            <w:r w:rsidRPr="00B65B7B">
              <w:rPr>
                <w:b/>
              </w:rPr>
              <w:t>Sampling and analysis</w:t>
            </w:r>
            <w:r>
              <w:t>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E907B0" w:rsidRPr="00B65B7B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6D7D7AF" w14:textId="22349A92" w:rsidR="006639B4" w:rsidRPr="004C23F4" w:rsidRDefault="00030124" w:rsidP="000C139A">
      <w:pPr>
        <w:rPr>
          <w:rFonts w:cs="Arial"/>
        </w:rPr>
      </w:pPr>
      <w:r w:rsidRPr="009E0073">
        <w:rPr>
          <w:rFonts w:cs="Arial"/>
        </w:rPr>
        <w:t xml:space="preserve">A TWA of </w:t>
      </w:r>
      <w:r w:rsidR="00E907B0">
        <w:rPr>
          <w:rFonts w:cs="Arial"/>
        </w:rPr>
        <w:t>10</w:t>
      </w:r>
      <w:r>
        <w:rPr>
          <w:rFonts w:cs="Arial"/>
        </w:rPr>
        <w:t xml:space="preserve"> mg/m</w:t>
      </w:r>
      <w:r w:rsidRPr="009E0073">
        <w:rPr>
          <w:rFonts w:cs="Arial"/>
          <w:vertAlign w:val="superscript"/>
        </w:rPr>
        <w:t>3</w:t>
      </w:r>
      <w:r>
        <w:rPr>
          <w:rFonts w:cs="Arial"/>
        </w:rPr>
        <w:t xml:space="preserve"> </w:t>
      </w:r>
      <w:r w:rsidRPr="009E0073">
        <w:rPr>
          <w:rFonts w:cs="Arial"/>
        </w:rPr>
        <w:t xml:space="preserve">is recommended to protect for </w:t>
      </w:r>
      <w:r>
        <w:t xml:space="preserve">dermatitis and the aggravation of existing pulmonary </w:t>
      </w:r>
      <w:r w:rsidR="00585187">
        <w:t xml:space="preserve">(lung) </w:t>
      </w:r>
      <w:r>
        <w:t>disease</w:t>
      </w:r>
      <w:r w:rsidRPr="009E0073">
        <w:rPr>
          <w:rFonts w:cs="Arial"/>
        </w:rPr>
        <w:t xml:space="preserve"> in exposed workers.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27C53DB5" w14:textId="77777777" w:rsidR="00585187" w:rsidRDefault="00030124" w:rsidP="006639B4">
      <w:pPr>
        <w:rPr>
          <w:rFonts w:cs="Arial"/>
        </w:rPr>
      </w:pPr>
      <w:r w:rsidRPr="00030124">
        <w:rPr>
          <w:rFonts w:cs="Arial"/>
        </w:rPr>
        <w:t>Starch</w:t>
      </w:r>
      <w:r>
        <w:rPr>
          <w:rFonts w:cs="Arial"/>
        </w:rPr>
        <w:t xml:space="preserve"> is primarily used in</w:t>
      </w:r>
      <w:r w:rsidRPr="00030124">
        <w:rPr>
          <w:rFonts w:cs="Arial"/>
        </w:rPr>
        <w:t xml:space="preserve"> </w:t>
      </w:r>
      <w:r>
        <w:rPr>
          <w:rFonts w:cs="Arial"/>
        </w:rPr>
        <w:t xml:space="preserve">in textiles, printing, mining, adhesives, explosives, cosmetics, food products and as lubricant in surgical gloves. </w:t>
      </w:r>
    </w:p>
    <w:p w14:paraId="4E3CB1C4" w14:textId="77777777" w:rsidR="00900759" w:rsidRDefault="00030124" w:rsidP="006639B4">
      <w:pPr>
        <w:rPr>
          <w:rFonts w:cs="Arial"/>
        </w:rPr>
      </w:pPr>
      <w:r>
        <w:rPr>
          <w:rFonts w:cs="Arial"/>
        </w:rPr>
        <w:t>C</w:t>
      </w:r>
      <w:r w:rsidRPr="00612AF7">
        <w:rPr>
          <w:rFonts w:cs="Arial"/>
        </w:rPr>
        <w:t xml:space="preserve">ritical effects </w:t>
      </w:r>
      <w:r w:rsidR="00C240BD">
        <w:rPr>
          <w:rFonts w:cs="Arial"/>
        </w:rPr>
        <w:t xml:space="preserve">of exposure </w:t>
      </w:r>
      <w:r w:rsidRPr="00612AF7">
        <w:rPr>
          <w:rFonts w:cs="Arial"/>
        </w:rPr>
        <w:t>are</w:t>
      </w:r>
      <w:r>
        <w:rPr>
          <w:rFonts w:cs="Arial"/>
        </w:rPr>
        <w:t xml:space="preserve"> </w:t>
      </w:r>
      <w:r>
        <w:t>dermatitis and the aggravation of existing pulmonary disease.</w:t>
      </w:r>
      <w:r w:rsidR="00585187">
        <w:rPr>
          <w:rFonts w:cs="Arial"/>
        </w:rPr>
        <w:t xml:space="preserve"> </w:t>
      </w:r>
    </w:p>
    <w:p w14:paraId="33927A7E" w14:textId="1C323C36" w:rsidR="00585187" w:rsidRDefault="00030124" w:rsidP="006639B4">
      <w:pPr>
        <w:rPr>
          <w:rFonts w:cs="Arial"/>
        </w:rPr>
      </w:pPr>
      <w:r>
        <w:rPr>
          <w:rFonts w:cs="Arial"/>
        </w:rPr>
        <w:t xml:space="preserve">Limited data from human and animal studies indicate that </w:t>
      </w:r>
      <w:r w:rsidR="00C240BD">
        <w:rPr>
          <w:rFonts w:cs="Arial"/>
        </w:rPr>
        <w:t>s</w:t>
      </w:r>
      <w:r w:rsidRPr="00030124">
        <w:rPr>
          <w:rFonts w:cs="Arial"/>
        </w:rPr>
        <w:t>tarch</w:t>
      </w:r>
      <w:r>
        <w:rPr>
          <w:rFonts w:cs="Arial"/>
        </w:rPr>
        <w:t xml:space="preserve"> has negligible acute, chronic and dermal toxicity (ACGIH 2018, </w:t>
      </w:r>
      <w:r>
        <w:t>HCOTN 2002</w:t>
      </w:r>
      <w:r>
        <w:rPr>
          <w:rFonts w:cs="Arial"/>
        </w:rPr>
        <w:t xml:space="preserve">). </w:t>
      </w:r>
    </w:p>
    <w:p w14:paraId="7F360A5D" w14:textId="6483603B" w:rsidR="00E907B0" w:rsidRPr="004C23F4" w:rsidRDefault="00E907B0" w:rsidP="006639B4">
      <w:pPr>
        <w:rPr>
          <w:rFonts w:cs="Arial"/>
        </w:rPr>
      </w:pPr>
      <w:r w:rsidRPr="00D261A4">
        <w:rPr>
          <w:rFonts w:cs="Arial"/>
        </w:rPr>
        <w:t xml:space="preserve">Given the absence of available exposure data, the TWA of </w:t>
      </w:r>
      <w:r>
        <w:rPr>
          <w:rFonts w:cs="Arial"/>
        </w:rPr>
        <w:t>10 mg/m</w:t>
      </w:r>
      <w:r w:rsidRPr="009E0073">
        <w:rPr>
          <w:rFonts w:cs="Arial"/>
          <w:vertAlign w:val="superscript"/>
        </w:rPr>
        <w:t>3</w:t>
      </w:r>
      <w:r>
        <w:rPr>
          <w:rFonts w:cs="Arial"/>
        </w:rPr>
        <w:t xml:space="preserve"> </w:t>
      </w:r>
      <w:r w:rsidR="00900759" w:rsidRPr="00D261A4">
        <w:rPr>
          <w:rFonts w:cs="Arial"/>
        </w:rPr>
        <w:t>by ACGIH</w:t>
      </w:r>
      <w:r w:rsidR="00900759">
        <w:rPr>
          <w:rFonts w:cs="Arial"/>
        </w:rPr>
        <w:t xml:space="preserve"> (2018) </w:t>
      </w:r>
      <w:r w:rsidRPr="00D261A4">
        <w:rPr>
          <w:rFonts w:cs="Arial"/>
        </w:rPr>
        <w:t xml:space="preserve">is recommended to be retained to limit irritant effects. </w:t>
      </w:r>
    </w:p>
    <w:p w14:paraId="273B44AD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7C6755E" w14:textId="77777777" w:rsidR="008E4F1F" w:rsidRPr="00030124" w:rsidRDefault="008E4F1F" w:rsidP="008E4F1F">
      <w:pPr>
        <w:rPr>
          <w:rFonts w:cs="Arial"/>
        </w:rPr>
      </w:pPr>
      <w:r w:rsidRPr="00030124">
        <w:rPr>
          <w:rFonts w:cs="Arial"/>
        </w:rPr>
        <w:t>Not classified as a carcinogen according to the Globally Harmonized System of</w:t>
      </w:r>
      <w:r w:rsidR="00155999" w:rsidRPr="00030124">
        <w:rPr>
          <w:rFonts w:cs="Arial"/>
        </w:rPr>
        <w:t xml:space="preserve"> Classification and Labelling of</w:t>
      </w:r>
      <w:r w:rsidRPr="00030124">
        <w:rPr>
          <w:rFonts w:cs="Arial"/>
        </w:rPr>
        <w:t xml:space="preserve"> Chemicals (GHS). </w:t>
      </w:r>
    </w:p>
    <w:p w14:paraId="03916CCC" w14:textId="77777777" w:rsidR="008E4F1F" w:rsidRPr="00030124" w:rsidRDefault="008E4F1F" w:rsidP="008E4F1F">
      <w:pPr>
        <w:rPr>
          <w:rFonts w:cs="Arial"/>
        </w:rPr>
      </w:pPr>
      <w:r w:rsidRPr="00030124">
        <w:rPr>
          <w:rFonts w:cs="Arial"/>
        </w:rPr>
        <w:t xml:space="preserve">Not classified as a skin </w:t>
      </w:r>
      <w:r w:rsidR="00155999" w:rsidRPr="00030124">
        <w:rPr>
          <w:rFonts w:cs="Arial"/>
        </w:rPr>
        <w:t xml:space="preserve">sensitiser </w:t>
      </w:r>
      <w:r w:rsidRPr="00030124">
        <w:rPr>
          <w:rFonts w:cs="Arial"/>
        </w:rPr>
        <w:t>or respiratory sensitiser according to the GHS.</w:t>
      </w:r>
    </w:p>
    <w:p w14:paraId="7D0772D2" w14:textId="5FAE213F" w:rsidR="004529F0" w:rsidRPr="004C23F4" w:rsidRDefault="00C240BD" w:rsidP="008E4F1F">
      <w:pPr>
        <w:rPr>
          <w:rFonts w:cs="Arial"/>
        </w:rPr>
      </w:pPr>
      <w:r>
        <w:rPr>
          <w:rFonts w:cs="Arial"/>
        </w:rPr>
        <w:t>There are i</w:t>
      </w:r>
      <w:r w:rsidR="008E4F1F" w:rsidRPr="00030124">
        <w:rPr>
          <w:rFonts w:cs="Arial"/>
        </w:rPr>
        <w:t xml:space="preserve">nsufficient </w:t>
      </w:r>
      <w:r>
        <w:rPr>
          <w:rFonts w:cs="Arial"/>
        </w:rPr>
        <w:t>data</w:t>
      </w:r>
      <w:r w:rsidR="008E4F1F" w:rsidRPr="00030124">
        <w:rPr>
          <w:rFonts w:cs="Arial"/>
        </w:rPr>
        <w:t xml:space="preserve"> to recommend a skin notation.</w:t>
      </w:r>
      <w:r w:rsidR="004A5A90">
        <w:rPr>
          <w:rFonts w:cs="Arial"/>
        </w:rPr>
        <w:t xml:space="preserve"> </w:t>
      </w:r>
      <w:r w:rsidR="004A5A90" w:rsidRPr="00D261A4">
        <w:rPr>
          <w:rFonts w:cs="Arial"/>
        </w:rPr>
        <w:t xml:space="preserve">A review of additional data sources is recommended at the next scheduled review to address </w:t>
      </w:r>
      <w:r w:rsidR="007F68A1">
        <w:rPr>
          <w:rFonts w:cs="Arial"/>
        </w:rPr>
        <w:t>reports</w:t>
      </w:r>
      <w:r w:rsidR="004A5A90">
        <w:rPr>
          <w:rFonts w:cs="Arial"/>
        </w:rPr>
        <w:t xml:space="preserve"> of chronic dermatitis.</w:t>
      </w:r>
    </w:p>
    <w:p w14:paraId="21CCE2A5" w14:textId="77777777" w:rsidR="0025734A" w:rsidRPr="004C23F4" w:rsidRDefault="0025734A">
      <w:pPr>
        <w:rPr>
          <w:rFonts w:cs="Arial"/>
        </w:rPr>
      </w:pPr>
    </w:p>
    <w:p w14:paraId="4C1F8D4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83266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832661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27B3A8" w14:textId="772DCF92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4160A6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4160A6">
                  <w:t>TWA: 10 mg/m</w:t>
                </w:r>
                <w:r w:rsidR="004160A6" w:rsidRPr="004160A6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6087DDB" w14:textId="77777777" w:rsidTr="00832661">
        <w:trPr>
          <w:gridAfter w:val="1"/>
          <w:wAfter w:w="8" w:type="pct"/>
          <w:cantSplit/>
        </w:trPr>
        <w:tc>
          <w:tcPr>
            <w:tcW w:w="4992" w:type="pct"/>
          </w:tcPr>
          <w:p w14:paraId="1137D58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4593221" w14:textId="77777777" w:rsidTr="00832661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ED10929" w14:textId="514F801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4160A6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4160A6">
                  <w:t>TLV-TWA: 10 mg/m</w:t>
                </w:r>
                <w:r w:rsidR="004160A6" w:rsidRPr="004160A6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418D532D" w14:textId="77777777" w:rsidTr="00832661">
        <w:trPr>
          <w:gridAfter w:val="1"/>
          <w:wAfter w:w="8" w:type="pct"/>
          <w:cantSplit/>
        </w:trPr>
        <w:tc>
          <w:tcPr>
            <w:tcW w:w="4992" w:type="pct"/>
          </w:tcPr>
          <w:p w14:paraId="237603E7" w14:textId="19347B43" w:rsidR="00236488" w:rsidRDefault="00236488" w:rsidP="00236488">
            <w:pPr>
              <w:pStyle w:val="Tabletextprimarysource"/>
            </w:pPr>
            <w:r>
              <w:t>TLV-TWA recommended to minimise the risk of dermatitis and the aggravation of existing pulmonary disease in exposed workers</w:t>
            </w:r>
          </w:p>
          <w:p w14:paraId="018083AC" w14:textId="20488574" w:rsidR="00236488" w:rsidRDefault="00236488" w:rsidP="00236488">
            <w:pPr>
              <w:pStyle w:val="Tabletextprimarysource"/>
            </w:pPr>
            <w:r>
              <w:t>Summary of dat</w:t>
            </w:r>
            <w:r w:rsidR="00900759">
              <w:t>a</w:t>
            </w:r>
            <w:r w:rsidR="00D8019E">
              <w:t>:</w:t>
            </w:r>
          </w:p>
          <w:p w14:paraId="7932A560" w14:textId="13C927CA" w:rsidR="00236488" w:rsidRDefault="00236488" w:rsidP="00236488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Human data:</w:t>
            </w:r>
          </w:p>
          <w:p w14:paraId="77FE15F9" w14:textId="239BB608" w:rsidR="00236488" w:rsidRDefault="00236488" w:rsidP="00B65B7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Handling of starch products can cause chronic occupational dermatitis</w:t>
            </w:r>
          </w:p>
          <w:p w14:paraId="25676A87" w14:textId="4F7AB3FE" w:rsidR="00236488" w:rsidRDefault="008F669B" w:rsidP="00B65B7B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Dermal exposure to 300 </w:t>
            </w:r>
            <w:r w:rsidR="00C240BD">
              <w:rPr>
                <w:rFonts w:cs="Arial"/>
              </w:rPr>
              <w:t>µ</w:t>
            </w:r>
            <w:r>
              <w:t>g intermittently over 3 d resulted in mild erythema and oedema</w:t>
            </w:r>
            <w:r w:rsidR="00E01200">
              <w:t>.</w:t>
            </w:r>
          </w:p>
          <w:p w14:paraId="010C1199" w14:textId="27082D00" w:rsidR="00236488" w:rsidRDefault="00236488" w:rsidP="00236488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Animal data:</w:t>
            </w:r>
          </w:p>
          <w:p w14:paraId="2A67A96E" w14:textId="0D697972" w:rsidR="00236488" w:rsidRDefault="008F669B" w:rsidP="00B65B7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Exposure at 20% body weight</w:t>
            </w:r>
            <w:r w:rsidR="005816D8">
              <w:t xml:space="preserve"> (oral)</w:t>
            </w:r>
            <w:r>
              <w:t xml:space="preserve"> produced </w:t>
            </w:r>
            <w:r w:rsidR="00900759">
              <w:t xml:space="preserve">few </w:t>
            </w:r>
            <w:r>
              <w:t>signs of intoxication (no further details provided)</w:t>
            </w:r>
          </w:p>
          <w:p w14:paraId="2DED10A7" w14:textId="3BBF5573" w:rsidR="00236488" w:rsidRDefault="008F669B" w:rsidP="00B65B7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Pr="008F669B">
              <w:rPr>
                <w:vertAlign w:val="subscript"/>
              </w:rPr>
              <w:t>50</w:t>
            </w:r>
            <w:r>
              <w:t>: 6,600 mg/kg (mice, intraperitoneal)</w:t>
            </w:r>
          </w:p>
          <w:p w14:paraId="2F67ADEE" w14:textId="2264B9CF" w:rsidR="00236488" w:rsidRDefault="00900759" w:rsidP="00B65B7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NOAEL i</w:t>
            </w:r>
            <w:r w:rsidR="008F669B">
              <w:t xml:space="preserve">n a 2 </w:t>
            </w:r>
            <w:proofErr w:type="spellStart"/>
            <w:r w:rsidR="008F669B">
              <w:t>yr</w:t>
            </w:r>
            <w:proofErr w:type="spellEnd"/>
            <w:r w:rsidR="008F669B">
              <w:t xml:space="preserve"> dietary study </w:t>
            </w:r>
            <w:r w:rsidR="00461DE9">
              <w:t>rats fed 30% starch and a 3-generation study with rats fed 10% starch resulted in no observed adverse effects</w:t>
            </w:r>
            <w:r w:rsidR="00C240BD">
              <w:t>.</w:t>
            </w:r>
          </w:p>
          <w:p w14:paraId="3CF8372E" w14:textId="77777777" w:rsidR="00236488" w:rsidRDefault="00236488" w:rsidP="00236488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5774E38D" w14:textId="75ABFE00" w:rsidR="00236488" w:rsidRDefault="00236488" w:rsidP="00D8019E">
            <w:pPr>
              <w:pStyle w:val="ListBullet"/>
              <w:numPr>
                <w:ilvl w:val="0"/>
                <w:numId w:val="0"/>
              </w:numPr>
              <w:spacing w:before="240"/>
              <w:ind w:left="360" w:hanging="360"/>
            </w:pPr>
            <w:r w:rsidRPr="008D306E">
              <w:t>Not Classifiable as a Human Carcinogen</w:t>
            </w:r>
            <w:r w:rsidR="00900759">
              <w:t xml:space="preserve"> (</w:t>
            </w:r>
            <w:r w:rsidR="00900759" w:rsidRPr="008D306E">
              <w:t>A4</w:t>
            </w:r>
            <w:r w:rsidR="00900759">
              <w:t>)</w:t>
            </w:r>
            <w:r w:rsidR="00D8019E">
              <w:t>.</w:t>
            </w:r>
          </w:p>
          <w:p w14:paraId="223CCE34" w14:textId="77777777" w:rsidR="00236488" w:rsidRDefault="00236488" w:rsidP="00236488">
            <w:pPr>
              <w:pStyle w:val="Tabletextprimarysource"/>
            </w:pPr>
            <w:r>
              <w:t>Insufficient data to recommend a skin or sensitiser notation.</w:t>
            </w:r>
          </w:p>
          <w:p w14:paraId="0CE4D35D" w14:textId="5AE870D0" w:rsidR="00E01200" w:rsidRPr="00DA352E" w:rsidRDefault="00E01200" w:rsidP="00236488">
            <w:pPr>
              <w:pStyle w:val="Tabletextprimarysource"/>
            </w:pPr>
          </w:p>
        </w:tc>
      </w:tr>
      <w:tr w:rsidR="00C978F0" w:rsidRPr="00DA352E" w14:paraId="174F8B79" w14:textId="77777777" w:rsidTr="00832661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6DA82B0C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EE349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EE3491">
                  <w:t>NA</w:t>
                </w:r>
                <w:proofErr w:type="spellEnd"/>
              </w:sdtContent>
            </w:sdt>
          </w:p>
        </w:tc>
      </w:tr>
      <w:tr w:rsidR="00C978F0" w:rsidRPr="00DA352E" w14:paraId="4433014F" w14:textId="77777777" w:rsidTr="00832661">
        <w:trPr>
          <w:gridAfter w:val="1"/>
          <w:wAfter w:w="8" w:type="pct"/>
          <w:cantSplit/>
        </w:trPr>
        <w:tc>
          <w:tcPr>
            <w:tcW w:w="4992" w:type="pct"/>
          </w:tcPr>
          <w:p w14:paraId="61A64F09" w14:textId="2B740B3C" w:rsidR="00C978F0" w:rsidRPr="00DA352E" w:rsidRDefault="00EE3491" w:rsidP="003365A5">
            <w:pPr>
              <w:pStyle w:val="Tabletextprimarysource"/>
            </w:pPr>
            <w:r>
              <w:t>No report</w:t>
            </w:r>
            <w:r w:rsidR="00C240BD">
              <w:t>.</w:t>
            </w:r>
          </w:p>
        </w:tc>
      </w:tr>
      <w:tr w:rsidR="00C978F0" w:rsidRPr="00DA352E" w14:paraId="0E6A0B2C" w14:textId="77777777" w:rsidTr="00832661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15BE635F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EE349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EE3491">
                  <w:t>NA</w:t>
                </w:r>
                <w:proofErr w:type="spellEnd"/>
              </w:sdtContent>
            </w:sdt>
          </w:p>
        </w:tc>
      </w:tr>
      <w:tr w:rsidR="00C978F0" w:rsidRPr="00DA352E" w14:paraId="2008D281" w14:textId="77777777" w:rsidTr="00832661">
        <w:trPr>
          <w:gridAfter w:val="1"/>
          <w:wAfter w:w="8" w:type="pct"/>
          <w:cantSplit/>
        </w:trPr>
        <w:tc>
          <w:tcPr>
            <w:tcW w:w="4992" w:type="pct"/>
          </w:tcPr>
          <w:p w14:paraId="153B53C1" w14:textId="4CA6861E" w:rsidR="00C978F0" w:rsidRPr="00DA352E" w:rsidRDefault="00EE3491" w:rsidP="003365A5">
            <w:pPr>
              <w:pStyle w:val="Tabletextprimarysource"/>
            </w:pPr>
            <w:r>
              <w:t>No report</w:t>
            </w:r>
            <w:r w:rsidR="00C240BD">
              <w:t>.</w:t>
            </w:r>
          </w:p>
        </w:tc>
      </w:tr>
      <w:tr w:rsidR="00DA352E" w:rsidRPr="00DA352E" w14:paraId="12BAB90D" w14:textId="77777777" w:rsidTr="00832661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5C4492E6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EE349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EE3491">
                  <w:t>NA</w:t>
                </w:r>
                <w:proofErr w:type="spellEnd"/>
              </w:sdtContent>
            </w:sdt>
          </w:p>
        </w:tc>
      </w:tr>
      <w:tr w:rsidR="00DA352E" w:rsidRPr="00DA352E" w14:paraId="33AAF4A6" w14:textId="77777777" w:rsidTr="00832661">
        <w:trPr>
          <w:gridAfter w:val="1"/>
          <w:wAfter w:w="8" w:type="pct"/>
          <w:cantSplit/>
        </w:trPr>
        <w:tc>
          <w:tcPr>
            <w:tcW w:w="4992" w:type="pct"/>
          </w:tcPr>
          <w:p w14:paraId="2059E4CB" w14:textId="47E238B6" w:rsidR="00DA352E" w:rsidRPr="00DA352E" w:rsidRDefault="00EE3491" w:rsidP="003365A5">
            <w:pPr>
              <w:pStyle w:val="Tabletextprimarysource"/>
            </w:pPr>
            <w:r>
              <w:t>No report</w:t>
            </w:r>
            <w:r w:rsidR="00C240BD">
              <w:t>.</w:t>
            </w:r>
          </w:p>
        </w:tc>
      </w:tr>
      <w:tr w:rsidR="00DA352E" w:rsidRPr="00DA352E" w14:paraId="605F758C" w14:textId="77777777" w:rsidTr="00832661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38EBC49B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EE3491" w:rsidRPr="00EE3491">
                  <w:t>2002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EE3491" w:rsidRPr="00EE3491">
                  <w:t>TWA</w:t>
                </w:r>
                <w:r w:rsidR="00EE3491">
                  <w:t>: 10 mg/m</w:t>
                </w:r>
                <w:r w:rsidR="00EE3491" w:rsidRPr="00EE3491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7050CB3E" w14:textId="77777777" w:rsidTr="00832661">
        <w:trPr>
          <w:gridAfter w:val="1"/>
          <w:wAfter w:w="8" w:type="pct"/>
          <w:cantSplit/>
        </w:trPr>
        <w:tc>
          <w:tcPr>
            <w:tcW w:w="4992" w:type="pct"/>
          </w:tcPr>
          <w:p w14:paraId="728B95E2" w14:textId="1BE3EB11" w:rsidR="00DA352E" w:rsidRDefault="005816D8" w:rsidP="003365A5">
            <w:pPr>
              <w:pStyle w:val="Tabletextprimarysource"/>
            </w:pPr>
            <w:r w:rsidRPr="005816D8">
              <w:t>The committee considers the toxicological data base on starch too poor to justify recommendation of a health-based occupational exposure limit.</w:t>
            </w:r>
          </w:p>
          <w:p w14:paraId="67D5E1E6" w14:textId="18649746" w:rsidR="00461DE9" w:rsidRDefault="005816D8" w:rsidP="003365A5">
            <w:pPr>
              <w:pStyle w:val="Tabletextprimarysource"/>
            </w:pPr>
            <w:r>
              <w:t>Summary of additional data:</w:t>
            </w:r>
          </w:p>
          <w:p w14:paraId="151D1C8E" w14:textId="67AD58D2" w:rsidR="005816D8" w:rsidRDefault="00461DE9" w:rsidP="00B65B7B">
            <w:pPr>
              <w:pStyle w:val="ListBullet"/>
              <w:numPr>
                <w:ilvl w:val="0"/>
                <w:numId w:val="0"/>
              </w:numPr>
            </w:pPr>
            <w:r w:rsidRPr="00461DE9">
              <w:t>Millers and bakers occupationally exposed to grain and flour dusts</w:t>
            </w:r>
            <w:r w:rsidR="005816D8">
              <w:t xml:space="preserve"> at </w:t>
            </w:r>
            <w:r w:rsidRPr="00461DE9">
              <w:t>1.1</w:t>
            </w:r>
            <w:r w:rsidR="00D8019E">
              <w:t>–</w:t>
            </w:r>
            <w:r w:rsidRPr="00461DE9">
              <w:t>14.3 mg/m</w:t>
            </w:r>
            <w:r w:rsidRPr="005816D8">
              <w:rPr>
                <w:vertAlign w:val="superscript"/>
              </w:rPr>
              <w:t>3</w:t>
            </w:r>
            <w:r w:rsidR="005816D8">
              <w:t xml:space="preserve">, total dust </w:t>
            </w:r>
            <w:r w:rsidRPr="00461DE9">
              <w:t>showed significantly higher incidences of coughing and chronic bronchitis compared to a non-exposed reference group</w:t>
            </w:r>
            <w:r w:rsidR="00D8019E">
              <w:t>.</w:t>
            </w:r>
            <w:r w:rsidR="005816D8">
              <w:t xml:space="preserve"> </w:t>
            </w:r>
            <w:r w:rsidR="00D8019E">
              <w:t>F</w:t>
            </w:r>
            <w:r w:rsidR="005816D8" w:rsidRPr="005816D8">
              <w:t xml:space="preserve">lour is a complex product </w:t>
            </w:r>
            <w:r w:rsidR="005816D8">
              <w:t>(</w:t>
            </w:r>
            <w:r w:rsidR="00900759">
              <w:t xml:space="preserve">70% </w:t>
            </w:r>
            <w:r w:rsidR="005816D8">
              <w:t xml:space="preserve">starch), </w:t>
            </w:r>
            <w:r w:rsidR="00900759" w:rsidRPr="005816D8">
              <w:t>12%</w:t>
            </w:r>
            <w:r w:rsidR="00900759">
              <w:t xml:space="preserve"> </w:t>
            </w:r>
            <w:r w:rsidR="005816D8" w:rsidRPr="005816D8">
              <w:t xml:space="preserve">gluten </w:t>
            </w:r>
            <w:r w:rsidR="007F68A1">
              <w:t xml:space="preserve">and </w:t>
            </w:r>
            <w:r w:rsidR="005816D8" w:rsidRPr="005816D8">
              <w:t>may also contain mite dust and endotoxins</w:t>
            </w:r>
            <w:r w:rsidR="007F68A1">
              <w:t>. As such</w:t>
            </w:r>
            <w:r w:rsidR="005816D8" w:rsidRPr="005816D8">
              <w:t xml:space="preserve"> </w:t>
            </w:r>
            <w:r w:rsidR="005816D8">
              <w:t>t</w:t>
            </w:r>
            <w:r w:rsidR="005816D8" w:rsidRPr="005816D8">
              <w:t>he causative role of starch in the observed respiratory symptoms is therefore not clear</w:t>
            </w:r>
            <w:r w:rsidR="007F68A1">
              <w:t>.</w:t>
            </w:r>
          </w:p>
          <w:p w14:paraId="492D7791" w14:textId="535C4057" w:rsidR="00E01200" w:rsidRPr="00DA352E" w:rsidRDefault="00E01200" w:rsidP="00B65B7B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6691F3FF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p w14:paraId="21C7ACE5" w14:textId="44965423" w:rsidR="007E2A4B" w:rsidRDefault="005816D8">
      <w:r>
        <w:t>NIL</w:t>
      </w:r>
      <w:r w:rsidR="00C240BD">
        <w:t>.</w:t>
      </w:r>
    </w:p>
    <w:bookmarkEnd w:id="0"/>
    <w:p w14:paraId="04408E29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328EBB70" w14:textId="77777777" w:rsidTr="005816D8">
        <w:trPr>
          <w:trHeight w:val="454"/>
          <w:tblHeader/>
        </w:trPr>
        <w:tc>
          <w:tcPr>
            <w:tcW w:w="6597" w:type="dxa"/>
            <w:vAlign w:val="center"/>
          </w:tcPr>
          <w:p w14:paraId="3B9A5A8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B8F4675" w14:textId="5DD9DE57" w:rsidR="002E0D61" w:rsidRDefault="005816D8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2618A4C0" w14:textId="77777777" w:rsidTr="005816D8">
        <w:trPr>
          <w:trHeight w:val="454"/>
        </w:trPr>
        <w:tc>
          <w:tcPr>
            <w:tcW w:w="6597" w:type="dxa"/>
            <w:vAlign w:val="center"/>
          </w:tcPr>
          <w:p w14:paraId="28B995B9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72B1B278" w14:textId="25395B27" w:rsidR="008A36CF" w:rsidRDefault="005816D8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B61930" w14:paraId="4D6DDFA3" w14:textId="77777777" w:rsidTr="000616FB">
        <w:trPr>
          <w:trHeight w:val="454"/>
        </w:trPr>
        <w:sdt>
          <w:sdtPr>
            <w:rPr>
              <w:b/>
            </w:rPr>
            <w:id w:val="1830936485"/>
            <w:placeholder>
              <w:docPart w:val="261FD0F98C104EF0932032FB634921E8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18F36B73" w14:textId="2AAA06D2" w:rsidR="00B61930" w:rsidRDefault="00B61930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3F27FA0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832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2" w:name="Notations"/>
            <w:bookmarkStart w:id="3" w:name="_GoBack" w:colFirst="0" w:colLast="2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bookmarkEnd w:id="3"/>
      <w:tr w:rsidR="00687890" w:rsidRPr="004C23F4" w14:paraId="32D44898" w14:textId="77777777" w:rsidTr="00832661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50E5724F" w:rsidR="00687890" w:rsidRPr="00DD2F9B" w:rsidRDefault="00EE3491" w:rsidP="00DD2F9B">
            <w:pPr>
              <w:pStyle w:val="Tablefont"/>
            </w:pPr>
            <w:r w:rsidRPr="00EE3491">
              <w:t>—</w:t>
            </w:r>
          </w:p>
        </w:tc>
      </w:tr>
      <w:tr w:rsidR="007925F0" w:rsidRPr="004C23F4" w14:paraId="2A0C13EF" w14:textId="77777777" w:rsidTr="00832661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4DA01" w14:textId="34C7EDD6" w:rsidR="007925F0" w:rsidRPr="00DD2F9B" w:rsidRDefault="00EE3491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4C1044B3" w14:textId="77777777" w:rsidTr="00832661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01393061" w:rsidR="00AF483F" w:rsidRPr="00DD2F9B" w:rsidRDefault="00EE3491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812F0EC" w14:textId="77777777" w:rsidTr="00832661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66687444" w:rsidR="00687890" w:rsidRPr="00DD2F9B" w:rsidRDefault="00EE3491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03F0800" w14:textId="77777777" w:rsidTr="00832661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2CF9D479" w:rsidR="00E41A26" w:rsidRPr="00DD2F9B" w:rsidRDefault="00EE3491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7A490EF" w14:textId="77777777" w:rsidTr="00832661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7BBD9F46" w:rsidR="002E0D61" w:rsidRPr="00DD2F9B" w:rsidRDefault="00EE3491" w:rsidP="00DD2F9B">
            <w:pPr>
              <w:pStyle w:val="Tablefont"/>
            </w:pPr>
            <w:r w:rsidRPr="00EE3491">
              <w:t>Carcinogenicity – A4</w:t>
            </w:r>
          </w:p>
        </w:tc>
      </w:tr>
      <w:tr w:rsidR="002E0D61" w:rsidRPr="004C23F4" w14:paraId="43FA3590" w14:textId="77777777" w:rsidTr="00832661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6555DBE" w14:textId="147012D4" w:rsidR="002E0D61" w:rsidRPr="00DD2F9B" w:rsidRDefault="00EE3491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AC7B866" w14:textId="77777777" w:rsidTr="00832661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40313637" w:rsidR="002E0D61" w:rsidRPr="00DD2F9B" w:rsidRDefault="00EE3491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BE6EC07" w14:textId="77777777" w:rsidTr="00832661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0E344FFB" w:rsidR="002E0D61" w:rsidRPr="00DD2F9B" w:rsidRDefault="00EE3491" w:rsidP="00DD2F9B">
            <w:pPr>
              <w:pStyle w:val="Tablefont"/>
            </w:pPr>
            <w:r w:rsidRPr="00EE3491">
              <w:t>—</w:t>
            </w:r>
          </w:p>
        </w:tc>
      </w:tr>
      <w:tr w:rsidR="00386093" w:rsidRPr="004C23F4" w14:paraId="5F6A6A8E" w14:textId="77777777" w:rsidTr="00832661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44044543" w:rsidR="00386093" w:rsidRPr="00DD2F9B" w:rsidRDefault="00EE3491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461DB0E" w14:textId="77777777" w:rsidTr="00832661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0AE6B19F" w:rsidR="00386093" w:rsidRPr="00DD2F9B" w:rsidRDefault="00EE3491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5A9EF4D5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FD5E25" w14:paraId="536E4D13" w14:textId="77777777" w:rsidTr="00FD5E25">
        <w:trPr>
          <w:cantSplit/>
          <w:tblHeader/>
        </w:trPr>
        <w:tc>
          <w:tcPr>
            <w:tcW w:w="5000" w:type="pct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E6713C4" w14:textId="77777777" w:rsidR="00FD5E25" w:rsidRDefault="00FD5E25">
            <w:pPr>
              <w:pStyle w:val="Tableheader"/>
              <w:keepNext/>
              <w:tabs>
                <w:tab w:val="right" w:pos="8800"/>
              </w:tabs>
            </w:pPr>
            <w:r>
              <w:t>Calculation</w:t>
            </w:r>
            <w:r>
              <w:tab/>
            </w:r>
          </w:p>
        </w:tc>
      </w:tr>
      <w:tr w:rsidR="00FD5E25" w14:paraId="27776CCD" w14:textId="77777777" w:rsidTr="00FD5E25">
        <w:trPr>
          <w:cantSplit/>
          <w:tblHeader/>
        </w:trPr>
        <w:tc>
          <w:tcPr>
            <w:tcW w:w="5000" w:type="pct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  <w:hideMark/>
          </w:tcPr>
          <w:p w14:paraId="498FA9F1" w14:textId="77777777" w:rsidR="00FD5E25" w:rsidRDefault="00FD5E25">
            <w:pPr>
              <w:pStyle w:val="Tablefont"/>
            </w:pPr>
            <w:r>
              <w:t>Insufficient data to assign a skin notation.</w:t>
            </w:r>
          </w:p>
        </w:tc>
      </w:tr>
    </w:tbl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13874309" w:rsidR="00EB3D1B" w:rsidRDefault="00EE3491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20151388" w14:textId="77777777" w:rsidTr="00B65B7B">
        <w:trPr>
          <w:cantSplit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31B4AAC1" w:rsidR="001B79E5" w:rsidRDefault="00EE3491" w:rsidP="001B79E5">
                <w:pPr>
                  <w:pStyle w:val="Tablefont"/>
                </w:pPr>
                <w:r w:rsidRPr="00EE3491">
                  <w:t>692.7</w:t>
                </w:r>
              </w:p>
            </w:tc>
          </w:sdtContent>
        </w:sdt>
      </w:tr>
      <w:tr w:rsidR="00A31D99" w:rsidRPr="004C23F4" w14:paraId="4D7C99C9" w14:textId="77777777" w:rsidTr="00B65B7B">
        <w:trPr>
          <w:cantSplit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4400DD3" w14:textId="77777777" w:rsidTr="00B65B7B">
        <w:trPr>
          <w:cantSplit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48B99DA" w14:textId="77777777" w:rsidTr="00B65B7B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B65B7B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lastRenderedPageBreak/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C457149" w14:textId="77777777" w:rsidTr="00B65B7B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77777777" w:rsidR="00E06F40" w:rsidRPr="00A006A0" w:rsidRDefault="00832661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2632AEE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16C487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28EAA9C1" w14:textId="1FBAAEBE" w:rsidR="008E4F1F" w:rsidRDefault="008E4F1F" w:rsidP="008E4F1F">
      <w:pPr>
        <w:rPr>
          <w:b/>
        </w:rPr>
      </w:pPr>
      <w:r w:rsidRPr="002022B6">
        <w:t>Health Council of the Netherlands</w:t>
      </w:r>
      <w:r>
        <w:t xml:space="preserve"> (HCOTN) (</w:t>
      </w:r>
      <w:r w:rsidR="00EE3491" w:rsidRPr="00EE3491">
        <w:t>2002</w:t>
      </w:r>
      <w:r>
        <w:t xml:space="preserve">) </w:t>
      </w:r>
      <w:r w:rsidR="00EE3491" w:rsidRPr="00EE3491">
        <w:t>Starch</w:t>
      </w:r>
      <w:r w:rsidRPr="005F7416">
        <w:t xml:space="preserve">. Health-based calculated occupational cancer risk values. The Hague: Health Council of the Netherlands; publication no. </w:t>
      </w:r>
      <w:r w:rsidR="00EE3491" w:rsidRPr="00EE3491">
        <w:t>2000/15OSH/038</w:t>
      </w:r>
      <w:r>
        <w:t>.</w:t>
      </w:r>
    </w:p>
    <w:p w14:paraId="417B0753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00286" w14:textId="77777777" w:rsidR="00396AD3" w:rsidRDefault="00396AD3" w:rsidP="00F43AD5">
      <w:pPr>
        <w:spacing w:after="0" w:line="240" w:lineRule="auto"/>
      </w:pPr>
      <w:r>
        <w:separator/>
      </w:r>
    </w:p>
  </w:endnote>
  <w:endnote w:type="continuationSeparator" w:id="0">
    <w:p w14:paraId="7BA5CF3A" w14:textId="77777777" w:rsidR="00396AD3" w:rsidRDefault="00396AD3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E7FE9" w14:textId="77777777" w:rsidR="00832661" w:rsidRDefault="00832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9026E62" w14:textId="4E7A9BAE" w:rsidR="008A36CF" w:rsidRDefault="004160A6" w:rsidP="0034744C">
        <w:pPr>
          <w:pStyle w:val="Footer"/>
          <w:rPr>
            <w:sz w:val="18"/>
            <w:szCs w:val="18"/>
          </w:rPr>
        </w:pPr>
        <w:r w:rsidRPr="004160A6">
          <w:rPr>
            <w:b/>
            <w:sz w:val="18"/>
            <w:szCs w:val="18"/>
          </w:rPr>
          <w:t>Starch</w:t>
        </w:r>
        <w:r w:rsidR="008A36CF">
          <w:rPr>
            <w:b/>
            <w:sz w:val="18"/>
            <w:szCs w:val="18"/>
          </w:rPr>
          <w:t xml:space="preserve"> (</w:t>
        </w:r>
        <w:r w:rsidRPr="004160A6">
          <w:rPr>
            <w:b/>
            <w:sz w:val="18"/>
            <w:szCs w:val="18"/>
          </w:rPr>
          <w:t>9005-25-8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</w:t>
        </w:r>
        <w:r w:rsidR="00C240BD">
          <w:rPr>
            <w:sz w:val="18"/>
            <w:szCs w:val="18"/>
          </w:rPr>
          <w:t>20</w:t>
        </w:r>
      </w:p>
      <w:p w14:paraId="2D517F5E" w14:textId="4B0E4E98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C4300F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C5AAC" w14:textId="77777777" w:rsidR="00832661" w:rsidRDefault="00832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D8457" w14:textId="77777777" w:rsidR="00396AD3" w:rsidRDefault="00396AD3" w:rsidP="00F43AD5">
      <w:pPr>
        <w:spacing w:after="0" w:line="240" w:lineRule="auto"/>
      </w:pPr>
      <w:r>
        <w:separator/>
      </w:r>
    </w:p>
  </w:footnote>
  <w:footnote w:type="continuationSeparator" w:id="0">
    <w:p w14:paraId="0FBB5830" w14:textId="77777777" w:rsidR="00396AD3" w:rsidRDefault="00396AD3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4FC5B" w14:textId="77777777" w:rsidR="00832661" w:rsidRDefault="00832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FB0A6" w14:textId="6CA93F6F" w:rsidR="00832661" w:rsidRDefault="00832661" w:rsidP="00832661">
    <w:pPr>
      <w:pStyle w:val="Header"/>
      <w:jc w:val="right"/>
    </w:pPr>
    <w:r>
      <w:pict w14:anchorId="4A59CC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720145CD" wp14:editId="18BED976">
          <wp:extent cx="2947670" cy="600710"/>
          <wp:effectExtent l="0" t="0" r="5080" b="889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A8792" w14:textId="482EE6D1" w:rsidR="008A36CF" w:rsidRPr="00832661" w:rsidRDefault="008A36CF" w:rsidP="00832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2DED7" w14:textId="77777777" w:rsidR="00832661" w:rsidRDefault="0083266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D386B" w14:textId="35B294F4" w:rsidR="00832661" w:rsidRDefault="00832661" w:rsidP="00832661">
    <w:pPr>
      <w:pStyle w:val="Header"/>
      <w:jc w:val="right"/>
    </w:pPr>
    <w:r>
      <w:pict w14:anchorId="27148A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5A225394" wp14:editId="3EA0B0FC">
          <wp:extent cx="2947670" cy="600710"/>
          <wp:effectExtent l="0" t="0" r="5080" b="889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09FB4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72FE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0124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154A"/>
    <w:rsid w:val="000C2053"/>
    <w:rsid w:val="000C248C"/>
    <w:rsid w:val="000D0643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55999"/>
    <w:rsid w:val="00160F47"/>
    <w:rsid w:val="00177CA1"/>
    <w:rsid w:val="00183823"/>
    <w:rsid w:val="00183942"/>
    <w:rsid w:val="001915F6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36488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541D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96AD3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60A6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61DE9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A5A90"/>
    <w:rsid w:val="004C1E3F"/>
    <w:rsid w:val="004C23F4"/>
    <w:rsid w:val="004C3475"/>
    <w:rsid w:val="004C58B6"/>
    <w:rsid w:val="004D16A3"/>
    <w:rsid w:val="004D4AA1"/>
    <w:rsid w:val="004D5037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816D8"/>
    <w:rsid w:val="00585187"/>
    <w:rsid w:val="00591E38"/>
    <w:rsid w:val="005A19C5"/>
    <w:rsid w:val="005A3034"/>
    <w:rsid w:val="005A462D"/>
    <w:rsid w:val="005A591C"/>
    <w:rsid w:val="005B253B"/>
    <w:rsid w:val="005B771D"/>
    <w:rsid w:val="005C5D16"/>
    <w:rsid w:val="005D1A13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7F68A1"/>
    <w:rsid w:val="00804F5A"/>
    <w:rsid w:val="00810C6D"/>
    <w:rsid w:val="00812887"/>
    <w:rsid w:val="00826F21"/>
    <w:rsid w:val="0083266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96819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4F1F"/>
    <w:rsid w:val="008E7B64"/>
    <w:rsid w:val="008F5DCD"/>
    <w:rsid w:val="008F669B"/>
    <w:rsid w:val="00900759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193A"/>
    <w:rsid w:val="00AC32E7"/>
    <w:rsid w:val="00AC3A9F"/>
    <w:rsid w:val="00AC6D2F"/>
    <w:rsid w:val="00AD04FC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54CFE"/>
    <w:rsid w:val="00B61930"/>
    <w:rsid w:val="00B65B7B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240BD"/>
    <w:rsid w:val="00C3091E"/>
    <w:rsid w:val="00C40FF1"/>
    <w:rsid w:val="00C419E2"/>
    <w:rsid w:val="00C4300F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1DF3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CF6965"/>
    <w:rsid w:val="00D048F7"/>
    <w:rsid w:val="00D0517E"/>
    <w:rsid w:val="00D10B0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019E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1200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07B0"/>
    <w:rsid w:val="00E92499"/>
    <w:rsid w:val="00E949AF"/>
    <w:rsid w:val="00E96077"/>
    <w:rsid w:val="00EA0A06"/>
    <w:rsid w:val="00EA6243"/>
    <w:rsid w:val="00EA74AB"/>
    <w:rsid w:val="00EB3D1B"/>
    <w:rsid w:val="00ED1D89"/>
    <w:rsid w:val="00ED57DA"/>
    <w:rsid w:val="00ED66BC"/>
    <w:rsid w:val="00EE3491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D5E25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1D603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236488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12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20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20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200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261FD0F98C104EF0932032FB63492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4685A-6963-43E3-B525-B6D7A29CB1F6}"/>
      </w:docPartPr>
      <w:docPartBody>
        <w:p w:rsidR="00525A90" w:rsidRDefault="000D742F" w:rsidP="000D742F">
          <w:pPr>
            <w:pStyle w:val="261FD0F98C104EF0932032FB634921E8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0B1A46"/>
    <w:rsid w:val="000D742F"/>
    <w:rsid w:val="00110D93"/>
    <w:rsid w:val="00347D16"/>
    <w:rsid w:val="003E0149"/>
    <w:rsid w:val="00525A90"/>
    <w:rsid w:val="00755FBF"/>
    <w:rsid w:val="00CA72D3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742F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261FD0F98C104EF0932032FB634921E8">
    <w:name w:val="261FD0F98C104EF0932032FB634921E8"/>
    <w:rsid w:val="000D74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DD11-84F5-43EB-B3FF-2C51F505A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F7E14-ECD5-4ED1-893A-68407638A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F9429-133E-4308-A5DC-053B1B280378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bf54d604-3e62-4e70-ba33-9e9084b96a6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BF2C671-2CAD-4EA5-87A8-1213E002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2020-03-10T04:39:00Z</dcterms:created>
  <dcterms:modified xsi:type="dcterms:W3CDTF">2020-07-21T01:21:00Z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