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26F0BF3D" w:rsidR="00BD499F" w:rsidRPr="004C23F4" w:rsidRDefault="002E6D17" w:rsidP="00B40C60">
          <w:pPr>
            <w:pStyle w:val="Heading1"/>
            <w:jc w:val="center"/>
            <w:rPr>
              <w:rFonts w:ascii="Arial" w:hAnsi="Arial" w:cs="Arial"/>
            </w:rPr>
          </w:pPr>
          <w:r w:rsidRPr="002E6D17">
            <w:rPr>
              <w:rFonts w:ascii="Arial" w:hAnsi="Arial" w:cs="Arial"/>
            </w:rPr>
            <w:t>Stearates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F43AD5" w:rsidRPr="004C23F4" w14:paraId="189D6E38" w14:textId="77777777" w:rsidTr="00E65133">
        <w:trPr>
          <w:cantSplit/>
          <w:tblHeader/>
        </w:trPr>
        <w:tc>
          <w:tcPr>
            <w:tcW w:w="399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29" w:type="dxa"/>
          </w:tcPr>
          <w:p w14:paraId="3EDBFD9E" w14:textId="0CFE2F14" w:rsidR="00F43AD5" w:rsidRPr="00717D45" w:rsidRDefault="00F85BF3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562A9F51" w14:textId="77777777" w:rsidTr="00E65133">
        <w:trPr>
          <w:cantSplit/>
        </w:trPr>
        <w:tc>
          <w:tcPr>
            <w:tcW w:w="399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29" w:type="dxa"/>
          </w:tcPr>
          <w:p w14:paraId="32648AB9" w14:textId="11AC3269" w:rsidR="00F43AD5" w:rsidRPr="00717D45" w:rsidRDefault="00F85BF3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6EE54A08" w14:textId="77777777" w:rsidTr="00E65133">
        <w:trPr>
          <w:cantSplit/>
        </w:trPr>
        <w:tc>
          <w:tcPr>
            <w:tcW w:w="399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29" w:type="dxa"/>
          </w:tcPr>
          <w:p w14:paraId="69369B00" w14:textId="3A63C2DD" w:rsidR="00F43AD5" w:rsidRPr="00717D45" w:rsidRDefault="00F85BF3" w:rsidP="00B76A41">
            <w:pPr>
              <w:pStyle w:val="Tablefont"/>
            </w:pPr>
            <w:r>
              <w:t>—</w:t>
            </w:r>
          </w:p>
        </w:tc>
      </w:tr>
    </w:tbl>
    <w:p w14:paraId="71D72173" w14:textId="107806A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250A7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7C3A606" w14:textId="1F33205E" w:rsidR="006C66C6" w:rsidRPr="006C66C6" w:rsidRDefault="006C66C6" w:rsidP="00017C82">
            <w:pPr>
              <w:pStyle w:val="Tablefont"/>
              <w:rPr>
                <w:b/>
                <w:bCs/>
              </w:rPr>
            </w:pPr>
            <w:r w:rsidRPr="006C66C6">
              <w:rPr>
                <w:b/>
                <w:bCs/>
              </w:rPr>
              <w:t>10 mg/m</w:t>
            </w:r>
            <w:r w:rsidRPr="006C66C6">
              <w:rPr>
                <w:b/>
                <w:bCs/>
                <w:vertAlign w:val="superscript"/>
              </w:rPr>
              <w:t>3</w:t>
            </w:r>
            <w:r w:rsidRPr="006C66C6">
              <w:rPr>
                <w:b/>
                <w:bCs/>
              </w:rPr>
              <w:t xml:space="preserve"> (</w:t>
            </w:r>
            <w:r w:rsidR="00C83207">
              <w:rPr>
                <w:b/>
                <w:bCs/>
              </w:rPr>
              <w:t xml:space="preserve">as </w:t>
            </w:r>
            <w:r w:rsidRPr="006C66C6">
              <w:rPr>
                <w:b/>
                <w:bCs/>
              </w:rPr>
              <w:t xml:space="preserve">inhalable dust) </w:t>
            </w:r>
          </w:p>
          <w:p w14:paraId="43EB6150" w14:textId="2ACBBC11" w:rsidR="002C7AFE" w:rsidRPr="006C66C6" w:rsidRDefault="006C66C6" w:rsidP="00017C82">
            <w:pPr>
              <w:pStyle w:val="Tablefont"/>
              <w:rPr>
                <w:b/>
                <w:bCs/>
              </w:rPr>
            </w:pPr>
            <w:r w:rsidRPr="006C66C6">
              <w:rPr>
                <w:b/>
                <w:bCs/>
              </w:rPr>
              <w:t>3 mg/m</w:t>
            </w:r>
            <w:r w:rsidRPr="006C66C6">
              <w:rPr>
                <w:b/>
                <w:bCs/>
                <w:vertAlign w:val="superscript"/>
              </w:rPr>
              <w:t>3</w:t>
            </w:r>
            <w:r w:rsidRPr="006C66C6">
              <w:rPr>
                <w:b/>
                <w:bCs/>
              </w:rPr>
              <w:t xml:space="preserve"> (</w:t>
            </w:r>
            <w:r w:rsidR="00C83207">
              <w:rPr>
                <w:b/>
                <w:bCs/>
              </w:rPr>
              <w:t xml:space="preserve">as </w:t>
            </w:r>
            <w:r w:rsidRPr="006C66C6">
              <w:rPr>
                <w:b/>
                <w:bCs/>
              </w:rPr>
              <w:t>respirable dust)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6C66C6" w:rsidRDefault="00037E52" w:rsidP="00037E52">
            <w:pPr>
              <w:pStyle w:val="Tablefont"/>
              <w:rPr>
                <w:b/>
                <w:bCs/>
              </w:rPr>
            </w:pPr>
            <w:r w:rsidRPr="006C66C6">
              <w:rPr>
                <w:b/>
                <w:bCs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6C66C6" w:rsidRDefault="00037E52" w:rsidP="00037E52">
            <w:pPr>
              <w:pStyle w:val="Tablefont"/>
              <w:rPr>
                <w:b/>
                <w:bCs/>
              </w:rPr>
            </w:pPr>
            <w:r w:rsidRPr="006C66C6">
              <w:rPr>
                <w:b/>
                <w:bCs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6C66C6" w:rsidRDefault="00037E52" w:rsidP="00037E52">
            <w:pPr>
              <w:pStyle w:val="Tablefont"/>
              <w:rPr>
                <w:b/>
                <w:bCs/>
              </w:rPr>
            </w:pPr>
            <w:r w:rsidRPr="006C66C6">
              <w:rPr>
                <w:b/>
                <w:bCs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6C66C6" w:rsidRDefault="00037E52" w:rsidP="00037E52">
            <w:pPr>
              <w:pStyle w:val="Tablefont"/>
              <w:rPr>
                <w:b/>
                <w:bCs/>
              </w:rPr>
            </w:pPr>
            <w:r w:rsidRPr="006C66C6">
              <w:rPr>
                <w:b/>
                <w:bCs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286620AA" w:rsidR="00155999" w:rsidRPr="00EB3D1B" w:rsidRDefault="00155999" w:rsidP="00037E52">
            <w:pPr>
              <w:pStyle w:val="Tablefont"/>
              <w:rPr>
                <w:b/>
              </w:rPr>
            </w:pPr>
            <w:r w:rsidRPr="00E65133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C66C6" w:rsidRPr="00E65133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5FB3A6F1" w:rsidR="006639B4" w:rsidRPr="004C23F4" w:rsidRDefault="000C6DF8" w:rsidP="000C139A">
      <w:pPr>
        <w:rPr>
          <w:rFonts w:cs="Arial"/>
        </w:rPr>
      </w:pPr>
      <w:r>
        <w:t>A TWA of 10 mg/m</w:t>
      </w:r>
      <w:r>
        <w:rPr>
          <w:vertAlign w:val="superscript"/>
        </w:rPr>
        <w:t>3</w:t>
      </w:r>
      <w:r w:rsidRPr="000E3D9B">
        <w:t xml:space="preserve"> </w:t>
      </w:r>
      <w:r w:rsidR="00E65133">
        <w:t>for inhalable dust</w:t>
      </w:r>
      <w:r w:rsidR="008250A7">
        <w:t xml:space="preserve"> </w:t>
      </w:r>
      <w:r>
        <w:t>and 3 mg/m</w:t>
      </w:r>
      <w:r>
        <w:rPr>
          <w:vertAlign w:val="superscript"/>
        </w:rPr>
        <w:t>3</w:t>
      </w:r>
      <w:r>
        <w:t xml:space="preserve"> for respirable dust are recommended to protect for adverse effects in the lungs of exposed workers.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F714000" w14:textId="06A3F044" w:rsidR="008541D5" w:rsidRDefault="00C93983" w:rsidP="006639B4">
      <w:r>
        <w:t>Stearates are used in cosmetics, as a stabiliser in plastics (sodium stearate)</w:t>
      </w:r>
      <w:r w:rsidR="00D84B6B">
        <w:t xml:space="preserve">, </w:t>
      </w:r>
      <w:r>
        <w:t>lubricant and dusting agent for rubber</w:t>
      </w:r>
      <w:r w:rsidR="00D84B6B">
        <w:t xml:space="preserve">. It is also used </w:t>
      </w:r>
      <w:r>
        <w:t>to soften polyvinyl chloride (zinc stearate)</w:t>
      </w:r>
      <w:r w:rsidR="006C66C6">
        <w:t>,</w:t>
      </w:r>
      <w:r>
        <w:t xml:space="preserve"> waxes</w:t>
      </w:r>
      <w:r w:rsidR="006C66C6">
        <w:t>,</w:t>
      </w:r>
      <w:r>
        <w:t xml:space="preserve"> pharmaceuticals and waterproofing agents. </w:t>
      </w:r>
    </w:p>
    <w:p w14:paraId="3AF6C047" w14:textId="1D43DC90" w:rsidR="006639B4" w:rsidRDefault="00C93983" w:rsidP="006639B4">
      <w:r>
        <w:t>The critical effects</w:t>
      </w:r>
      <w:r w:rsidR="006C66C6">
        <w:t xml:space="preserve"> of</w:t>
      </w:r>
      <w:r>
        <w:t xml:space="preserve"> exposure are</w:t>
      </w:r>
      <w:r w:rsidR="00B6241B">
        <w:t xml:space="preserve"> lower respiratory tract irritation.</w:t>
      </w:r>
    </w:p>
    <w:p w14:paraId="4BE3D8BB" w14:textId="1E387A8F" w:rsidR="00A553B0" w:rsidRDefault="00B6241B" w:rsidP="00A553B0">
      <w:r>
        <w:t>No data are available f</w:t>
      </w:r>
      <w:r w:rsidR="00E65133">
        <w:t>or</w:t>
      </w:r>
      <w:r>
        <w:t xml:space="preserve"> human exposures to stearates </w:t>
      </w:r>
      <w:r w:rsidR="00E65133">
        <w:t>at</w:t>
      </w:r>
      <w:r>
        <w:t xml:space="preserve"> the workplace.</w:t>
      </w:r>
      <w:r w:rsidR="00A553B0">
        <w:t xml:space="preserve"> One case of pneumoconiosis is reported in a worker who was occupationally exposed to zinc stearate dust for 29</w:t>
      </w:r>
      <w:r w:rsidR="008541D5">
        <w:t> </w:t>
      </w:r>
      <w:r w:rsidR="00A553B0">
        <w:t>years</w:t>
      </w:r>
      <w:r w:rsidR="00E65133">
        <w:t>;</w:t>
      </w:r>
      <w:r w:rsidR="00A553B0">
        <w:t xml:space="preserve"> although airborne concentrations </w:t>
      </w:r>
      <w:r w:rsidR="00E65133">
        <w:t>a</w:t>
      </w:r>
      <w:r w:rsidR="00A553B0">
        <w:t xml:space="preserve">re not </w:t>
      </w:r>
      <w:r w:rsidR="008541D5">
        <w:t>reported</w:t>
      </w:r>
      <w:r w:rsidR="00A553B0">
        <w:t xml:space="preserve">. A separate case study concluded that zinc stearate was not the cause of lung fibrosis in a worker occupationally exposed for </w:t>
      </w:r>
      <w:r w:rsidR="006C66C6">
        <w:t>seven</w:t>
      </w:r>
      <w:r w:rsidR="00A553B0">
        <w:t xml:space="preserve"> years. </w:t>
      </w:r>
      <w:r w:rsidR="008541D5">
        <w:t>S</w:t>
      </w:r>
      <w:r w:rsidR="00A553B0">
        <w:t xml:space="preserve">evere pulmonary infection </w:t>
      </w:r>
      <w:r w:rsidR="00B60437">
        <w:t xml:space="preserve">is reported in a rat feeding study for 209 days </w:t>
      </w:r>
      <w:r w:rsidR="00A553B0">
        <w:t>at a dose of 3</w:t>
      </w:r>
      <w:r w:rsidR="006C66C6">
        <w:t>,</w:t>
      </w:r>
      <w:r w:rsidR="00A553B0">
        <w:t xml:space="preserve">000 ppm, </w:t>
      </w:r>
      <w:r w:rsidR="00B60437">
        <w:t xml:space="preserve">which was </w:t>
      </w:r>
      <w:r w:rsidR="00A553B0">
        <w:t>the only dose used</w:t>
      </w:r>
      <w:r w:rsidR="00B60437">
        <w:t xml:space="preserve"> in this study</w:t>
      </w:r>
      <w:r w:rsidR="008541D5">
        <w:t xml:space="preserve"> </w:t>
      </w:r>
      <w:r w:rsidR="000E3D9B">
        <w:t>(ACGIH, 2018)</w:t>
      </w:r>
      <w:r w:rsidR="00A553B0">
        <w:t xml:space="preserve">. Additionally, the outcome of pulmonary infection </w:t>
      </w:r>
      <w:r w:rsidR="000E3D9B">
        <w:t xml:space="preserve">is considered a secondary </w:t>
      </w:r>
      <w:r w:rsidR="008541D5">
        <w:t>effect involving</w:t>
      </w:r>
      <w:r w:rsidR="000E3D9B">
        <w:t xml:space="preserve"> other unknown factors and not as a direct exposure to stearates. </w:t>
      </w:r>
      <w:r w:rsidR="00A553B0">
        <w:t xml:space="preserve">The evidence from this study </w:t>
      </w:r>
      <w:r w:rsidR="00B60437">
        <w:t xml:space="preserve">is </w:t>
      </w:r>
      <w:r w:rsidR="00A553B0">
        <w:t xml:space="preserve">the basis of </w:t>
      </w:r>
      <w:r w:rsidR="00E65133">
        <w:t>recommendation</w:t>
      </w:r>
      <w:r w:rsidR="006C66C6">
        <w:t xml:space="preserve"> by the </w:t>
      </w:r>
      <w:r w:rsidR="00A553B0">
        <w:t xml:space="preserve">ACGIH (2018), albeit with a rat-to-human dose conversion calculation error that overestimated the toxicity. </w:t>
      </w:r>
    </w:p>
    <w:p w14:paraId="29A6E927" w14:textId="7F337331" w:rsidR="00B6241B" w:rsidRDefault="000E3D9B" w:rsidP="00B6241B">
      <w:r w:rsidRPr="000E3D9B">
        <w:t xml:space="preserve">Given the limited </w:t>
      </w:r>
      <w:r>
        <w:t>available data, the TWA of 10 mg/m</w:t>
      </w:r>
      <w:r>
        <w:rPr>
          <w:vertAlign w:val="superscript"/>
        </w:rPr>
        <w:t>3</w:t>
      </w:r>
      <w:r w:rsidRPr="000E3D9B">
        <w:t xml:space="preserve"> is recommended to be retained</w:t>
      </w:r>
      <w:r>
        <w:t xml:space="preserve"> </w:t>
      </w:r>
      <w:r w:rsidR="00B60437">
        <w:t>for</w:t>
      </w:r>
      <w:r>
        <w:t xml:space="preserve"> inhalable </w:t>
      </w:r>
      <w:r w:rsidR="000C6DF8">
        <w:t>dust</w:t>
      </w:r>
      <w:r>
        <w:t>. A TWA of 3 mg/m</w:t>
      </w:r>
      <w:r>
        <w:rPr>
          <w:vertAlign w:val="superscript"/>
        </w:rPr>
        <w:t>3</w:t>
      </w:r>
      <w:r>
        <w:t xml:space="preserve"> for respirable </w:t>
      </w:r>
      <w:r w:rsidR="000C6DF8">
        <w:t>dust</w:t>
      </w:r>
      <w:r w:rsidRPr="000E3D9B">
        <w:t xml:space="preserve"> </w:t>
      </w:r>
      <w:r>
        <w:t>is also recommended</w:t>
      </w:r>
      <w:r w:rsidR="008541D5">
        <w:t xml:space="preserve"> as derived by ACGIH (2018)</w:t>
      </w:r>
      <w:r>
        <w:t>. These values</w:t>
      </w:r>
      <w:r w:rsidR="00B60437">
        <w:t xml:space="preserve"> are</w:t>
      </w:r>
      <w:r>
        <w:t xml:space="preserve"> adopted directly from ACGIH</w:t>
      </w:r>
      <w:r w:rsidR="005D2841">
        <w:t xml:space="preserve"> (2018)</w:t>
      </w:r>
      <w:r w:rsidR="00B60437">
        <w:t xml:space="preserve"> and</w:t>
      </w:r>
      <w:r>
        <w:t xml:space="preserve"> </w:t>
      </w:r>
      <w:r w:rsidR="000C6DF8">
        <w:t>apply only to stearic acid and magnesium, sodium and zinc stearates. It excludes stearates of other metals. The recommended TWA</w:t>
      </w:r>
      <w:r>
        <w:t xml:space="preserve"> are considered appropriate for non-toxic</w:t>
      </w:r>
      <w:r w:rsidR="000C6DF8">
        <w:t>,</w:t>
      </w:r>
      <w:r>
        <w:t xml:space="preserve"> nuisance dusts such as stearates. </w:t>
      </w:r>
    </w:p>
    <w:p w14:paraId="6E938B30" w14:textId="77777777" w:rsidR="00B6241B" w:rsidRPr="004C23F4" w:rsidRDefault="00B6241B" w:rsidP="006639B4">
      <w:pPr>
        <w:rPr>
          <w:rFonts w:cs="Arial"/>
        </w:rPr>
      </w:pPr>
    </w:p>
    <w:p w14:paraId="273B44AD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7C6755E" w14:textId="77777777" w:rsidR="008E4F1F" w:rsidRPr="00C93983" w:rsidRDefault="008E4F1F" w:rsidP="008E4F1F">
      <w:pPr>
        <w:rPr>
          <w:rFonts w:cs="Arial"/>
        </w:rPr>
      </w:pPr>
      <w:r w:rsidRPr="00C93983">
        <w:rPr>
          <w:rFonts w:cs="Arial"/>
        </w:rPr>
        <w:t>Not classified as a carcinogen according to the Globally Harmonized System of</w:t>
      </w:r>
      <w:r w:rsidR="00155999" w:rsidRPr="00C93983">
        <w:rPr>
          <w:rFonts w:cs="Arial"/>
        </w:rPr>
        <w:t xml:space="preserve"> Classification and Labelling of</w:t>
      </w:r>
      <w:r w:rsidRPr="00C93983">
        <w:rPr>
          <w:rFonts w:cs="Arial"/>
        </w:rPr>
        <w:t xml:space="preserve"> Chemicals (GHS). </w:t>
      </w:r>
    </w:p>
    <w:p w14:paraId="03916CCC" w14:textId="77777777" w:rsidR="008E4F1F" w:rsidRPr="00C93983" w:rsidRDefault="008E4F1F" w:rsidP="008E4F1F">
      <w:pPr>
        <w:rPr>
          <w:rFonts w:cs="Arial"/>
        </w:rPr>
      </w:pPr>
      <w:r w:rsidRPr="00C93983">
        <w:rPr>
          <w:rFonts w:cs="Arial"/>
        </w:rPr>
        <w:t xml:space="preserve">Not classified as a skin </w:t>
      </w:r>
      <w:r w:rsidR="00155999" w:rsidRPr="00C93983">
        <w:rPr>
          <w:rFonts w:cs="Arial"/>
        </w:rPr>
        <w:t xml:space="preserve">sensitiser </w:t>
      </w:r>
      <w:r w:rsidRPr="00C93983">
        <w:rPr>
          <w:rFonts w:cs="Arial"/>
        </w:rPr>
        <w:t>or respiratory sensitiser according to the GHS.</w:t>
      </w:r>
    </w:p>
    <w:p w14:paraId="7D0772D2" w14:textId="5466B3BE" w:rsidR="004529F0" w:rsidRPr="004C23F4" w:rsidRDefault="006C66C6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C93983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C93983">
        <w:rPr>
          <w:rFonts w:cs="Arial"/>
        </w:rPr>
        <w:t xml:space="preserve"> to recommend a skin notation.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C3189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C3189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57269E7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85BF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561DE">
                  <w:t>TWA: 10 mg</w:t>
                </w:r>
                <w:r w:rsidR="00CF1688">
                  <w:t>/m</w:t>
                </w:r>
                <w:r w:rsidR="00CF1688" w:rsidRPr="00CF168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C31897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C3189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8E0B317" w14:textId="2DDC9FD5" w:rsidR="00C978F0" w:rsidRDefault="00DA352E" w:rsidP="00CF168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  <w:tab w:val="left" w:pos="2880"/>
                <w:tab w:val="left" w:pos="3600"/>
                <w:tab w:val="left" w:pos="4320"/>
                <w:tab w:val="left" w:pos="5407"/>
                <w:tab w:val="left" w:pos="5964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F1688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F1688">
                  <w:t>TLV-TWA: 10 mg/m</w:t>
                </w:r>
                <w:r w:rsidR="00CF1688" w:rsidRPr="008D503C">
                  <w:rPr>
                    <w:vertAlign w:val="superscript"/>
                  </w:rPr>
                  <w:t>3</w:t>
                </w:r>
              </w:sdtContent>
            </w:sdt>
            <w:r w:rsidR="00CF1688">
              <w:t xml:space="preserve"> (inhalable particulate matter)</w:t>
            </w:r>
            <w:r w:rsidR="00CF1688">
              <w:tab/>
            </w:r>
          </w:p>
          <w:p w14:paraId="2ED10929" w14:textId="5E4A2E9E" w:rsidR="00CF1688" w:rsidRPr="00DA352E" w:rsidRDefault="00CF1688" w:rsidP="00CF168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  <w:tab w:val="left" w:pos="2880"/>
                <w:tab w:val="left" w:pos="3600"/>
                <w:tab w:val="left" w:pos="4320"/>
                <w:tab w:val="left" w:pos="5964"/>
              </w:tabs>
            </w:pPr>
            <w:r>
              <w:t xml:space="preserve">                                                    TLV-TWA: 3 mg/m</w:t>
            </w:r>
            <w:r w:rsidRPr="008D503C">
              <w:rPr>
                <w:vertAlign w:val="superscript"/>
              </w:rPr>
              <w:t>3</w:t>
            </w:r>
            <w:r>
              <w:t xml:space="preserve"> (respirable particulate matter)</w:t>
            </w:r>
          </w:p>
        </w:tc>
      </w:tr>
      <w:tr w:rsidR="00C978F0" w:rsidRPr="00DA352E" w14:paraId="418D532D" w14:textId="77777777" w:rsidTr="00C31897">
        <w:trPr>
          <w:gridAfter w:val="1"/>
          <w:wAfter w:w="8" w:type="pct"/>
        </w:trPr>
        <w:tc>
          <w:tcPr>
            <w:tcW w:w="4992" w:type="pct"/>
          </w:tcPr>
          <w:p w14:paraId="3C55842E" w14:textId="7C3C3AD3" w:rsidR="003E7B36" w:rsidRDefault="003E7B36" w:rsidP="008D0F05">
            <w:pPr>
              <w:pStyle w:val="Tabletextprimarysource"/>
            </w:pPr>
            <w:r>
              <w:t>TLV-TWAs are recommended to protect for adverse effects in the lungs such as lower respiratory tract irritation.</w:t>
            </w:r>
            <w:r w:rsidR="008D0F05">
              <w:t xml:space="preserve"> A</w:t>
            </w:r>
            <w:r>
              <w:t xml:space="preserve">pplies only to stearic acid and </w:t>
            </w:r>
            <w:r w:rsidR="00E65133">
              <w:t>Mg</w:t>
            </w:r>
            <w:r>
              <w:t xml:space="preserve">, </w:t>
            </w:r>
            <w:r w:rsidR="00E65133">
              <w:t>Na</w:t>
            </w:r>
            <w:r>
              <w:t xml:space="preserve"> and </w:t>
            </w:r>
            <w:r w:rsidR="00E65133">
              <w:t>Zn</w:t>
            </w:r>
            <w:r>
              <w:t xml:space="preserve"> stearates. It excludes stearates of other metals</w:t>
            </w:r>
            <w:r w:rsidR="008D0F05">
              <w:t>.</w:t>
            </w:r>
          </w:p>
          <w:p w14:paraId="6FE30743" w14:textId="77777777" w:rsidR="008D0F05" w:rsidRDefault="008D0F05" w:rsidP="008D0F05">
            <w:pPr>
              <w:pStyle w:val="Tabletextprimarysource"/>
            </w:pPr>
            <w:r>
              <w:t>Summary of data:</w:t>
            </w:r>
          </w:p>
          <w:p w14:paraId="23D560A6" w14:textId="2DA9B833" w:rsidR="008D0F05" w:rsidRDefault="008D0F05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TLV–TWA is based on extrapolation from rat feeding studies that showed severe pulmonary infection at 3</w:t>
            </w:r>
            <w:r w:rsidR="006C66C6">
              <w:t>,</w:t>
            </w:r>
            <w:r>
              <w:t>000 ppm (the only dose used in the study) for 209 d</w:t>
            </w:r>
          </w:p>
          <w:p w14:paraId="64BBF0C0" w14:textId="77777777" w:rsidR="008D503C" w:rsidRDefault="008D0F05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Extrapolatio</w:t>
            </w:r>
            <w:r w:rsidR="008D503C">
              <w:t>n to human inhalation exposures:</w:t>
            </w:r>
          </w:p>
          <w:p w14:paraId="684FF86C" w14:textId="630C46A1" w:rsidR="008D503C" w:rsidRDefault="008D503C" w:rsidP="00E65133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i</w:t>
            </w:r>
            <w:r w:rsidR="008D0F05">
              <w:t xml:space="preserve">n the diet of rats, 3000 ppm is </w:t>
            </w:r>
            <w:r w:rsidR="006C66C6">
              <w:t>~</w:t>
            </w:r>
            <w:r w:rsidR="008D0F05">
              <w:t>150 to 300 mg/kg</w:t>
            </w:r>
            <w:r>
              <w:t>/d; no further information</w:t>
            </w:r>
          </w:p>
          <w:p w14:paraId="58DC703D" w14:textId="68FE80FA" w:rsidR="008D503C" w:rsidRDefault="008D503C" w:rsidP="00E65133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i</w:t>
            </w:r>
            <w:r w:rsidR="008D0F05">
              <w:t xml:space="preserve">f inhaled by workers, </w:t>
            </w:r>
            <w:r w:rsidR="006C66C6">
              <w:rPr>
                <w:rFonts w:cs="Arial"/>
              </w:rPr>
              <w:t>≡</w:t>
            </w:r>
            <w:r w:rsidR="008D0F05">
              <w:t>1</w:t>
            </w:r>
            <w:r w:rsidR="006C66C6">
              <w:t>,</w:t>
            </w:r>
            <w:r w:rsidR="008D0F05">
              <w:t>050 mg</w:t>
            </w:r>
            <w:r>
              <w:t>/d</w:t>
            </w:r>
            <w:r w:rsidR="00594EDF">
              <w:t>; no further information</w:t>
            </w:r>
            <w:r w:rsidR="00B6241B">
              <w:t>; (</w:t>
            </w:r>
            <w:r w:rsidR="00B6241B" w:rsidRPr="00E65133">
              <w:t>this appears to be calculating or administrative error because: assuming 150 mg/kg/d x 70 kg worker= 10</w:t>
            </w:r>
            <w:r w:rsidR="006C66C6" w:rsidRPr="00E65133">
              <w:t>,</w:t>
            </w:r>
            <w:r w:rsidR="00B6241B" w:rsidRPr="00E65133">
              <w:t>500 mg/d)</w:t>
            </w:r>
            <w:r w:rsidR="00B6241B">
              <w:t xml:space="preserve"> </w:t>
            </w:r>
            <w:r w:rsidR="008D0F05">
              <w:t xml:space="preserve"> </w:t>
            </w:r>
          </w:p>
          <w:p w14:paraId="2B2EA524" w14:textId="2AD3E2E3" w:rsidR="008D0F05" w:rsidRPr="008D503C" w:rsidRDefault="008D503C" w:rsidP="00E65133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e</w:t>
            </w:r>
            <w:r w:rsidR="008D0F05">
              <w:t xml:space="preserve">stimating 10 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 breathed per 8</w:t>
            </w:r>
            <w:r w:rsidR="00E65133">
              <w:t xml:space="preserve"> </w:t>
            </w:r>
            <w:r>
              <w:t>h</w:t>
            </w:r>
            <w:r w:rsidR="008D0F05">
              <w:t xml:space="preserve"> workday, </w:t>
            </w:r>
            <w:r w:rsidR="006C66C6">
              <w:rPr>
                <w:rFonts w:cs="Arial"/>
              </w:rPr>
              <w:t>≡</w:t>
            </w:r>
            <w:r w:rsidR="008D0F05">
              <w:t>105 mg</w:t>
            </w:r>
            <w:r>
              <w:t>/m</w:t>
            </w:r>
            <w:r>
              <w:rPr>
                <w:vertAlign w:val="superscript"/>
              </w:rPr>
              <w:t>3</w:t>
            </w:r>
          </w:p>
          <w:p w14:paraId="436757A7" w14:textId="67E9CBD8" w:rsidR="008D503C" w:rsidRDefault="008D503C" w:rsidP="00E65133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based on this calculation, 10 mg/m</w:t>
            </w:r>
            <w:r>
              <w:rPr>
                <w:vertAlign w:val="superscript"/>
              </w:rPr>
              <w:t>3</w:t>
            </w:r>
            <w:r>
              <w:t xml:space="preserve"> (inhalable) and 3 mg/m</w:t>
            </w:r>
            <w:r w:rsidRPr="008D503C">
              <w:rPr>
                <w:vertAlign w:val="superscript"/>
              </w:rPr>
              <w:t>3</w:t>
            </w:r>
            <w:r>
              <w:t xml:space="preserve"> (respirable) are estimated to be protective of adverse effects in most workers</w:t>
            </w:r>
            <w:r w:rsidR="00C93983">
              <w:t>.</w:t>
            </w:r>
          </w:p>
          <w:p w14:paraId="6ED757E4" w14:textId="68472162" w:rsidR="00594EDF" w:rsidRDefault="00594EDF" w:rsidP="00594EDF">
            <w:pPr>
              <w:pStyle w:val="Tabletextprimarysource"/>
            </w:pPr>
            <w:r>
              <w:t>Human data:</w:t>
            </w:r>
          </w:p>
          <w:p w14:paraId="0BD8A95C" w14:textId="7353D374" w:rsidR="00B50EEF" w:rsidRDefault="00B50EEF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data available from human exposures to stearates in the workplace</w:t>
            </w:r>
          </w:p>
          <w:p w14:paraId="44E41E9F" w14:textId="4EF5F7F3" w:rsidR="00B50EEF" w:rsidRDefault="00B50EEF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12 cases of infants who were sickened after aspirating </w:t>
            </w:r>
            <w:r w:rsidR="00E65133">
              <w:t>Zn</w:t>
            </w:r>
            <w:r>
              <w:t xml:space="preserve">-stearate </w:t>
            </w:r>
            <w:r w:rsidR="00A5651C">
              <w:t xml:space="preserve">baby powder, </w:t>
            </w:r>
            <w:r>
              <w:t>including one fatal case</w:t>
            </w:r>
            <w:r w:rsidR="00A5651C">
              <w:t>; no further information</w:t>
            </w:r>
          </w:p>
          <w:p w14:paraId="7F5BF9ED" w14:textId="4D360FAD" w:rsidR="008E7B26" w:rsidRDefault="008E7B26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case of pneumoconiosis is reported in a rubber worker occupationally exposed to </w:t>
            </w:r>
            <w:r w:rsidR="00E65133">
              <w:t xml:space="preserve">Zn </w:t>
            </w:r>
            <w:r w:rsidR="00B74B71">
              <w:t xml:space="preserve">stearate dust for 29 </w:t>
            </w:r>
            <w:proofErr w:type="spellStart"/>
            <w:r w:rsidR="00B74B71">
              <w:t>yr</w:t>
            </w:r>
            <w:proofErr w:type="spellEnd"/>
            <w:r>
              <w:t>; no air concentrations reported</w:t>
            </w:r>
            <w:r w:rsidR="00EE6997">
              <w:t>:</w:t>
            </w:r>
            <w:r>
              <w:t xml:space="preserve"> </w:t>
            </w:r>
          </w:p>
          <w:p w14:paraId="29860802" w14:textId="77777777" w:rsidR="008E7B26" w:rsidRDefault="008E7B26" w:rsidP="00E65133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histological examination of the lungs showed an increase in connective tissue and chronic inflammation</w:t>
            </w:r>
          </w:p>
          <w:p w14:paraId="7D48B37C" w14:textId="2E0436FE" w:rsidR="00A5651C" w:rsidRDefault="008E7B26" w:rsidP="00E65133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numerous “granules and needles” in the fibrotic tissue contain</w:t>
            </w:r>
            <w:r w:rsidR="006C66C6">
              <w:t>ing</w:t>
            </w:r>
            <w:r>
              <w:t xml:space="preserve"> </w:t>
            </w:r>
            <w:r w:rsidR="00E65133">
              <w:t xml:space="preserve">Zn </w:t>
            </w:r>
            <w:r>
              <w:t>found at autopsy</w:t>
            </w:r>
          </w:p>
          <w:p w14:paraId="1CA72C2B" w14:textId="1A892E2F" w:rsidR="00E65133" w:rsidRDefault="00B74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case </w:t>
            </w:r>
            <w:r w:rsidR="006C66C6">
              <w:t xml:space="preserve">of </w:t>
            </w:r>
            <w:r>
              <w:t xml:space="preserve">pulmonary fibrosis in a chemical worker exposed to </w:t>
            </w:r>
            <w:r w:rsidR="00E65133">
              <w:t>Zn</w:t>
            </w:r>
            <w:r>
              <w:t xml:space="preserve"> stearate dust for 7</w:t>
            </w:r>
            <w:r w:rsidR="00C83207">
              <w:t> </w:t>
            </w:r>
            <w:proofErr w:type="spellStart"/>
            <w:r>
              <w:t>yr</w:t>
            </w:r>
            <w:proofErr w:type="spellEnd"/>
            <w:r>
              <w:t xml:space="preserve">; the amount of </w:t>
            </w:r>
            <w:r w:rsidR="00E65133">
              <w:t>Zn</w:t>
            </w:r>
            <w:r>
              <w:t xml:space="preserve"> retained in the lung was not significantly different from that found in lungs of persons not occupationally exposed</w:t>
            </w:r>
            <w:r w:rsidR="003B7A7E">
              <w:t>:</w:t>
            </w:r>
            <w:r>
              <w:t xml:space="preserve"> </w:t>
            </w:r>
          </w:p>
          <w:p w14:paraId="15D1FD9B" w14:textId="0461CDFA" w:rsidR="00B74B71" w:rsidRDefault="00B74B71" w:rsidP="00E6513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the authors concluded </w:t>
            </w:r>
            <w:r w:rsidR="00E65133">
              <w:t>Zn</w:t>
            </w:r>
            <w:r>
              <w:t xml:space="preserve"> stearate not the cause of lung fibrosis in this worker</w:t>
            </w:r>
          </w:p>
          <w:p w14:paraId="60188F79" w14:textId="3FE62AD1" w:rsidR="008E7B26" w:rsidRDefault="00B74B71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Stearates are used in many cosmetic products; contact dermatitis confirmed by patch testing occurred in a </w:t>
            </w:r>
            <w:r w:rsidR="002A1D17">
              <w:t xml:space="preserve">woman of </w:t>
            </w:r>
            <w:r>
              <w:t>61</w:t>
            </w:r>
            <w:r w:rsidR="00E65133">
              <w:t xml:space="preserve"> </w:t>
            </w:r>
            <w:proofErr w:type="spellStart"/>
            <w:r w:rsidR="002A1D17">
              <w:t>yr</w:t>
            </w:r>
            <w:proofErr w:type="spellEnd"/>
            <w:r w:rsidR="002A1D17">
              <w:t xml:space="preserve"> </w:t>
            </w:r>
            <w:r>
              <w:t>with a 20</w:t>
            </w:r>
            <w:r w:rsidR="00E65133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history of dermatitis who used an ostrich oil cream containing sodium stearoyl lactylate</w:t>
            </w:r>
            <w:r w:rsidR="006C66C6">
              <w:t>.</w:t>
            </w:r>
          </w:p>
          <w:p w14:paraId="576B6B3B" w14:textId="77777777" w:rsidR="00B74B71" w:rsidRDefault="00B74B71" w:rsidP="00B74B71">
            <w:pPr>
              <w:pStyle w:val="Tabletextprimarysource"/>
            </w:pPr>
            <w:r>
              <w:t>Animal studies</w:t>
            </w:r>
          </w:p>
          <w:p w14:paraId="20980E11" w14:textId="74068FC4" w:rsidR="00E65133" w:rsidRDefault="00521C1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Z</w:t>
            </w:r>
            <w:r w:rsidR="00E65133">
              <w:t>n</w:t>
            </w:r>
            <w:r>
              <w:t xml:space="preserve"> stearate injected into the peritoneal cavity of guinea pigs produced initial granulomata</w:t>
            </w:r>
            <w:r w:rsidR="003B7A7E">
              <w:t>:</w:t>
            </w:r>
            <w:r>
              <w:t xml:space="preserve"> </w:t>
            </w:r>
          </w:p>
          <w:p w14:paraId="6E47F280" w14:textId="072AFEA8" w:rsidR="00E65133" w:rsidRDefault="00521C15" w:rsidP="00E6513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animals sacrificed at 100 and 105 d had no abnormalities</w:t>
            </w:r>
          </w:p>
          <w:p w14:paraId="0FA4142C" w14:textId="0756786D" w:rsidR="00B74B71" w:rsidRDefault="00521C15" w:rsidP="00E6513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concluded that </w:t>
            </w:r>
            <w:r w:rsidR="00E65133">
              <w:t>Zn</w:t>
            </w:r>
            <w:r>
              <w:t xml:space="preserve"> stearate is acutely irritating but </w:t>
            </w:r>
            <w:r w:rsidR="002A1D17">
              <w:t xml:space="preserve">has </w:t>
            </w:r>
            <w:r>
              <w:t>no long-term effects</w:t>
            </w:r>
          </w:p>
          <w:p w14:paraId="0F7274FE" w14:textId="138B3AB4" w:rsidR="00521C15" w:rsidRDefault="002A1D17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</w:t>
            </w:r>
            <w:r w:rsidR="000E7F7A">
              <w:t>tudies summarised in a review concluded that these compounds are of low toxicity</w:t>
            </w:r>
            <w:r>
              <w:t>,</w:t>
            </w:r>
            <w:r w:rsidR="000E7F7A">
              <w:t xml:space="preserve"> no further information</w:t>
            </w:r>
          </w:p>
          <w:p w14:paraId="6B51EF1E" w14:textId="5FF0B329" w:rsidR="00B6241B" w:rsidRDefault="002A1D17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S</w:t>
            </w:r>
            <w:r w:rsidR="00B6241B">
              <w:t xml:space="preserve">terile </w:t>
            </w:r>
            <w:r w:rsidR="00E65133">
              <w:t>Zn</w:t>
            </w:r>
            <w:r w:rsidR="00B6241B">
              <w:t xml:space="preserve"> stearate was </w:t>
            </w:r>
            <w:proofErr w:type="spellStart"/>
            <w:r w:rsidR="00B6241B">
              <w:t>insufflated</w:t>
            </w:r>
            <w:proofErr w:type="spellEnd"/>
            <w:r w:rsidR="00B6241B">
              <w:t xml:space="preserve"> into the lungs </w:t>
            </w:r>
            <w:r w:rsidR="006C66C6">
              <w:t xml:space="preserve">of </w:t>
            </w:r>
            <w:r w:rsidR="00C83207">
              <w:t xml:space="preserve">soon to be </w:t>
            </w:r>
            <w:r w:rsidR="00B6241B">
              <w:t xml:space="preserve">anesthetised dogs (a bulb on a 1 cm diameter tube squeezed 4–5 times); weight of </w:t>
            </w:r>
            <w:r w:rsidR="00E65133">
              <w:t>Zn</w:t>
            </w:r>
            <w:r w:rsidR="00B6241B">
              <w:t xml:space="preserve"> stearate </w:t>
            </w:r>
            <w:proofErr w:type="spellStart"/>
            <w:r w:rsidR="00B6241B">
              <w:t>insufflated</w:t>
            </w:r>
            <w:proofErr w:type="spellEnd"/>
            <w:r w:rsidR="00B6241B">
              <w:t xml:space="preserve"> was not reported</w:t>
            </w:r>
            <w:r w:rsidR="003B7A7E">
              <w:t>:</w:t>
            </w:r>
          </w:p>
          <w:p w14:paraId="414F3780" w14:textId="77777777" w:rsidR="00B6241B" w:rsidRDefault="00B6241B" w:rsidP="00E65133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the clinical response was from no adverse effect to acute pneumonitis</w:t>
            </w:r>
          </w:p>
          <w:p w14:paraId="17110F08" w14:textId="30161026" w:rsidR="00B6241B" w:rsidRDefault="00B6241B" w:rsidP="00E65133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pathology described as pneumonitis, bronchitis and haemorrhage</w:t>
            </w:r>
            <w:r w:rsidR="002A1D17">
              <w:t xml:space="preserve"> reported in dogs sacrificed 3–10 d after exposure</w:t>
            </w:r>
          </w:p>
          <w:p w14:paraId="047A5E1B" w14:textId="7B65A475" w:rsidR="00B6241B" w:rsidRDefault="00B6241B" w:rsidP="00E65133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the authors attributed the increased pathological effects of </w:t>
            </w:r>
            <w:r w:rsidR="00E65133">
              <w:t>Zn</w:t>
            </w:r>
            <w:r>
              <w:t xml:space="preserve"> stearate compared with talcum powder (talc) to the more adhesive nature of the stearate powder</w:t>
            </w:r>
          </w:p>
          <w:p w14:paraId="60F2ED92" w14:textId="59765CFE" w:rsidR="000E7F7A" w:rsidRDefault="007D4A98" w:rsidP="00E651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fed stearic acid in their diet at 3</w:t>
            </w:r>
            <w:r w:rsidR="00C83207">
              <w:t>,</w:t>
            </w:r>
            <w:r>
              <w:t xml:space="preserve">000 ppm for 209 days </w:t>
            </w:r>
            <w:r w:rsidR="002A1D17">
              <w:t xml:space="preserve">had </w:t>
            </w:r>
            <w:r>
              <w:t>severe pulmonary infection consisting of tracheobronchitis, lobular pneumonia, lipoid histiocytic response and abscess formation</w:t>
            </w:r>
            <w:r w:rsidR="00C83207">
              <w:t>.</w:t>
            </w:r>
          </w:p>
          <w:p w14:paraId="545E2C84" w14:textId="77777777" w:rsidR="00EE6997" w:rsidRDefault="00EE6997" w:rsidP="00C93983">
            <w:pPr>
              <w:pStyle w:val="Tabletextprimarysource"/>
            </w:pPr>
          </w:p>
          <w:p w14:paraId="7B037C40" w14:textId="77777777" w:rsidR="00C93983" w:rsidRDefault="00C93983" w:rsidP="00C93983">
            <w:pPr>
              <w:pStyle w:val="Tabletextprimarysource"/>
            </w:pPr>
            <w:r>
              <w:t>Insufficient data to recommend a Skin or sensitiser notation or TLV-STEL</w:t>
            </w:r>
            <w:r w:rsidR="00EE6997">
              <w:t>.</w:t>
            </w:r>
          </w:p>
          <w:p w14:paraId="0CE4D35D" w14:textId="4D8178C8" w:rsidR="00EE6997" w:rsidRPr="00B74B71" w:rsidRDefault="00EE6997" w:rsidP="00C93983">
            <w:pPr>
              <w:pStyle w:val="Tabletextprimarysource"/>
            </w:pPr>
          </w:p>
        </w:tc>
      </w:tr>
      <w:tr w:rsidR="00C978F0" w:rsidRPr="00DA352E" w14:paraId="174F8B79" w14:textId="77777777" w:rsidTr="00C3189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4969F11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F16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CF1688">
                  <w:t>NA</w:t>
                </w:r>
                <w:proofErr w:type="spellEnd"/>
              </w:sdtContent>
            </w:sdt>
          </w:p>
        </w:tc>
      </w:tr>
      <w:tr w:rsidR="00C978F0" w:rsidRPr="00DA352E" w14:paraId="4433014F" w14:textId="77777777" w:rsidTr="00C31897">
        <w:trPr>
          <w:gridAfter w:val="1"/>
          <w:wAfter w:w="8" w:type="pct"/>
        </w:trPr>
        <w:tc>
          <w:tcPr>
            <w:tcW w:w="4992" w:type="pct"/>
          </w:tcPr>
          <w:p w14:paraId="61A64F09" w14:textId="0D552DB8" w:rsidR="00C978F0" w:rsidRPr="00DA352E" w:rsidRDefault="00CF1688" w:rsidP="003365A5">
            <w:pPr>
              <w:pStyle w:val="Tabletextprimarysource"/>
            </w:pPr>
            <w:r>
              <w:t>No report</w:t>
            </w:r>
            <w:r w:rsidR="00C83207">
              <w:t>.</w:t>
            </w:r>
          </w:p>
        </w:tc>
      </w:tr>
      <w:tr w:rsidR="00C978F0" w:rsidRPr="00DA352E" w14:paraId="0E6A0B2C" w14:textId="77777777" w:rsidTr="00C3189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2296745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F16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F1688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C31897">
        <w:trPr>
          <w:gridAfter w:val="1"/>
          <w:wAfter w:w="8" w:type="pct"/>
        </w:trPr>
        <w:tc>
          <w:tcPr>
            <w:tcW w:w="4992" w:type="pct"/>
          </w:tcPr>
          <w:p w14:paraId="153B53C1" w14:textId="17C7B4FA" w:rsidR="00C978F0" w:rsidRPr="00DA352E" w:rsidRDefault="00CF1688" w:rsidP="003365A5">
            <w:pPr>
              <w:pStyle w:val="Tabletextprimarysource"/>
            </w:pPr>
            <w:r>
              <w:t>No report</w:t>
            </w:r>
            <w:r w:rsidR="00C83207">
              <w:t>.</w:t>
            </w:r>
          </w:p>
        </w:tc>
      </w:tr>
      <w:tr w:rsidR="00DA352E" w:rsidRPr="00DA352E" w14:paraId="12BAB90D" w14:textId="77777777" w:rsidTr="00C3189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6588DD1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F16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F1688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C31897">
        <w:trPr>
          <w:gridAfter w:val="1"/>
          <w:wAfter w:w="8" w:type="pct"/>
        </w:trPr>
        <w:tc>
          <w:tcPr>
            <w:tcW w:w="4992" w:type="pct"/>
          </w:tcPr>
          <w:p w14:paraId="2059E4CB" w14:textId="63769915" w:rsidR="00DA352E" w:rsidRPr="00DA352E" w:rsidRDefault="00CF1688" w:rsidP="003365A5">
            <w:pPr>
              <w:pStyle w:val="Tabletextprimarysource"/>
            </w:pPr>
            <w:r>
              <w:t>No report</w:t>
            </w:r>
            <w:r w:rsidR="00C83207">
              <w:t>.</w:t>
            </w:r>
          </w:p>
        </w:tc>
      </w:tr>
      <w:tr w:rsidR="00DA352E" w:rsidRPr="00DA352E" w14:paraId="605F758C" w14:textId="77777777" w:rsidTr="00C3189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4EE6990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F16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F1688">
                  <w:t>NA</w:t>
                </w:r>
                <w:proofErr w:type="spellEnd"/>
              </w:sdtContent>
            </w:sdt>
          </w:p>
        </w:tc>
      </w:tr>
      <w:tr w:rsidR="00DA352E" w:rsidRPr="00DA352E" w14:paraId="7050CB3E" w14:textId="77777777" w:rsidTr="00C31897">
        <w:trPr>
          <w:gridAfter w:val="1"/>
          <w:wAfter w:w="8" w:type="pct"/>
        </w:trPr>
        <w:tc>
          <w:tcPr>
            <w:tcW w:w="4992" w:type="pct"/>
          </w:tcPr>
          <w:p w14:paraId="492D7791" w14:textId="57DBB8A8" w:rsidR="00DA352E" w:rsidRPr="00DA352E" w:rsidRDefault="00CF1688" w:rsidP="003365A5">
            <w:pPr>
              <w:pStyle w:val="Tabletextprimarysource"/>
            </w:pPr>
            <w:r>
              <w:t>No report</w:t>
            </w:r>
            <w:r w:rsidR="00C83207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1C7ACE5" w14:textId="6F2CC3E8" w:rsidR="007E2A4B" w:rsidRDefault="00C83207">
      <w:r>
        <w:t>NIL.</w:t>
      </w:r>
    </w:p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C93983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64883D12" w:rsidR="002E0D61" w:rsidRDefault="00C9398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C9398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6375D69B" w:rsidR="008A36CF" w:rsidRPr="006901A2" w:rsidRDefault="00C9398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C31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32D44898" w14:textId="77777777" w:rsidTr="00C31897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7843C040" w:rsidR="00687890" w:rsidRPr="00DD2F9B" w:rsidRDefault="00CF1688" w:rsidP="00DD2F9B">
            <w:pPr>
              <w:pStyle w:val="Tablefont"/>
            </w:pPr>
            <w:r w:rsidRPr="00CF1688">
              <w:t>—</w:t>
            </w:r>
          </w:p>
        </w:tc>
      </w:tr>
      <w:tr w:rsidR="007925F0" w:rsidRPr="004C23F4" w14:paraId="2A0C13EF" w14:textId="77777777" w:rsidTr="00C31897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3E9F825A" w:rsidR="007925F0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C31897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6C974D81" w:rsidR="00AF483F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C31897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6B312B22" w:rsidR="00687890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C31897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325EA728" w:rsidR="00E41A26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C31897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36AE28E4" w:rsidR="002E0D61" w:rsidRPr="00DD2F9B" w:rsidRDefault="00CF1688" w:rsidP="00DD2F9B">
            <w:pPr>
              <w:pStyle w:val="Tablefont"/>
            </w:pPr>
            <w:r w:rsidRPr="00CF1688">
              <w:t>Carcinogenicity – A4</w:t>
            </w:r>
          </w:p>
        </w:tc>
      </w:tr>
      <w:tr w:rsidR="002E0D61" w:rsidRPr="004C23F4" w14:paraId="43FA3590" w14:textId="77777777" w:rsidTr="00C31897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76555DBE" w14:textId="28D72C40" w:rsidR="002E0D61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C31897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15CF08D2" w:rsidR="002E0D61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C31897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326031D2" w:rsidR="002E0D61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C31897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282FA7AF" w:rsidR="00386093" w:rsidRPr="00DD2F9B" w:rsidRDefault="00CF168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C31897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1CABA2E4" w:rsidR="00386093" w:rsidRPr="00DD2F9B" w:rsidRDefault="00CF168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71FDA2F1" w:rsidR="00932DCE" w:rsidRPr="00C93983" w:rsidRDefault="00C93983" w:rsidP="00C93983">
            <w:pPr>
              <w:rPr>
                <w:rFonts w:cs="Arial"/>
              </w:rPr>
            </w:pPr>
            <w:r w:rsidRPr="00C93983">
              <w:rPr>
                <w:rFonts w:cs="Arial"/>
              </w:rPr>
              <w:t xml:space="preserve">Insufficient </w:t>
            </w:r>
            <w:r w:rsidR="00C83207">
              <w:rPr>
                <w:rFonts w:cs="Arial"/>
              </w:rPr>
              <w:t>data</w:t>
            </w:r>
            <w:r w:rsidRPr="00C93983">
              <w:rPr>
                <w:rFonts w:cs="Arial"/>
              </w:rPr>
              <w:t xml:space="preserve"> to </w:t>
            </w:r>
            <w:r w:rsidR="00C83207">
              <w:rPr>
                <w:rFonts w:cs="Arial"/>
              </w:rPr>
              <w:t>assign</w:t>
            </w:r>
            <w:r w:rsidRPr="00C93983">
              <w:rPr>
                <w:rFonts w:cs="Arial"/>
              </w:rPr>
              <w:t xml:space="preserve"> a skin notation.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52C3E2FD" w:rsidR="00EB3D1B" w:rsidRDefault="00CF168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4D767C0C" w:rsidR="001B79E5" w:rsidRDefault="00CF1688" w:rsidP="001B79E5">
                <w:pPr>
                  <w:pStyle w:val="Tablefont"/>
                </w:pPr>
                <w:r w:rsidRPr="00CF1688">
                  <w:t>284.48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2CF9CB3C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F1688">
                  <w:t>24.18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F1688">
                  <w:t>0.041</w:t>
                </w:r>
              </w:sdtContent>
            </w:sdt>
            <w:r w:rsidRPr="00CF1688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C3189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31DDEF30" w:rsidR="008E4F1F" w:rsidRDefault="008E4F1F" w:rsidP="008E4F1F">
      <w:pPr>
        <w:rPr>
          <w:b/>
        </w:rPr>
      </w:pP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F1BA8" w14:textId="77777777" w:rsidR="005A4563" w:rsidRDefault="005A4563" w:rsidP="00F43AD5">
      <w:pPr>
        <w:spacing w:after="0" w:line="240" w:lineRule="auto"/>
      </w:pPr>
      <w:r>
        <w:separator/>
      </w:r>
    </w:p>
  </w:endnote>
  <w:endnote w:type="continuationSeparator" w:id="0">
    <w:p w14:paraId="7BCCA4EC" w14:textId="77777777" w:rsidR="005A4563" w:rsidRDefault="005A456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EF23" w14:textId="77777777" w:rsidR="00C31897" w:rsidRDefault="00C31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560FB7BC" w:rsidR="008A36CF" w:rsidRDefault="00F85BF3" w:rsidP="0034744C">
        <w:pPr>
          <w:pStyle w:val="Footer"/>
          <w:rPr>
            <w:sz w:val="18"/>
            <w:szCs w:val="18"/>
          </w:rPr>
        </w:pPr>
        <w:r w:rsidRPr="00F85BF3">
          <w:rPr>
            <w:b/>
            <w:sz w:val="18"/>
            <w:szCs w:val="18"/>
          </w:rPr>
          <w:t>Stearates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6C66C6">
          <w:rPr>
            <w:sz w:val="18"/>
            <w:szCs w:val="18"/>
          </w:rPr>
          <w:t>20</w:t>
        </w:r>
      </w:p>
      <w:p w14:paraId="2D517F5E" w14:textId="4570AC7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D2841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FE09" w14:textId="77777777" w:rsidR="00C31897" w:rsidRDefault="00C3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A659" w14:textId="77777777" w:rsidR="005A4563" w:rsidRDefault="005A4563" w:rsidP="00F43AD5">
      <w:pPr>
        <w:spacing w:after="0" w:line="240" w:lineRule="auto"/>
      </w:pPr>
      <w:r>
        <w:separator/>
      </w:r>
    </w:p>
  </w:footnote>
  <w:footnote w:type="continuationSeparator" w:id="0">
    <w:p w14:paraId="6891A2AA" w14:textId="77777777" w:rsidR="005A4563" w:rsidRDefault="005A456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1B32" w14:textId="77777777" w:rsidR="00C31897" w:rsidRDefault="00C31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73EE" w14:textId="00679A36" w:rsidR="00C31897" w:rsidRDefault="00C31897" w:rsidP="00C31897">
    <w:pPr>
      <w:pStyle w:val="Header"/>
      <w:jc w:val="right"/>
    </w:pPr>
    <w:r>
      <w:pict w14:anchorId="1937E7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0C34457" wp14:editId="19F5A92B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2AFF24EA" w:rsidR="008A36CF" w:rsidRPr="00C31897" w:rsidRDefault="008A36CF" w:rsidP="00C318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D159" w14:textId="77777777" w:rsidR="00C31897" w:rsidRDefault="00C318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4F3F4" w14:textId="3F58EC0D" w:rsidR="00C31897" w:rsidRDefault="00C31897" w:rsidP="00C31897">
    <w:pPr>
      <w:pStyle w:val="Header"/>
      <w:jc w:val="right"/>
    </w:pPr>
    <w:r>
      <w:pict w14:anchorId="5D2A0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F6B43CE" wp14:editId="408166FE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AD08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A31E9B"/>
    <w:multiLevelType w:val="hybridMultilevel"/>
    <w:tmpl w:val="55483D8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B36FC6"/>
    <w:multiLevelType w:val="hybridMultilevel"/>
    <w:tmpl w:val="A14E9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16EB3"/>
    <w:multiLevelType w:val="hybridMultilevel"/>
    <w:tmpl w:val="55C60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E13118"/>
    <w:multiLevelType w:val="hybridMultilevel"/>
    <w:tmpl w:val="660E84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6DF8"/>
    <w:rsid w:val="000D0643"/>
    <w:rsid w:val="000D291C"/>
    <w:rsid w:val="000E3D9B"/>
    <w:rsid w:val="000E5A54"/>
    <w:rsid w:val="000E63D3"/>
    <w:rsid w:val="000E67CF"/>
    <w:rsid w:val="000E7F7A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561DE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A1D17"/>
    <w:rsid w:val="002B1819"/>
    <w:rsid w:val="002B1A2C"/>
    <w:rsid w:val="002C34F2"/>
    <w:rsid w:val="002C58FF"/>
    <w:rsid w:val="002C7AFE"/>
    <w:rsid w:val="002D05D2"/>
    <w:rsid w:val="002E0D61"/>
    <w:rsid w:val="002E4C7B"/>
    <w:rsid w:val="002E6D17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478FF"/>
    <w:rsid w:val="00351FE0"/>
    <w:rsid w:val="00352615"/>
    <w:rsid w:val="0035412B"/>
    <w:rsid w:val="003567A8"/>
    <w:rsid w:val="00362895"/>
    <w:rsid w:val="00370DBF"/>
    <w:rsid w:val="00373DE4"/>
    <w:rsid w:val="00386093"/>
    <w:rsid w:val="003904A4"/>
    <w:rsid w:val="00391841"/>
    <w:rsid w:val="00391B6D"/>
    <w:rsid w:val="00394922"/>
    <w:rsid w:val="003A0E32"/>
    <w:rsid w:val="003A2B94"/>
    <w:rsid w:val="003B387D"/>
    <w:rsid w:val="003B7A7E"/>
    <w:rsid w:val="003C0D58"/>
    <w:rsid w:val="003D4FA3"/>
    <w:rsid w:val="003E0807"/>
    <w:rsid w:val="003E51FB"/>
    <w:rsid w:val="003E6B39"/>
    <w:rsid w:val="003E7B36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1C15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4EDF"/>
    <w:rsid w:val="005A19C5"/>
    <w:rsid w:val="005A3034"/>
    <w:rsid w:val="005A4563"/>
    <w:rsid w:val="005A462D"/>
    <w:rsid w:val="005B253B"/>
    <w:rsid w:val="005B771D"/>
    <w:rsid w:val="005C5D16"/>
    <w:rsid w:val="005D2841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66C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3C39"/>
    <w:rsid w:val="007C30EB"/>
    <w:rsid w:val="007D4A98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50A7"/>
    <w:rsid w:val="00826F21"/>
    <w:rsid w:val="00834CC8"/>
    <w:rsid w:val="00835E00"/>
    <w:rsid w:val="00837113"/>
    <w:rsid w:val="008414E4"/>
    <w:rsid w:val="00843E21"/>
    <w:rsid w:val="0084508E"/>
    <w:rsid w:val="008541D5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0F05"/>
    <w:rsid w:val="008D23AB"/>
    <w:rsid w:val="008D4B8B"/>
    <w:rsid w:val="008D503C"/>
    <w:rsid w:val="008D5A78"/>
    <w:rsid w:val="008E4F1F"/>
    <w:rsid w:val="008E7B26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53B0"/>
    <w:rsid w:val="00A5651C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0EEF"/>
    <w:rsid w:val="00B52EDF"/>
    <w:rsid w:val="00B60437"/>
    <w:rsid w:val="00B6241B"/>
    <w:rsid w:val="00B71188"/>
    <w:rsid w:val="00B74B71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31897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3207"/>
    <w:rsid w:val="00C850A0"/>
    <w:rsid w:val="00C85A86"/>
    <w:rsid w:val="00C93983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1688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4B6B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5133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E6997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5BF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D0F0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755FBF"/>
    <w:rsid w:val="007D17D8"/>
    <w:rsid w:val="00CA72D3"/>
    <w:rsid w:val="00D21A9F"/>
    <w:rsid w:val="00D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016F5-D09C-4310-BCBD-278D021C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bf54d604-3e62-4e70-ba33-9e9084b96a6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0E8C3C-8014-4416-88B1-B33EAE05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19</cp:revision>
  <cp:lastPrinted>2018-10-22T22:41:00Z</cp:lastPrinted>
  <dcterms:created xsi:type="dcterms:W3CDTF">2019-10-09T03:19:00Z</dcterms:created>
  <dcterms:modified xsi:type="dcterms:W3CDTF">2020-07-21T01:22:00Z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