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57862CEC" w14:textId="335B5DCE" w:rsidR="00BD499F" w:rsidRPr="004C23F4" w:rsidRDefault="00C45F30" w:rsidP="00C45F30">
          <w:pPr>
            <w:pStyle w:val="Heading1"/>
            <w:jc w:val="center"/>
            <w:rPr>
              <w:rFonts w:ascii="Arial" w:hAnsi="Arial" w:cs="Arial"/>
            </w:rPr>
          </w:pPr>
          <w:r w:rsidRPr="00C45F30">
            <w:rPr>
              <w:rFonts w:ascii="Arial" w:hAnsi="Arial" w:cs="Arial"/>
            </w:rPr>
            <w:t>Sul</w:t>
          </w:r>
          <w:r w:rsidR="00AF2BEB">
            <w:rPr>
              <w:rFonts w:ascii="Arial" w:hAnsi="Arial" w:cs="Arial"/>
            </w:rPr>
            <w:t>F</w:t>
          </w:r>
          <w:r w:rsidRPr="00C45F30">
            <w:rPr>
              <w:rFonts w:ascii="Arial" w:hAnsi="Arial" w:cs="Arial"/>
            </w:rPr>
            <w:t>uric acid</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0"/>
        <w:gridCol w:w="5036"/>
      </w:tblGrid>
      <w:tr w:rsidR="00F43AD5" w:rsidRPr="004C23F4" w14:paraId="189D6E38" w14:textId="77777777" w:rsidTr="00DC06CA">
        <w:trPr>
          <w:cantSplit/>
          <w:tblHeader/>
        </w:trPr>
        <w:tc>
          <w:tcPr>
            <w:tcW w:w="3990" w:type="dxa"/>
          </w:tcPr>
          <w:p w14:paraId="517634FF" w14:textId="77777777" w:rsidR="00F43AD5" w:rsidRPr="00921DE7" w:rsidRDefault="00CB1CB1" w:rsidP="00B76A41">
            <w:pPr>
              <w:pStyle w:val="Tablerowright"/>
            </w:pPr>
            <w:r w:rsidRPr="00921DE7">
              <w:t>CAS number:</w:t>
            </w:r>
          </w:p>
        </w:tc>
        <w:tc>
          <w:tcPr>
            <w:tcW w:w="5036" w:type="dxa"/>
          </w:tcPr>
          <w:p w14:paraId="3EDBFD9E" w14:textId="57C6767C" w:rsidR="00F43AD5" w:rsidRPr="00717D45" w:rsidRDefault="00B005B9" w:rsidP="00B76A41">
            <w:pPr>
              <w:pStyle w:val="Tablefont"/>
            </w:pPr>
            <w:r w:rsidRPr="00B005B9">
              <w:t>7664-93-9</w:t>
            </w:r>
          </w:p>
        </w:tc>
      </w:tr>
      <w:tr w:rsidR="00F43AD5" w:rsidRPr="004C23F4" w14:paraId="562A9F51" w14:textId="77777777" w:rsidTr="00DC06CA">
        <w:trPr>
          <w:cantSplit/>
        </w:trPr>
        <w:tc>
          <w:tcPr>
            <w:tcW w:w="3990" w:type="dxa"/>
          </w:tcPr>
          <w:p w14:paraId="6A9A0952" w14:textId="77777777" w:rsidR="00F43AD5" w:rsidRPr="00921DE7" w:rsidRDefault="00CB1CB1" w:rsidP="00B76A41">
            <w:pPr>
              <w:pStyle w:val="Tablerowright"/>
            </w:pPr>
            <w:r w:rsidRPr="00921DE7">
              <w:t>Synonyms:</w:t>
            </w:r>
          </w:p>
        </w:tc>
        <w:tc>
          <w:tcPr>
            <w:tcW w:w="5036" w:type="dxa"/>
          </w:tcPr>
          <w:p w14:paraId="32648AB9" w14:textId="1FB073EE" w:rsidR="00F43AD5" w:rsidRPr="00717D45" w:rsidRDefault="00AF2BEB" w:rsidP="00B76A41">
            <w:pPr>
              <w:pStyle w:val="Tablefont"/>
            </w:pPr>
            <w:r>
              <w:t>Sulphur</w:t>
            </w:r>
            <w:r w:rsidR="00C126EB">
              <w:t>ic</w:t>
            </w:r>
            <w:r>
              <w:t xml:space="preserve"> acid, h</w:t>
            </w:r>
            <w:r w:rsidR="00B005B9">
              <w:t>ydrogen sulfate, matting a</w:t>
            </w:r>
            <w:r w:rsidR="0049537F">
              <w:t xml:space="preserve">cid, </w:t>
            </w:r>
            <w:r w:rsidR="00F67C8E">
              <w:br/>
            </w:r>
            <w:r w:rsidR="0049537F">
              <w:t>oil of vitriol, vitriol brown oil</w:t>
            </w:r>
          </w:p>
        </w:tc>
      </w:tr>
      <w:tr w:rsidR="00F43AD5" w:rsidRPr="004C23F4" w14:paraId="6EE54A08" w14:textId="77777777" w:rsidTr="00DC06CA">
        <w:trPr>
          <w:cantSplit/>
        </w:trPr>
        <w:tc>
          <w:tcPr>
            <w:tcW w:w="3990" w:type="dxa"/>
          </w:tcPr>
          <w:p w14:paraId="3C2EC489" w14:textId="77777777" w:rsidR="00F43AD5" w:rsidRPr="00921DE7" w:rsidRDefault="00CB1CB1" w:rsidP="00B76A41">
            <w:pPr>
              <w:pStyle w:val="Tablerowright"/>
            </w:pPr>
            <w:r w:rsidRPr="00921DE7">
              <w:t>Chemical formula:</w:t>
            </w:r>
          </w:p>
        </w:tc>
        <w:tc>
          <w:tcPr>
            <w:tcW w:w="5036" w:type="dxa"/>
          </w:tcPr>
          <w:p w14:paraId="69369B00" w14:textId="4D17C559" w:rsidR="00F43AD5" w:rsidRPr="00717D45" w:rsidRDefault="0049537F" w:rsidP="00B76A41">
            <w:pPr>
              <w:pStyle w:val="Tablefont"/>
            </w:pPr>
            <w:r>
              <w:t>H</w:t>
            </w:r>
            <w:r w:rsidRPr="0049537F">
              <w:rPr>
                <w:vertAlign w:val="subscript"/>
              </w:rPr>
              <w:t>2</w:t>
            </w:r>
            <w:r>
              <w:t>SO</w:t>
            </w:r>
            <w:r w:rsidRPr="0049537F">
              <w:rPr>
                <w:vertAlign w:val="subscript"/>
              </w:rPr>
              <w:t>4</w:t>
            </w:r>
          </w:p>
        </w:tc>
      </w:tr>
    </w:tbl>
    <w:p w14:paraId="71D72173" w14:textId="3F993594"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6F491C">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38011720" w14:textId="77777777" w:rsidTr="00037E52">
        <w:trPr>
          <w:cantSplit/>
          <w:tblHeader/>
        </w:trPr>
        <w:tc>
          <w:tcPr>
            <w:tcW w:w="4010" w:type="dxa"/>
            <w:vAlign w:val="center"/>
          </w:tcPr>
          <w:p w14:paraId="652B29B1" w14:textId="77777777" w:rsidR="002C7AFE" w:rsidRPr="002C58FF" w:rsidRDefault="00921DE7" w:rsidP="00921DE7">
            <w:pPr>
              <w:pStyle w:val="Tablerowright"/>
            </w:pPr>
            <w:r>
              <w:t>TWA:</w:t>
            </w:r>
          </w:p>
        </w:tc>
        <w:tc>
          <w:tcPr>
            <w:tcW w:w="5016" w:type="dxa"/>
          </w:tcPr>
          <w:p w14:paraId="43EB6150" w14:textId="23D16C81" w:rsidR="002C7AFE" w:rsidRPr="006F491C" w:rsidRDefault="006F491C" w:rsidP="00017C82">
            <w:pPr>
              <w:pStyle w:val="Tablefont"/>
              <w:rPr>
                <w:b/>
                <w:vertAlign w:val="superscript"/>
              </w:rPr>
            </w:pPr>
            <w:r>
              <w:rPr>
                <w:b/>
              </w:rPr>
              <w:t>0.</w:t>
            </w:r>
            <w:r w:rsidR="00313FC3">
              <w:rPr>
                <w:b/>
              </w:rPr>
              <w:t>1</w:t>
            </w:r>
            <w:r>
              <w:rPr>
                <w:b/>
              </w:rPr>
              <w:t xml:space="preserve"> mg/m</w:t>
            </w:r>
            <w:r>
              <w:rPr>
                <w:b/>
                <w:vertAlign w:val="superscript"/>
              </w:rPr>
              <w:t>3</w:t>
            </w:r>
          </w:p>
        </w:tc>
      </w:tr>
      <w:tr w:rsidR="00037E52" w:rsidRPr="004C23F4" w14:paraId="0EF58FD6" w14:textId="77777777" w:rsidTr="00037E52">
        <w:trPr>
          <w:cantSplit/>
        </w:trPr>
        <w:tc>
          <w:tcPr>
            <w:tcW w:w="4010" w:type="dxa"/>
            <w:vAlign w:val="center"/>
          </w:tcPr>
          <w:p w14:paraId="1CE0F108" w14:textId="77777777" w:rsidR="00037E52" w:rsidRPr="002C58FF" w:rsidRDefault="00037E52" w:rsidP="00037E52">
            <w:pPr>
              <w:pStyle w:val="Tablerowright"/>
            </w:pPr>
            <w:r w:rsidRPr="002C58FF">
              <w:t>STEL</w:t>
            </w:r>
            <w:r>
              <w:t>:</w:t>
            </w:r>
          </w:p>
        </w:tc>
        <w:tc>
          <w:tcPr>
            <w:tcW w:w="5016" w:type="dxa"/>
          </w:tcPr>
          <w:p w14:paraId="7C8B818A" w14:textId="77777777" w:rsidR="00037E52" w:rsidRPr="00EB3D1B" w:rsidRDefault="00037E52" w:rsidP="00037E52">
            <w:pPr>
              <w:pStyle w:val="Tablefont"/>
              <w:rPr>
                <w:b/>
              </w:rPr>
            </w:pPr>
            <w:r>
              <w:rPr>
                <w:b/>
              </w:rPr>
              <w:t>—</w:t>
            </w:r>
          </w:p>
        </w:tc>
      </w:tr>
      <w:tr w:rsidR="00037E52" w:rsidRPr="004C23F4" w14:paraId="09DF5A7D" w14:textId="77777777" w:rsidTr="00037E52">
        <w:trPr>
          <w:cantSplit/>
        </w:trPr>
        <w:tc>
          <w:tcPr>
            <w:tcW w:w="4010" w:type="dxa"/>
            <w:vAlign w:val="center"/>
          </w:tcPr>
          <w:p w14:paraId="7D9BAC3A" w14:textId="77777777" w:rsidR="00037E52" w:rsidRPr="002C58FF" w:rsidRDefault="00037E52" w:rsidP="00037E52">
            <w:pPr>
              <w:pStyle w:val="Tablerowright"/>
            </w:pPr>
            <w:r>
              <w:t>Peak limitation:</w:t>
            </w:r>
          </w:p>
        </w:tc>
        <w:tc>
          <w:tcPr>
            <w:tcW w:w="5016" w:type="dxa"/>
          </w:tcPr>
          <w:p w14:paraId="582B22B5" w14:textId="77777777" w:rsidR="00037E52" w:rsidRPr="00EB3D1B" w:rsidRDefault="00037E52" w:rsidP="00037E52">
            <w:pPr>
              <w:pStyle w:val="Tablefont"/>
              <w:rPr>
                <w:b/>
              </w:rPr>
            </w:pPr>
            <w:r>
              <w:rPr>
                <w:b/>
              </w:rPr>
              <w:t>—</w:t>
            </w:r>
          </w:p>
        </w:tc>
      </w:tr>
      <w:tr w:rsidR="00037E52" w:rsidRPr="004C23F4" w14:paraId="368D7039" w14:textId="77777777" w:rsidTr="00037E52">
        <w:trPr>
          <w:cantSplit/>
        </w:trPr>
        <w:tc>
          <w:tcPr>
            <w:tcW w:w="4010" w:type="dxa"/>
          </w:tcPr>
          <w:p w14:paraId="589F33FE"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6E9A7528" w14:textId="77777777" w:rsidR="00037E52" w:rsidRPr="00EB3D1B" w:rsidRDefault="00037E52" w:rsidP="00037E52">
            <w:pPr>
              <w:pStyle w:val="Tablefont"/>
              <w:rPr>
                <w:b/>
              </w:rPr>
            </w:pPr>
            <w:r>
              <w:rPr>
                <w:b/>
              </w:rPr>
              <w:t>—</w:t>
            </w:r>
          </w:p>
        </w:tc>
      </w:tr>
      <w:tr w:rsidR="00037E52" w:rsidRPr="004C23F4" w14:paraId="5FFAC073" w14:textId="77777777" w:rsidTr="00037E52">
        <w:trPr>
          <w:cantSplit/>
        </w:trPr>
        <w:tc>
          <w:tcPr>
            <w:tcW w:w="4010" w:type="dxa"/>
            <w:vAlign w:val="center"/>
          </w:tcPr>
          <w:p w14:paraId="6B171BBD" w14:textId="77777777" w:rsidR="00037E52" w:rsidRPr="002C58FF" w:rsidRDefault="00037E52" w:rsidP="00037E52">
            <w:pPr>
              <w:pStyle w:val="Tablerowright"/>
            </w:pPr>
            <w:r>
              <w:t>IDLH:</w:t>
            </w:r>
          </w:p>
        </w:tc>
        <w:tc>
          <w:tcPr>
            <w:tcW w:w="5016" w:type="dxa"/>
          </w:tcPr>
          <w:p w14:paraId="7090041D" w14:textId="4CD003A3" w:rsidR="00037E52" w:rsidRPr="00EB3D1B" w:rsidRDefault="0049537F" w:rsidP="00037E52">
            <w:pPr>
              <w:pStyle w:val="Tablefont"/>
              <w:rPr>
                <w:b/>
              </w:rPr>
            </w:pPr>
            <w:r w:rsidRPr="0049537F">
              <w:rPr>
                <w:b/>
              </w:rPr>
              <w:t>15 mg/m</w:t>
            </w:r>
            <w:r w:rsidRPr="0049537F">
              <w:rPr>
                <w:b/>
                <w:vertAlign w:val="superscript"/>
              </w:rPr>
              <w:t>3</w:t>
            </w:r>
          </w:p>
        </w:tc>
      </w:tr>
      <w:tr w:rsidR="00155999" w:rsidRPr="004C23F4" w14:paraId="27D0E012" w14:textId="77777777" w:rsidTr="00A952F9">
        <w:trPr>
          <w:cantSplit/>
        </w:trPr>
        <w:tc>
          <w:tcPr>
            <w:tcW w:w="9026" w:type="dxa"/>
            <w:gridSpan w:val="2"/>
            <w:vAlign w:val="center"/>
          </w:tcPr>
          <w:p w14:paraId="31B5D59E" w14:textId="1AC75FE3" w:rsidR="00155999" w:rsidRPr="00EB3D1B" w:rsidRDefault="00155999" w:rsidP="00037E52">
            <w:pPr>
              <w:pStyle w:val="Tablefont"/>
              <w:rPr>
                <w:b/>
              </w:rPr>
            </w:pPr>
            <w:r w:rsidRPr="00F67C8E">
              <w:rPr>
                <w:b/>
              </w:rPr>
              <w:t>Sampling and analysis</w:t>
            </w:r>
            <w:r>
              <w:t>:</w:t>
            </w:r>
            <w:r w:rsidRPr="00EC521E">
              <w:rPr>
                <w:rStyle w:val="WESstatus"/>
                <w:color w:val="auto"/>
              </w:rPr>
              <w:t xml:space="preserve"> </w:t>
            </w:r>
            <w:sdt>
              <w:sdtPr>
                <w:rPr>
                  <w:rStyle w:val="WESstatus"/>
                  <w:color w:val="auto"/>
                </w:rPr>
                <w:id w:val="-2105258949"/>
                <w:placeholder>
                  <w:docPart w:val="DA2FFE9CEF2D415F9F59B567F352ED2C"/>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AF2BEB" w:rsidRPr="00F67C8E">
                  <w:rPr>
                    <w:rStyle w:val="WESstatus"/>
                    <w:color w:val="auto"/>
                  </w:rPr>
                  <w:t xml:space="preserve">The recommended value is quantifiable through available sampling and analysis techniques. </w:t>
                </w:r>
              </w:sdtContent>
            </w:sdt>
          </w:p>
        </w:tc>
      </w:tr>
    </w:tbl>
    <w:p w14:paraId="1330EBEE" w14:textId="77777777" w:rsidR="00CB1CB1" w:rsidRPr="003365A5" w:rsidRDefault="00F10C97" w:rsidP="003365A5">
      <w:pPr>
        <w:pStyle w:val="Heading2"/>
      </w:pPr>
      <w:r>
        <w:t>Recommendation and basis for workplace exposure standard</w:t>
      </w:r>
    </w:p>
    <w:p w14:paraId="56D7D7AF" w14:textId="722B416E" w:rsidR="006639B4" w:rsidRPr="006F491C" w:rsidRDefault="006F491C" w:rsidP="000C139A">
      <w:pPr>
        <w:rPr>
          <w:rFonts w:cs="Arial"/>
        </w:rPr>
      </w:pPr>
      <w:r>
        <w:rPr>
          <w:rFonts w:cs="Arial"/>
        </w:rPr>
        <w:t>A TWA of 0.</w:t>
      </w:r>
      <w:r w:rsidR="00313FC3">
        <w:rPr>
          <w:rFonts w:cs="Arial"/>
        </w:rPr>
        <w:t>1</w:t>
      </w:r>
      <w:r>
        <w:rPr>
          <w:rFonts w:cs="Arial"/>
        </w:rPr>
        <w:t xml:space="preserve"> mg/m</w:t>
      </w:r>
      <w:r>
        <w:rPr>
          <w:rFonts w:cs="Arial"/>
          <w:vertAlign w:val="superscript"/>
        </w:rPr>
        <w:t xml:space="preserve">3 </w:t>
      </w:r>
      <w:r>
        <w:rPr>
          <w:rFonts w:cs="Arial"/>
        </w:rPr>
        <w:t xml:space="preserve">is recommended to protect for </w:t>
      </w:r>
      <w:r w:rsidR="00F67C8E">
        <w:rPr>
          <w:rFonts w:cs="Arial"/>
        </w:rPr>
        <w:t xml:space="preserve">adverse lung effects </w:t>
      </w:r>
      <w:r w:rsidR="00F67C8E">
        <w:t>including</w:t>
      </w:r>
      <w:r>
        <w:t xml:space="preserve"> in individuals with pre-existing respiratory disease and, the potential for laryngeal cancer in exposed workers.</w:t>
      </w:r>
    </w:p>
    <w:p w14:paraId="317A46B1" w14:textId="77777777" w:rsidR="00C7155E" w:rsidRPr="004C23F4" w:rsidRDefault="00F10C97" w:rsidP="003365A5">
      <w:pPr>
        <w:pStyle w:val="Heading2"/>
      </w:pPr>
      <w:r>
        <w:t>Discussion and conclusions</w:t>
      </w:r>
    </w:p>
    <w:p w14:paraId="3AF6C047" w14:textId="79D9E50E" w:rsidR="006639B4" w:rsidRDefault="005774E7" w:rsidP="006639B4">
      <w:r>
        <w:t>Sul</w:t>
      </w:r>
      <w:r w:rsidR="00651BF6">
        <w:t>f</w:t>
      </w:r>
      <w:r>
        <w:t xml:space="preserve">uric acid </w:t>
      </w:r>
      <w:r w:rsidR="008E73DF">
        <w:t xml:space="preserve">is commonly manufactured and </w:t>
      </w:r>
      <w:r>
        <w:t>used in the manufacture of chemicals, detergents, dyes, explosives and fertilisers. It is the acid in lead acid batteries</w:t>
      </w:r>
      <w:r w:rsidR="00651BF6">
        <w:t xml:space="preserve"> and </w:t>
      </w:r>
      <w:r>
        <w:t>used in metal cleaning and electroplating</w:t>
      </w:r>
      <w:r w:rsidR="008E73DF">
        <w:t>.</w:t>
      </w:r>
    </w:p>
    <w:p w14:paraId="28AD80A1" w14:textId="1D6A376B" w:rsidR="009250D9" w:rsidRDefault="00DA5373" w:rsidP="006639B4">
      <w:r>
        <w:t>C</w:t>
      </w:r>
      <w:r w:rsidR="008E73DF">
        <w:t xml:space="preserve">ritical effects of exposure are </w:t>
      </w:r>
      <w:r w:rsidR="0001304B">
        <w:t>in the lungs. Sulfuric acid</w:t>
      </w:r>
      <w:r w:rsidR="00B44887">
        <w:t xml:space="preserve"> is corrosive and irritating and</w:t>
      </w:r>
      <w:r w:rsidR="0001304B">
        <w:t xml:space="preserve"> affects </w:t>
      </w:r>
      <w:r w:rsidR="00FE6760">
        <w:t xml:space="preserve">tracheobronchial </w:t>
      </w:r>
      <w:r w:rsidR="008E73DF">
        <w:t>clearance</w:t>
      </w:r>
      <w:r>
        <w:t>,</w:t>
      </w:r>
      <w:r w:rsidR="008E73DF">
        <w:t xml:space="preserve"> </w:t>
      </w:r>
      <w:r w:rsidR="0001304B">
        <w:t>induc</w:t>
      </w:r>
      <w:r>
        <w:t>ing</w:t>
      </w:r>
      <w:r w:rsidR="0001304B">
        <w:t xml:space="preserve"> </w:t>
      </w:r>
      <w:r w:rsidR="008E73DF">
        <w:t>pulmonary function changes</w:t>
      </w:r>
      <w:r w:rsidR="00D83B6A">
        <w:t xml:space="preserve">. It has </w:t>
      </w:r>
      <w:r w:rsidR="008E73DF">
        <w:t xml:space="preserve">the potential </w:t>
      </w:r>
      <w:r w:rsidR="00D83B6A">
        <w:t>to cause</w:t>
      </w:r>
      <w:r w:rsidR="008E73DF">
        <w:t xml:space="preserve"> </w:t>
      </w:r>
      <w:r>
        <w:t xml:space="preserve">laryngeal cancer and in individuals with pre-existing respiratory disease, </w:t>
      </w:r>
      <w:r w:rsidR="008E73DF">
        <w:t xml:space="preserve">decrements in pulmonary </w:t>
      </w:r>
      <w:proofErr w:type="gramStart"/>
      <w:r w:rsidR="008E73DF">
        <w:t>function</w:t>
      </w:r>
      <w:r>
        <w:t>.</w:t>
      </w:r>
      <w:r w:rsidR="008E73DF">
        <w:t>.</w:t>
      </w:r>
      <w:proofErr w:type="gramEnd"/>
    </w:p>
    <w:p w14:paraId="3295DE66" w14:textId="73A4BBCB" w:rsidR="008E73DF" w:rsidRDefault="009250D9" w:rsidP="00313FC3">
      <w:r>
        <w:t>Acute exposure to sulfuric acid aerosols can alter the tracheobronchial clearance mechanisms of inhaled particles via alterations in the phagocytic response. Short term, transient</w:t>
      </w:r>
      <w:r>
        <w:rPr>
          <w:rFonts w:cs="Arial"/>
        </w:rPr>
        <w:t xml:space="preserve"> </w:t>
      </w:r>
      <w:r>
        <w:t>reduced</w:t>
      </w:r>
      <w:r>
        <w:rPr>
          <w:rFonts w:cs="Arial"/>
        </w:rPr>
        <w:t xml:space="preserve"> </w:t>
      </w:r>
      <w:r>
        <w:t>lung</w:t>
      </w:r>
      <w:r>
        <w:rPr>
          <w:rFonts w:cs="Arial"/>
        </w:rPr>
        <w:t xml:space="preserve"> </w:t>
      </w:r>
      <w:r>
        <w:t>clearance</w:t>
      </w:r>
      <w:r>
        <w:rPr>
          <w:rFonts w:cs="Arial"/>
        </w:rPr>
        <w:t xml:space="preserve"> </w:t>
      </w:r>
      <w:r>
        <w:t>rates are</w:t>
      </w:r>
      <w:r>
        <w:rPr>
          <w:rFonts w:cs="Arial"/>
        </w:rPr>
        <w:t xml:space="preserve"> </w:t>
      </w:r>
      <w:r>
        <w:t>observed in volunteers</w:t>
      </w:r>
      <w:r>
        <w:rPr>
          <w:rFonts w:cs="Arial"/>
        </w:rPr>
        <w:t xml:space="preserve"> </w:t>
      </w:r>
      <w:r>
        <w:t>at</w:t>
      </w:r>
      <w:r>
        <w:rPr>
          <w:rFonts w:cs="Arial"/>
        </w:rPr>
        <w:t xml:space="preserve"> </w:t>
      </w:r>
      <w:r>
        <w:t>0.1</w:t>
      </w:r>
      <w:r>
        <w:rPr>
          <w:rFonts w:cs="Arial"/>
        </w:rPr>
        <w:t xml:space="preserve"> </w:t>
      </w:r>
      <w:r>
        <w:t>mg/m</w:t>
      </w:r>
      <w:r>
        <w:rPr>
          <w:vertAlign w:val="superscript"/>
        </w:rPr>
        <w:t>3</w:t>
      </w:r>
      <w:r>
        <w:t>, with clearance rates slowed at 1 mg/m</w:t>
      </w:r>
      <w:r>
        <w:rPr>
          <w:vertAlign w:val="superscript"/>
        </w:rPr>
        <w:t>3</w:t>
      </w:r>
      <w:r>
        <w:t xml:space="preserve"> (ACGIH, 2018; AIOH, 2015).</w:t>
      </w:r>
      <w:r w:rsidR="00313FC3">
        <w:t xml:space="preserve"> Asthmatics constitute a sensitive subpopulation with the threshold concentration producing decrements in pulmonary function at 0.35 to 0.45 mg/m</w:t>
      </w:r>
      <w:r w:rsidR="00313FC3">
        <w:rPr>
          <w:vertAlign w:val="superscript"/>
        </w:rPr>
        <w:t>3</w:t>
      </w:r>
      <w:r w:rsidR="00313FC3">
        <w:t xml:space="preserve"> in asthmatic </w:t>
      </w:r>
      <w:r w:rsidR="00313FC3" w:rsidRPr="00FE6760">
        <w:t>adults</w:t>
      </w:r>
      <w:r w:rsidR="00313FC3">
        <w:t xml:space="preserve"> </w:t>
      </w:r>
      <w:r w:rsidR="00313FC3" w:rsidRPr="00FE6760">
        <w:t>(ACGIH, 2018).</w:t>
      </w:r>
      <w:r w:rsidR="00313FC3">
        <w:t xml:space="preserve"> </w:t>
      </w:r>
      <w:r w:rsidR="00313FC3" w:rsidRPr="00FE6760">
        <w:t xml:space="preserve">Exposure at </w:t>
      </w:r>
      <w:r w:rsidR="00313FC3" w:rsidRPr="00FE6760">
        <w:rPr>
          <w:rStyle w:val="checkbox"/>
          <w:rFonts w:ascii="Arial" w:hAnsi="Arial" w:cs="Arial"/>
        </w:rPr>
        <w:t>0.2 mg/m</w:t>
      </w:r>
      <w:r w:rsidR="00313FC3" w:rsidRPr="00FE6760">
        <w:rPr>
          <w:rStyle w:val="checkbox"/>
          <w:rFonts w:ascii="Arial" w:hAnsi="Arial" w:cs="Arial"/>
          <w:vertAlign w:val="superscript"/>
        </w:rPr>
        <w:t>3</w:t>
      </w:r>
      <w:r w:rsidR="00313FC3" w:rsidRPr="00FE6760">
        <w:rPr>
          <w:rStyle w:val="checkbox"/>
          <w:rFonts w:ascii="Arial" w:hAnsi="Arial" w:cs="Arial"/>
        </w:rPr>
        <w:t xml:space="preserve"> can cause cou</w:t>
      </w:r>
      <w:r w:rsidR="00313FC3" w:rsidRPr="00676632">
        <w:rPr>
          <w:rStyle w:val="checkbox"/>
          <w:rFonts w:ascii="Arial" w:hAnsi="Arial" w:cs="Arial"/>
        </w:rPr>
        <w:t>ghing or sneezing</w:t>
      </w:r>
      <w:r w:rsidR="00313FC3">
        <w:rPr>
          <w:rStyle w:val="checkbox"/>
          <w:rFonts w:ascii="Arial" w:hAnsi="Arial" w:cs="Arial"/>
        </w:rPr>
        <w:t xml:space="preserve">; while 0.5 </w:t>
      </w:r>
      <w:r w:rsidR="00313FC3" w:rsidRPr="002C72E7">
        <w:rPr>
          <w:rStyle w:val="checkbox"/>
          <w:rFonts w:ascii="Arial" w:hAnsi="Arial" w:cs="Arial"/>
        </w:rPr>
        <w:t>mg/m</w:t>
      </w:r>
      <w:r w:rsidR="00313FC3" w:rsidRPr="002C72E7">
        <w:rPr>
          <w:rStyle w:val="checkbox"/>
          <w:rFonts w:ascii="Arial" w:hAnsi="Arial" w:cs="Arial"/>
          <w:vertAlign w:val="superscript"/>
        </w:rPr>
        <w:t>3</w:t>
      </w:r>
      <w:r w:rsidR="00313FC3">
        <w:rPr>
          <w:rStyle w:val="checkbox"/>
          <w:rFonts w:ascii="Arial" w:hAnsi="Arial" w:cs="Arial"/>
        </w:rPr>
        <w:t xml:space="preserve"> is reported to cause sneezing, irritated </w:t>
      </w:r>
      <w:r w:rsidR="00313FC3" w:rsidRPr="002C72E7">
        <w:rPr>
          <w:rStyle w:val="checkbox"/>
          <w:rFonts w:ascii="Arial" w:hAnsi="Arial" w:cs="Arial"/>
        </w:rPr>
        <w:t>nose,</w:t>
      </w:r>
      <w:r w:rsidR="00313FC3">
        <w:rPr>
          <w:rStyle w:val="checkbox"/>
          <w:rFonts w:ascii="Arial" w:hAnsi="Arial" w:cs="Arial"/>
        </w:rPr>
        <w:t xml:space="preserve"> cough, runny nose and dry </w:t>
      </w:r>
      <w:r w:rsidR="00313FC3" w:rsidRPr="002C72E7">
        <w:rPr>
          <w:rStyle w:val="checkbox"/>
          <w:rFonts w:ascii="Arial" w:hAnsi="Arial" w:cs="Arial"/>
        </w:rPr>
        <w:t>nose</w:t>
      </w:r>
      <w:r w:rsidR="00313FC3">
        <w:rPr>
          <w:rStyle w:val="checkbox"/>
          <w:rFonts w:ascii="Arial" w:hAnsi="Arial" w:cs="Arial"/>
        </w:rPr>
        <w:t xml:space="preserve"> (AIOH, 2015). Exposure </w:t>
      </w:r>
      <w:r w:rsidR="00313FC3" w:rsidRPr="001A1310">
        <w:rPr>
          <w:rStyle w:val="checkbox"/>
          <w:rFonts w:ascii="Arial" w:hAnsi="Arial" w:cs="Arial"/>
          <w:i/>
        </w:rPr>
        <w:t>via</w:t>
      </w:r>
      <w:r w:rsidR="00313FC3">
        <w:rPr>
          <w:rStyle w:val="checkbox"/>
          <w:rFonts w:ascii="Arial" w:hAnsi="Arial" w:cs="Arial"/>
        </w:rPr>
        <w:t xml:space="preserve"> inhalation at</w:t>
      </w:r>
      <w:r w:rsidR="00313FC3" w:rsidRPr="00313FC3">
        <w:rPr>
          <w:rStyle w:val="checkbox"/>
          <w:rFonts w:ascii="Arial" w:hAnsi="Arial" w:cs="Arial"/>
        </w:rPr>
        <w:t xml:space="preserve"> 0.35 mg/m</w:t>
      </w:r>
      <w:r w:rsidR="00313FC3" w:rsidRPr="00313FC3">
        <w:rPr>
          <w:rStyle w:val="checkbox"/>
          <w:rFonts w:ascii="Arial" w:hAnsi="Arial" w:cs="Arial"/>
          <w:vertAlign w:val="superscript"/>
        </w:rPr>
        <w:t>3</w:t>
      </w:r>
      <w:r w:rsidR="00313FC3">
        <w:rPr>
          <w:rStyle w:val="checkbox"/>
          <w:rFonts w:ascii="Arial" w:hAnsi="Arial" w:cs="Arial"/>
        </w:rPr>
        <w:t xml:space="preserve"> </w:t>
      </w:r>
      <w:r w:rsidR="00313FC3" w:rsidRPr="00313FC3">
        <w:rPr>
          <w:rStyle w:val="checkbox"/>
          <w:rFonts w:ascii="Arial" w:hAnsi="Arial" w:cs="Arial"/>
        </w:rPr>
        <w:t>caused</w:t>
      </w:r>
      <w:r w:rsidR="00313FC3">
        <w:rPr>
          <w:rStyle w:val="checkbox"/>
          <w:rFonts w:ascii="Arial" w:hAnsi="Arial" w:cs="Arial"/>
        </w:rPr>
        <w:t xml:space="preserve"> </w:t>
      </w:r>
      <w:r w:rsidR="00313FC3" w:rsidRPr="00313FC3">
        <w:rPr>
          <w:rStyle w:val="checkbox"/>
          <w:rFonts w:ascii="Arial" w:hAnsi="Arial" w:cs="Arial"/>
        </w:rPr>
        <w:t>changes in respira</w:t>
      </w:r>
      <w:r w:rsidR="00313FC3">
        <w:rPr>
          <w:rStyle w:val="checkbox"/>
          <w:rFonts w:ascii="Arial" w:hAnsi="Arial" w:cs="Arial"/>
        </w:rPr>
        <w:t xml:space="preserve">tion rate in human subjects which is likely </w:t>
      </w:r>
      <w:r w:rsidR="00313FC3" w:rsidRPr="00313FC3">
        <w:rPr>
          <w:rStyle w:val="checkbox"/>
          <w:rFonts w:ascii="Arial" w:hAnsi="Arial" w:cs="Arial"/>
        </w:rPr>
        <w:t>to be a reflex reaction to an</w:t>
      </w:r>
      <w:r w:rsidR="00313FC3">
        <w:rPr>
          <w:rStyle w:val="checkbox"/>
          <w:rFonts w:ascii="Arial" w:hAnsi="Arial" w:cs="Arial"/>
        </w:rPr>
        <w:t xml:space="preserve"> </w:t>
      </w:r>
      <w:r w:rsidR="00313FC3" w:rsidRPr="00313FC3">
        <w:rPr>
          <w:rStyle w:val="checkbox"/>
          <w:rFonts w:ascii="Arial" w:hAnsi="Arial" w:cs="Arial"/>
        </w:rPr>
        <w:t>irritant stimulus</w:t>
      </w:r>
      <w:r w:rsidR="00313FC3">
        <w:rPr>
          <w:rStyle w:val="checkbox"/>
          <w:rFonts w:ascii="Arial" w:hAnsi="Arial" w:cs="Arial"/>
        </w:rPr>
        <w:t xml:space="preserve"> (ACGIH, 20018). </w:t>
      </w:r>
      <w:r w:rsidR="00313FC3">
        <w:t>An association with laryngeal cancer and workers exposed to strong inorganic acid mists containing sulfuric acid is</w:t>
      </w:r>
      <w:r w:rsidR="00313FC3" w:rsidRPr="008901B4">
        <w:t xml:space="preserve"> </w:t>
      </w:r>
      <w:r w:rsidR="00313FC3">
        <w:t>reported in epidemiological studies.</w:t>
      </w:r>
      <w:r w:rsidR="0075253F">
        <w:t xml:space="preserve"> A threshold mechanism based on acidity is acknowledged. Regardless,</w:t>
      </w:r>
      <w:r w:rsidR="00313FC3">
        <w:t xml:space="preserve"> no studies in humans were identified where occupational exposures is solely to sulfuric acid and data from carcinogenicity studies in experimental animals are inadequate (ACGIH, 2018; HCOTN 2003).</w:t>
      </w:r>
    </w:p>
    <w:p w14:paraId="28BBB400" w14:textId="3F695BA7" w:rsidR="00313FC3" w:rsidRDefault="00313FC3" w:rsidP="00313FC3">
      <w:pPr>
        <w:rPr>
          <w:rStyle w:val="checkbox"/>
          <w:rFonts w:ascii="Arial" w:hAnsi="Arial" w:cs="Arial"/>
        </w:rPr>
      </w:pPr>
      <w:r>
        <w:lastRenderedPageBreak/>
        <w:t>Slight histologic and functional changes are reported to occur in the lungs of non-human primates chronically exposed at 0.5 to 2.4 mg/m</w:t>
      </w:r>
      <w:r w:rsidRPr="005932CB">
        <w:rPr>
          <w:vertAlign w:val="superscript"/>
        </w:rPr>
        <w:t>3</w:t>
      </w:r>
      <w:r>
        <w:t xml:space="preserve"> (ACGIH, 2018).</w:t>
      </w:r>
      <w:r w:rsidRPr="00BD4B9C">
        <w:rPr>
          <w:rStyle w:val="checkbox"/>
          <w:rFonts w:ascii="Arial" w:hAnsi="Arial" w:cs="Arial"/>
        </w:rPr>
        <w:t xml:space="preserve"> </w:t>
      </w:r>
      <w:r>
        <w:rPr>
          <w:rStyle w:val="checkbox"/>
          <w:rFonts w:ascii="Arial" w:hAnsi="Arial" w:cs="Arial"/>
        </w:rPr>
        <w:t>Dose-related changes and significant cell proliferation to laryngeal cells is observed in rats exposed at 0.5 and 1.0 mg/m</w:t>
      </w:r>
      <w:r>
        <w:rPr>
          <w:rStyle w:val="checkbox"/>
          <w:rFonts w:ascii="Arial" w:hAnsi="Arial" w:cs="Arial"/>
          <w:vertAlign w:val="superscript"/>
        </w:rPr>
        <w:t>3</w:t>
      </w:r>
      <w:r>
        <w:rPr>
          <w:rStyle w:val="checkbox"/>
          <w:rFonts w:ascii="Arial" w:hAnsi="Arial" w:cs="Arial"/>
        </w:rPr>
        <w:t>; with effects at 0.2</w:t>
      </w:r>
      <w:r w:rsidR="00345A0E">
        <w:rPr>
          <w:rStyle w:val="checkbox"/>
          <w:rFonts w:ascii="Arial" w:hAnsi="Arial" w:cs="Arial"/>
        </w:rPr>
        <w:t> </w:t>
      </w:r>
      <w:r>
        <w:rPr>
          <w:rStyle w:val="checkbox"/>
          <w:rFonts w:ascii="Arial" w:hAnsi="Arial" w:cs="Arial"/>
        </w:rPr>
        <w:t>mg/m</w:t>
      </w:r>
      <w:r>
        <w:rPr>
          <w:rStyle w:val="checkbox"/>
          <w:rFonts w:ascii="Arial" w:hAnsi="Arial" w:cs="Arial"/>
          <w:vertAlign w:val="superscript"/>
        </w:rPr>
        <w:t>3</w:t>
      </w:r>
      <w:r>
        <w:rPr>
          <w:rStyle w:val="checkbox"/>
          <w:rFonts w:ascii="Arial" w:hAnsi="Arial" w:cs="Arial"/>
        </w:rPr>
        <w:t xml:space="preserve"> considered minimal (AIOH, 2015).</w:t>
      </w:r>
    </w:p>
    <w:p w14:paraId="4ED0CA79" w14:textId="63A8477C" w:rsidR="000F229F" w:rsidRDefault="000F229F" w:rsidP="000F229F">
      <w:r>
        <w:t>Given this information, protection for irritation effects</w:t>
      </w:r>
      <w:r w:rsidR="00584459">
        <w:t xml:space="preserve"> and the potential for development of mucociliary clearance changes</w:t>
      </w:r>
      <w:r>
        <w:t xml:space="preserve"> may likely protect for the reported adverse effects. Therefore, </w:t>
      </w:r>
      <w:r w:rsidRPr="00F2236E">
        <w:t>exposure maintained below 0.1 mg/m</w:t>
      </w:r>
      <w:r w:rsidRPr="00F2236E">
        <w:rPr>
          <w:vertAlign w:val="superscript"/>
        </w:rPr>
        <w:t>3</w:t>
      </w:r>
      <w:r w:rsidRPr="00F2236E">
        <w:t xml:space="preserve"> </w:t>
      </w:r>
      <w:r>
        <w:t xml:space="preserve">will </w:t>
      </w:r>
      <w:r w:rsidRPr="00F2236E">
        <w:t xml:space="preserve">provide </w:t>
      </w:r>
      <w:proofErr w:type="gramStart"/>
      <w:r w:rsidRPr="00F2236E">
        <w:t>sufficient</w:t>
      </w:r>
      <w:proofErr w:type="gramEnd"/>
      <w:r w:rsidRPr="00F2236E">
        <w:t xml:space="preserve"> protection</w:t>
      </w:r>
      <w:r>
        <w:t xml:space="preserve"> for changes in tracheobronchial clearance mechanisms, altered pulmonary function in non-asthmatics and asthmatics and</w:t>
      </w:r>
      <w:r w:rsidRPr="006F491C">
        <w:t xml:space="preserve"> </w:t>
      </w:r>
      <w:r>
        <w:t>for</w:t>
      </w:r>
      <w:r w:rsidRPr="00F2236E">
        <w:t xml:space="preserve"> possible adverse consequences for the respiratory tract epithelium</w:t>
      </w:r>
      <w:r>
        <w:t>. A TWA of 0.</w:t>
      </w:r>
      <w:r w:rsidR="00584459">
        <w:t xml:space="preserve">1 </w:t>
      </w:r>
      <w:r>
        <w:t>mg/m</w:t>
      </w:r>
      <w:r>
        <w:rPr>
          <w:vertAlign w:val="superscript"/>
        </w:rPr>
        <w:t>3</w:t>
      </w:r>
      <w:r>
        <w:t xml:space="preserve"> as recommended by </w:t>
      </w:r>
      <w:r w:rsidR="00584459">
        <w:t>AIOH (2015) and DFG (1999) is recommended.</w:t>
      </w:r>
      <w:r>
        <w:t xml:space="preserve"> The data do not support a STEL as the TWA is considered sufficiently protective.</w:t>
      </w:r>
    </w:p>
    <w:p w14:paraId="273B44AD" w14:textId="77777777" w:rsidR="004529F0" w:rsidRPr="004C23F4" w:rsidRDefault="004529F0" w:rsidP="004529F0">
      <w:pPr>
        <w:pStyle w:val="Heading2"/>
      </w:pPr>
      <w:r>
        <w:t>Recommendation for notations</w:t>
      </w:r>
    </w:p>
    <w:p w14:paraId="27C6755E" w14:textId="0A862724" w:rsidR="008E4F1F" w:rsidRPr="006F491C" w:rsidRDefault="008E4F1F" w:rsidP="008E4F1F">
      <w:pPr>
        <w:rPr>
          <w:rFonts w:cs="Arial"/>
        </w:rPr>
      </w:pPr>
      <w:r w:rsidRPr="006F491C">
        <w:rPr>
          <w:rFonts w:cs="Arial"/>
        </w:rPr>
        <w:t>Not classified as a carcinogen according to the Globally Harmonized System of</w:t>
      </w:r>
      <w:r w:rsidR="00155999" w:rsidRPr="006F491C">
        <w:rPr>
          <w:rFonts w:cs="Arial"/>
        </w:rPr>
        <w:t xml:space="preserve"> Classification and Labelling of</w:t>
      </w:r>
      <w:r w:rsidRPr="006F491C">
        <w:rPr>
          <w:rFonts w:cs="Arial"/>
        </w:rPr>
        <w:t xml:space="preserve"> Chemicals (GHS). </w:t>
      </w:r>
      <w:r w:rsidR="006F491C">
        <w:rPr>
          <w:rFonts w:cs="Arial"/>
        </w:rPr>
        <w:t>A review of this classification recommended.</w:t>
      </w:r>
    </w:p>
    <w:p w14:paraId="03916CCC" w14:textId="77777777" w:rsidR="008E4F1F" w:rsidRPr="006F491C" w:rsidRDefault="008E4F1F" w:rsidP="008E4F1F">
      <w:pPr>
        <w:rPr>
          <w:rFonts w:cs="Arial"/>
        </w:rPr>
      </w:pPr>
      <w:r w:rsidRPr="006F491C">
        <w:rPr>
          <w:rFonts w:cs="Arial"/>
        </w:rPr>
        <w:t xml:space="preserve">Not classified as a skin </w:t>
      </w:r>
      <w:r w:rsidR="00155999" w:rsidRPr="006F491C">
        <w:rPr>
          <w:rFonts w:cs="Arial"/>
        </w:rPr>
        <w:t xml:space="preserve">sensitiser </w:t>
      </w:r>
      <w:r w:rsidRPr="006F491C">
        <w:rPr>
          <w:rFonts w:cs="Arial"/>
        </w:rPr>
        <w:t>or respiratory sensitiser according to the GHS.</w:t>
      </w:r>
    </w:p>
    <w:p w14:paraId="7D0772D2" w14:textId="67DB069B" w:rsidR="004529F0" w:rsidRPr="004C23F4" w:rsidRDefault="00AF2BEB" w:rsidP="008E4F1F">
      <w:pPr>
        <w:rPr>
          <w:rFonts w:cs="Arial"/>
        </w:rPr>
      </w:pPr>
      <w:r>
        <w:rPr>
          <w:rFonts w:cs="Arial"/>
        </w:rPr>
        <w:t>There is i</w:t>
      </w:r>
      <w:r w:rsidR="008E4F1F" w:rsidRPr="006F491C">
        <w:rPr>
          <w:rFonts w:cs="Arial"/>
        </w:rPr>
        <w:t xml:space="preserve">nsufficient </w:t>
      </w:r>
      <w:r>
        <w:rPr>
          <w:rFonts w:cs="Arial"/>
        </w:rPr>
        <w:t>data</w:t>
      </w:r>
      <w:r w:rsidR="008E4F1F" w:rsidRPr="006F491C">
        <w:rPr>
          <w:rFonts w:cs="Arial"/>
        </w:rPr>
        <w:t xml:space="preserve"> to recommend a skin notation.</w:t>
      </w:r>
    </w:p>
    <w:p w14:paraId="21CCE2A5" w14:textId="77777777" w:rsidR="0025734A" w:rsidRPr="004C23F4" w:rsidRDefault="0025734A">
      <w:pPr>
        <w:rPr>
          <w:rFonts w:cs="Arial"/>
        </w:rPr>
      </w:pPr>
    </w:p>
    <w:p w14:paraId="4C1F8D43"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717B1B74"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1AD9225C"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DA352E" w14:paraId="257268B5" w14:textId="77777777" w:rsidTr="00EF4FCA">
        <w:trPr>
          <w:gridAfter w:val="1"/>
          <w:cnfStyle w:val="100000000000" w:firstRow="1" w:lastRow="0" w:firstColumn="0" w:lastColumn="0" w:oddVBand="0" w:evenVBand="0" w:oddHBand="0" w:evenHBand="0" w:firstRowFirstColumn="0" w:firstRowLastColumn="0" w:lastRowFirstColumn="0" w:lastRowLastColumn="0"/>
          <w:wAfter w:w="8" w:type="pct"/>
          <w:trHeight w:val="393"/>
          <w:tblHeader/>
        </w:trPr>
        <w:tc>
          <w:tcPr>
            <w:tcW w:w="4992" w:type="pct"/>
            <w:shd w:val="clear" w:color="auto" w:fill="BFBFBF" w:themeFill="background1" w:themeFillShade="BF"/>
            <w:vAlign w:val="center"/>
          </w:tcPr>
          <w:p w14:paraId="1707E895"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5B240DF2" w14:textId="77777777" w:rsidTr="00EF4FCA">
        <w:tc>
          <w:tcPr>
            <w:tcW w:w="5000" w:type="pct"/>
            <w:gridSpan w:val="2"/>
            <w:shd w:val="clear" w:color="auto" w:fill="F2F2F2" w:themeFill="background1" w:themeFillShade="F2"/>
          </w:tcPr>
          <w:p w14:paraId="3127B3A8" w14:textId="3FA73545"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49537F">
                  <w:t>1991</w:t>
                </w:r>
              </w:sdtContent>
            </w:sdt>
            <w:r w:rsidRPr="003365A5">
              <w:tab/>
            </w:r>
            <w:r>
              <w:tab/>
            </w:r>
            <w:sdt>
              <w:sdtPr>
                <w:alias w:val="SWA WES"/>
                <w:tag w:val="SWA WES"/>
                <w:id w:val="857077202"/>
                <w:placeholder>
                  <w:docPart w:val="81CFEC2FDBC5451289F394E66D92D1A0"/>
                </w:placeholder>
              </w:sdtPr>
              <w:sdtEndPr/>
              <w:sdtContent>
                <w:r w:rsidR="0049537F">
                  <w:t>TWA: 1 mg/m</w:t>
                </w:r>
                <w:r w:rsidR="0049537F" w:rsidRPr="0049537F">
                  <w:rPr>
                    <w:vertAlign w:val="superscript"/>
                  </w:rPr>
                  <w:t>3</w:t>
                </w:r>
                <w:r w:rsidR="0049537F">
                  <w:t>; STEL: 3 mg/m</w:t>
                </w:r>
                <w:r w:rsidR="0049537F" w:rsidRPr="0049537F">
                  <w:rPr>
                    <w:vertAlign w:val="superscript"/>
                  </w:rPr>
                  <w:t>3</w:t>
                </w:r>
              </w:sdtContent>
            </w:sdt>
          </w:p>
        </w:tc>
      </w:tr>
      <w:tr w:rsidR="00C978F0" w:rsidRPr="00DA352E" w14:paraId="26087DDB" w14:textId="77777777" w:rsidTr="00EF4FCA">
        <w:trPr>
          <w:gridAfter w:val="1"/>
          <w:wAfter w:w="8" w:type="pct"/>
        </w:trPr>
        <w:tc>
          <w:tcPr>
            <w:tcW w:w="4992" w:type="pct"/>
          </w:tcPr>
          <w:p w14:paraId="1137D58F" w14:textId="5EAFCD0E" w:rsidR="00C978F0" w:rsidRPr="00DA352E" w:rsidRDefault="00E11326" w:rsidP="003365A5">
            <w:pPr>
              <w:pStyle w:val="Tabletextprimarysource"/>
            </w:pPr>
            <w:r>
              <w:t>Based on ACGIH 1991 TLV</w:t>
            </w:r>
            <w:r w:rsidR="00AB5086">
              <w:t>.</w:t>
            </w:r>
          </w:p>
        </w:tc>
      </w:tr>
      <w:tr w:rsidR="00C978F0" w:rsidRPr="00DA352E" w14:paraId="24593221" w14:textId="77777777" w:rsidTr="00EF4FCA">
        <w:trPr>
          <w:gridAfter w:val="1"/>
          <w:wAfter w:w="8" w:type="pct"/>
        </w:trPr>
        <w:tc>
          <w:tcPr>
            <w:tcW w:w="4992" w:type="pct"/>
            <w:shd w:val="clear" w:color="auto" w:fill="F2F2F2" w:themeFill="background1" w:themeFillShade="F2"/>
          </w:tcPr>
          <w:p w14:paraId="2ED10929" w14:textId="429622EF"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49537F">
                  <w:t>2004</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49537F">
                  <w:t>TLV-TWA: 0.2 mg/m</w:t>
                </w:r>
                <w:r w:rsidR="0049537F" w:rsidRPr="0049537F">
                  <w:rPr>
                    <w:vertAlign w:val="superscript"/>
                  </w:rPr>
                  <w:t>3</w:t>
                </w:r>
              </w:sdtContent>
            </w:sdt>
          </w:p>
        </w:tc>
      </w:tr>
      <w:tr w:rsidR="00C978F0" w:rsidRPr="00DA352E" w14:paraId="418D532D" w14:textId="77777777" w:rsidTr="00EF4FCA">
        <w:trPr>
          <w:gridAfter w:val="1"/>
          <w:wAfter w:w="8" w:type="pct"/>
        </w:trPr>
        <w:tc>
          <w:tcPr>
            <w:tcW w:w="4992" w:type="pct"/>
          </w:tcPr>
          <w:p w14:paraId="79992C96" w14:textId="0038B560" w:rsidR="00C978F0" w:rsidRDefault="00282DA9" w:rsidP="003365A5">
            <w:pPr>
              <w:pStyle w:val="Tabletextprimarysource"/>
            </w:pPr>
            <w:r>
              <w:t xml:space="preserve">TLV-TWA recommended </w:t>
            </w:r>
            <w:r w:rsidR="00322C5E">
              <w:t xml:space="preserve">to </w:t>
            </w:r>
            <w:r>
              <w:t>minimise central airway effects such as clearance and pulmonary function changes</w:t>
            </w:r>
            <w:r w:rsidR="00D83B6A">
              <w:t>,</w:t>
            </w:r>
            <w:r>
              <w:t xml:space="preserve"> potential for decrements in pulmonary function in individuals with pre-existing respiratory disease and, potential for laryngeal cancer associated with exposure to sul</w:t>
            </w:r>
            <w:r w:rsidR="00322C5E">
              <w:t>f</w:t>
            </w:r>
            <w:r>
              <w:t>uric acid aerosols.</w:t>
            </w:r>
          </w:p>
          <w:p w14:paraId="3F060F5E" w14:textId="32D7BF2D" w:rsidR="00282DA9" w:rsidRDefault="00282DA9" w:rsidP="003365A5">
            <w:pPr>
              <w:pStyle w:val="Tabletextprimarysource"/>
            </w:pPr>
            <w:r>
              <w:t>Summary of data</w:t>
            </w:r>
            <w:r w:rsidR="00D46B14">
              <w:t>:</w:t>
            </w:r>
          </w:p>
          <w:p w14:paraId="48A1EB61" w14:textId="6E2278D0" w:rsidR="00282DA9" w:rsidRDefault="005932CB" w:rsidP="005932CB">
            <w:pPr>
              <w:pStyle w:val="Tabletextprimarysource"/>
            </w:pPr>
            <w:r>
              <w:t>Evidence basis for the TWA:</w:t>
            </w:r>
          </w:p>
          <w:p w14:paraId="47E1BEA0" w14:textId="29139C31" w:rsidR="007D51A2" w:rsidRDefault="00322C5E" w:rsidP="00DC06CA">
            <w:pPr>
              <w:pStyle w:val="ListBullet"/>
              <w:spacing w:before="60" w:after="60"/>
              <w:ind w:left="714" w:hanging="357"/>
              <w:contextualSpacing w:val="0"/>
            </w:pPr>
            <w:r>
              <w:t>H</w:t>
            </w:r>
            <w:r w:rsidR="007D51A2">
              <w:t>ighly irritating in terms of dermal exposure and rapidly injurious to eyes and mucous membranes of respiratory tract and can etch teeth</w:t>
            </w:r>
          </w:p>
          <w:p w14:paraId="300D165E" w14:textId="29E0685E" w:rsidR="005932CB" w:rsidRDefault="005932CB" w:rsidP="00DC06CA">
            <w:pPr>
              <w:pStyle w:val="ListBullet"/>
              <w:spacing w:before="60" w:after="60"/>
              <w:ind w:left="714" w:hanging="357"/>
              <w:contextualSpacing w:val="0"/>
            </w:pPr>
            <w:r>
              <w:t>Slight histologic and functional changes occur</w:t>
            </w:r>
            <w:r w:rsidR="00AB5086">
              <w:t>red</w:t>
            </w:r>
            <w:r>
              <w:t xml:space="preserve"> in lungs of non-human primates chronically exposed at 0.5 </w:t>
            </w:r>
            <w:r w:rsidR="00322C5E">
              <w:t>-</w:t>
            </w:r>
            <w:r>
              <w:t>2.4 mg/m</w:t>
            </w:r>
            <w:r w:rsidRPr="005932CB">
              <w:rPr>
                <w:vertAlign w:val="superscript"/>
              </w:rPr>
              <w:t>3</w:t>
            </w:r>
          </w:p>
          <w:p w14:paraId="79E1B792" w14:textId="0B395DFF" w:rsidR="00097106" w:rsidRDefault="00097106" w:rsidP="00DC06CA">
            <w:pPr>
              <w:pStyle w:val="ListBullet"/>
              <w:spacing w:before="60" w:after="60"/>
              <w:ind w:left="714" w:hanging="357"/>
              <w:contextualSpacing w:val="0"/>
            </w:pPr>
            <w:r>
              <w:t xml:space="preserve">Acute exposure to aerosols can alter tracheobronchial clearance mechanisms of inhaled particles as demonstrated in clearance studies in </w:t>
            </w:r>
            <w:r w:rsidR="002C39EE">
              <w:t>animal</w:t>
            </w:r>
            <w:r>
              <w:t xml:space="preserve"> and human subjects</w:t>
            </w:r>
            <w:r w:rsidR="00D46B14">
              <w:t>:</w:t>
            </w:r>
          </w:p>
          <w:p w14:paraId="55D42E8B" w14:textId="1249CC30" w:rsidR="00D0733B" w:rsidRDefault="00D0733B" w:rsidP="00DC06CA">
            <w:pPr>
              <w:pStyle w:val="ListBullet"/>
              <w:numPr>
                <w:ilvl w:val="0"/>
                <w:numId w:val="6"/>
              </w:numPr>
              <w:spacing w:before="60" w:after="60"/>
              <w:ind w:left="1077" w:hanging="357"/>
              <w:contextualSpacing w:val="0"/>
            </w:pPr>
            <w:r>
              <w:t>low concentrations tended to accelerate clearance; high concentrations tend to slow tracheobronchial clearance</w:t>
            </w:r>
          </w:p>
          <w:p w14:paraId="26FC0853" w14:textId="50A45120" w:rsidR="00D0733B" w:rsidRDefault="00D0733B" w:rsidP="00DC06CA">
            <w:pPr>
              <w:pStyle w:val="ListBullet"/>
              <w:numPr>
                <w:ilvl w:val="0"/>
                <w:numId w:val="6"/>
              </w:numPr>
              <w:spacing w:before="60" w:after="60"/>
              <w:ind w:left="1077" w:hanging="357"/>
              <w:contextualSpacing w:val="0"/>
            </w:pPr>
            <w:r>
              <w:t>mucociliary clearance is an important mechanism by which inhaled insoluble particles and microbes are removed from the conducting airways and daily exposure to low levels may produce alterations in bronchial mucociliary clearance transport</w:t>
            </w:r>
          </w:p>
          <w:p w14:paraId="47E8962C" w14:textId="5880DFE1" w:rsidR="002A1F54" w:rsidRDefault="002A1F54" w:rsidP="00DC06CA">
            <w:pPr>
              <w:pStyle w:val="ListBullet"/>
              <w:spacing w:before="60" w:after="60"/>
              <w:ind w:left="714" w:hanging="357"/>
              <w:contextualSpacing w:val="0"/>
            </w:pPr>
            <w:r>
              <w:t xml:space="preserve">In general, single exposure of resting or exercising healthy human subjects at </w:t>
            </w:r>
            <w:r>
              <w:rPr>
                <w:rFonts w:cs="Arial"/>
              </w:rPr>
              <w:t>≤</w:t>
            </w:r>
            <w:r>
              <w:t>1 mg/m</w:t>
            </w:r>
            <w:r w:rsidRPr="002A1F54">
              <w:rPr>
                <w:vertAlign w:val="superscript"/>
              </w:rPr>
              <w:t>3</w:t>
            </w:r>
            <w:r>
              <w:t xml:space="preserve"> found to produce no changes in pulmonary function</w:t>
            </w:r>
          </w:p>
          <w:p w14:paraId="4AC91CBB" w14:textId="5EAE0B4D" w:rsidR="00D0733B" w:rsidRDefault="00D0733B" w:rsidP="00DC06CA">
            <w:pPr>
              <w:pStyle w:val="ListBullet"/>
              <w:spacing w:before="60" w:after="60"/>
              <w:ind w:left="714" w:hanging="357"/>
              <w:contextualSpacing w:val="0"/>
            </w:pPr>
            <w:r>
              <w:t xml:space="preserve">Exposure to </w:t>
            </w:r>
            <w:r w:rsidR="009C2573">
              <w:t>sub-</w:t>
            </w:r>
            <w:r w:rsidR="00A75F8E">
              <w:t xml:space="preserve">micron </w:t>
            </w:r>
            <w:r>
              <w:t>particles can produce non-specific airway hyper-responsiveness, a central feature of asthma</w:t>
            </w:r>
          </w:p>
          <w:p w14:paraId="2A6AF697" w14:textId="2A334060" w:rsidR="00D83B6A" w:rsidRDefault="00C01BC0" w:rsidP="00DC06CA">
            <w:pPr>
              <w:pStyle w:val="ListBullet"/>
              <w:spacing w:before="60" w:after="60"/>
              <w:ind w:left="714" w:hanging="357"/>
              <w:contextualSpacing w:val="0"/>
            </w:pPr>
            <w:r>
              <w:t xml:space="preserve">Strong evidence individuals with pre-existing respiratory disease, such as asthma, are more susceptible </w:t>
            </w:r>
            <w:r w:rsidR="00C94B64" w:rsidRPr="00D83B6A">
              <w:rPr>
                <w:i/>
              </w:rPr>
              <w:t>via</w:t>
            </w:r>
            <w:r>
              <w:t xml:space="preserve"> inhalation than non-asthmatic individuals</w:t>
            </w:r>
            <w:r w:rsidR="00D46B14">
              <w:t>:</w:t>
            </w:r>
            <w:r>
              <w:t xml:space="preserve"> </w:t>
            </w:r>
          </w:p>
          <w:p w14:paraId="2D41B969" w14:textId="187FA14C" w:rsidR="00C01BC0" w:rsidRDefault="00C01BC0" w:rsidP="00DC06CA">
            <w:pPr>
              <w:pStyle w:val="ListBullet"/>
              <w:numPr>
                <w:ilvl w:val="0"/>
                <w:numId w:val="18"/>
              </w:numPr>
              <w:spacing w:before="60" w:after="60"/>
              <w:ind w:left="1080"/>
              <w:contextualSpacing w:val="0"/>
            </w:pPr>
            <w:r>
              <w:t xml:space="preserve">changes in pulmonary function occurred after acute </w:t>
            </w:r>
            <w:r w:rsidR="00C94B64">
              <w:t xml:space="preserve">aerosol </w:t>
            </w:r>
            <w:r>
              <w:t>exposure in a concentration range of 300</w:t>
            </w:r>
            <w:r w:rsidR="00C94B64">
              <w:t>-</w:t>
            </w:r>
            <w:r>
              <w:t>450 µg/m</w:t>
            </w:r>
            <w:r w:rsidRPr="00C01BC0">
              <w:rPr>
                <w:vertAlign w:val="superscript"/>
              </w:rPr>
              <w:t>3</w:t>
            </w:r>
            <w:r w:rsidR="00425A6B">
              <w:t xml:space="preserve"> in adult asthmatics</w:t>
            </w:r>
          </w:p>
          <w:p w14:paraId="1DE95528" w14:textId="1AE84631" w:rsidR="00425A6B" w:rsidRPr="00FB7F71" w:rsidRDefault="00C94B64" w:rsidP="00DC06CA">
            <w:pPr>
              <w:pStyle w:val="ListBullet"/>
              <w:spacing w:before="60" w:after="60"/>
              <w:ind w:left="714" w:hanging="357"/>
              <w:contextualSpacing w:val="0"/>
            </w:pPr>
            <w:r>
              <w:t>M</w:t>
            </w:r>
            <w:r w:rsidR="00425A6B">
              <w:t xml:space="preserve">ost effects of exposure to aerosols and potential for development of mucociliary clearance changes can be reduced and eliminated in many exposed persons if exposure is kept </w:t>
            </w:r>
            <w:r>
              <w:t>&lt;</w:t>
            </w:r>
            <w:r w:rsidR="00425A6B">
              <w:t>0.25 mg/m</w:t>
            </w:r>
            <w:r w:rsidR="00425A6B" w:rsidRPr="00BC73DE">
              <w:rPr>
                <w:vertAlign w:val="superscript"/>
              </w:rPr>
              <w:t>3</w:t>
            </w:r>
          </w:p>
          <w:p w14:paraId="2CE264F3" w14:textId="1AC63F90" w:rsidR="00D83B6A" w:rsidRDefault="00FB7F71" w:rsidP="00DC06CA">
            <w:pPr>
              <w:pStyle w:val="ListBullet"/>
              <w:spacing w:before="60" w:after="60"/>
              <w:ind w:left="714" w:hanging="357"/>
              <w:contextualSpacing w:val="0"/>
            </w:pPr>
            <w:r>
              <w:t>Carcinogenicity evidence is contradictory and contains re-evaluations of original studies with varying conclusions</w:t>
            </w:r>
            <w:r w:rsidR="00AA0D2D">
              <w:t>:</w:t>
            </w:r>
            <w:r>
              <w:t xml:space="preserve"> </w:t>
            </w:r>
          </w:p>
          <w:p w14:paraId="6A82143C" w14:textId="6C8AE54F" w:rsidR="00D83B6A" w:rsidRDefault="00FB7F71" w:rsidP="00DC06CA">
            <w:pPr>
              <w:pStyle w:val="ListBullet"/>
              <w:numPr>
                <w:ilvl w:val="0"/>
                <w:numId w:val="18"/>
              </w:numPr>
              <w:spacing w:before="60" w:after="60"/>
              <w:ind w:left="1080"/>
              <w:contextualSpacing w:val="0"/>
            </w:pPr>
            <w:r>
              <w:t xml:space="preserve">no human studies where occupational exposures </w:t>
            </w:r>
            <w:proofErr w:type="gramStart"/>
            <w:r w:rsidR="009C2573">
              <w:t>is</w:t>
            </w:r>
            <w:proofErr w:type="gramEnd"/>
            <w:r w:rsidR="009C2573">
              <w:t xml:space="preserve"> </w:t>
            </w:r>
            <w:r>
              <w:t>solely to sul</w:t>
            </w:r>
            <w:r w:rsidR="00C94B64">
              <w:t>f</w:t>
            </w:r>
            <w:r>
              <w:t>uric acid</w:t>
            </w:r>
          </w:p>
          <w:p w14:paraId="130C15C1" w14:textId="455E38CE" w:rsidR="00FB7F71" w:rsidRDefault="00FB7F71" w:rsidP="00DC06CA">
            <w:pPr>
              <w:pStyle w:val="ListBullet"/>
              <w:numPr>
                <w:ilvl w:val="0"/>
                <w:numId w:val="18"/>
              </w:numPr>
              <w:spacing w:before="60" w:after="60"/>
              <w:ind w:left="1080"/>
              <w:contextualSpacing w:val="0"/>
            </w:pPr>
            <w:r>
              <w:t>most exposures occur in the presence of other inorganic acids or metals such as nickel and chromium</w:t>
            </w:r>
            <w:r w:rsidR="00C94B64">
              <w:t>.</w:t>
            </w:r>
          </w:p>
          <w:p w14:paraId="0EDD987B" w14:textId="5B39345C" w:rsidR="005932CB" w:rsidRDefault="005932CB" w:rsidP="005932CB">
            <w:pPr>
              <w:pStyle w:val="ListBullet"/>
              <w:numPr>
                <w:ilvl w:val="0"/>
                <w:numId w:val="0"/>
              </w:numPr>
              <w:ind w:left="360" w:hanging="360"/>
            </w:pPr>
            <w:r>
              <w:t>Human data:</w:t>
            </w:r>
          </w:p>
          <w:p w14:paraId="3D94E8C0" w14:textId="143F1DEF" w:rsidR="000F229F" w:rsidRDefault="00AB5086" w:rsidP="000F229F">
            <w:pPr>
              <w:pStyle w:val="ListBullet"/>
              <w:spacing w:before="60" w:after="60"/>
              <w:ind w:left="714" w:hanging="357"/>
              <w:contextualSpacing w:val="0"/>
            </w:pPr>
            <w:r>
              <w:t>S</w:t>
            </w:r>
            <w:r w:rsidR="000F229F">
              <w:t>tudy in human</w:t>
            </w:r>
            <w:r w:rsidR="00ED0F08">
              <w:t>s</w:t>
            </w:r>
            <w:r w:rsidR="000F229F">
              <w:t xml:space="preserve"> exposed at 0.35-5 mg/m</w:t>
            </w:r>
            <w:r w:rsidR="000F229F">
              <w:rPr>
                <w:vertAlign w:val="superscript"/>
              </w:rPr>
              <w:t>3</w:t>
            </w:r>
            <w:r w:rsidR="000F229F">
              <w:t xml:space="preserve"> via facemask; &lt;1 mg/m</w:t>
            </w:r>
            <w:r w:rsidR="000F229F">
              <w:rPr>
                <w:vertAlign w:val="superscript"/>
              </w:rPr>
              <w:t>3</w:t>
            </w:r>
            <w:r w:rsidR="000F229F">
              <w:t xml:space="preserve"> could not detect odour, taste or irritation that were detected at 3 mg/m</w:t>
            </w:r>
            <w:r w:rsidR="000F229F">
              <w:rPr>
                <w:vertAlign w:val="superscript"/>
              </w:rPr>
              <w:t>3</w:t>
            </w:r>
            <w:r w:rsidR="000F229F">
              <w:t>.</w:t>
            </w:r>
          </w:p>
          <w:p w14:paraId="4BA807DB" w14:textId="72B9573F" w:rsidR="00FF022E" w:rsidRDefault="00AB5086" w:rsidP="00DC06CA">
            <w:pPr>
              <w:pStyle w:val="ListBullet"/>
              <w:spacing w:before="60" w:after="60"/>
              <w:ind w:left="714" w:hanging="357"/>
              <w:contextualSpacing w:val="0"/>
            </w:pPr>
            <w:r>
              <w:t>I</w:t>
            </w:r>
            <w:r w:rsidR="00C94B64">
              <w:t xml:space="preserve">nhalation </w:t>
            </w:r>
            <w:r w:rsidR="00FF022E">
              <w:t xml:space="preserve">study of the ability to alter clearance of insoluble particles from the lung, non-asthmatic and asthmatic volunteers exposed to </w:t>
            </w:r>
            <w:r w:rsidR="00F76518">
              <w:t xml:space="preserve">aerosols </w:t>
            </w:r>
            <w:r w:rsidR="00C90B15">
              <w:t xml:space="preserve">and tracheobronchial clearance of radioactively-tagged </w:t>
            </w:r>
            <w:r w:rsidR="00D83B6A">
              <w:t>Fe</w:t>
            </w:r>
            <w:r w:rsidR="00D83B6A" w:rsidRPr="0069043F">
              <w:rPr>
                <w:vertAlign w:val="subscript"/>
              </w:rPr>
              <w:t>2</w:t>
            </w:r>
            <w:r w:rsidR="00D83B6A">
              <w:t>O</w:t>
            </w:r>
            <w:r w:rsidR="00D83B6A" w:rsidRPr="0069043F">
              <w:rPr>
                <w:vertAlign w:val="subscript"/>
              </w:rPr>
              <w:t>3</w:t>
            </w:r>
            <w:r w:rsidR="00C90B15">
              <w:t xml:space="preserve"> particles inhaled just prior to or after acid aerosol exposure examined</w:t>
            </w:r>
            <w:r w:rsidR="00AA0D2D">
              <w:t>:</w:t>
            </w:r>
          </w:p>
          <w:p w14:paraId="5933E716" w14:textId="327E0FE0" w:rsidR="00C90B15" w:rsidRDefault="00F76518" w:rsidP="00DC06CA">
            <w:pPr>
              <w:pStyle w:val="ListBullet"/>
              <w:numPr>
                <w:ilvl w:val="0"/>
                <w:numId w:val="3"/>
              </w:numPr>
              <w:spacing w:before="60" w:after="60"/>
              <w:ind w:left="1077" w:hanging="357"/>
              <w:contextualSpacing w:val="0"/>
            </w:pPr>
            <w:r>
              <w:lastRenderedPageBreak/>
              <w:t>transient acceleration of clearance occurred after 1 h exposure at 100 µg/m</w:t>
            </w:r>
            <w:r w:rsidRPr="00F76518">
              <w:rPr>
                <w:vertAlign w:val="superscript"/>
              </w:rPr>
              <w:t>3</w:t>
            </w:r>
            <w:r>
              <w:t xml:space="preserve"> </w:t>
            </w:r>
          </w:p>
          <w:p w14:paraId="0488CF32" w14:textId="2933C4F7" w:rsidR="00F76518" w:rsidRDefault="00F76518" w:rsidP="00DC06CA">
            <w:pPr>
              <w:pStyle w:val="ListBullet"/>
              <w:numPr>
                <w:ilvl w:val="0"/>
                <w:numId w:val="3"/>
              </w:numPr>
              <w:spacing w:before="60" w:after="60"/>
              <w:ind w:left="1077" w:hanging="357"/>
              <w:contextualSpacing w:val="0"/>
            </w:pPr>
            <w:r>
              <w:t>transient slowing of clearance occurred after 1 h exposure at 1</w:t>
            </w:r>
            <w:r w:rsidR="00C94B64">
              <w:t>,</w:t>
            </w:r>
            <w:r>
              <w:t>000 µg/m</w:t>
            </w:r>
            <w:r w:rsidRPr="00F76518">
              <w:rPr>
                <w:vertAlign w:val="superscript"/>
              </w:rPr>
              <w:t>3</w:t>
            </w:r>
            <w:r>
              <w:t xml:space="preserve"> </w:t>
            </w:r>
          </w:p>
          <w:p w14:paraId="22E85EAD" w14:textId="06BE149C" w:rsidR="00A30C58" w:rsidRDefault="00A30C58" w:rsidP="00DC06CA">
            <w:pPr>
              <w:pStyle w:val="ListBullet"/>
              <w:spacing w:before="60" w:after="60"/>
              <w:ind w:left="714" w:hanging="357"/>
              <w:contextualSpacing w:val="0"/>
            </w:pPr>
            <w:r>
              <w:t>In contrast to study above, a</w:t>
            </w:r>
            <w:r w:rsidR="00D83ECB">
              <w:t xml:space="preserve"> </w:t>
            </w:r>
            <w:r w:rsidR="00F76518">
              <w:t xml:space="preserve">different </w:t>
            </w:r>
            <w:r>
              <w:t xml:space="preserve">study found </w:t>
            </w:r>
            <w:r w:rsidR="00D83ECB">
              <w:t>healthy, young, exer</w:t>
            </w:r>
            <w:r>
              <w:t>cising adults, expos</w:t>
            </w:r>
            <w:r w:rsidR="00AB5086">
              <w:t>ed</w:t>
            </w:r>
            <w:r>
              <w:t xml:space="preserve"> at 1</w:t>
            </w:r>
            <w:r w:rsidR="00C94B64">
              <w:t>,</w:t>
            </w:r>
            <w:r>
              <w:t>000 </w:t>
            </w:r>
            <w:r w:rsidR="00D83ECB">
              <w:t>µg/m</w:t>
            </w:r>
            <w:r w:rsidR="00D83ECB" w:rsidRPr="00D83ECB">
              <w:rPr>
                <w:vertAlign w:val="superscript"/>
              </w:rPr>
              <w:t>3</w:t>
            </w:r>
            <w:r w:rsidR="00D83ECB">
              <w:t xml:space="preserve"> resulted in a speeding of the bronchial clearance mechanism</w:t>
            </w:r>
            <w:r w:rsidR="0075253F">
              <w:t>; solubility of particles used may account for difference</w:t>
            </w:r>
          </w:p>
          <w:p w14:paraId="3BD91AD2" w14:textId="2FDA428C" w:rsidR="00C76B9F" w:rsidRDefault="00C76B9F" w:rsidP="00AB5086">
            <w:pPr>
              <w:pStyle w:val="ListBullet"/>
              <w:spacing w:before="60" w:after="60"/>
              <w:ind w:left="714" w:hanging="357"/>
              <w:contextualSpacing w:val="0"/>
            </w:pPr>
            <w:r>
              <w:t>Exercising adult asthmatic volunteers exposed at 100 and 450 µg/m</w:t>
            </w:r>
            <w:r w:rsidRPr="00C76B9F">
              <w:rPr>
                <w:vertAlign w:val="superscript"/>
              </w:rPr>
              <w:t>3</w:t>
            </w:r>
            <w:r w:rsidR="0075253F">
              <w:t xml:space="preserve">; </w:t>
            </w:r>
            <w:r>
              <w:t>reduction in FEV</w:t>
            </w:r>
            <w:r w:rsidRPr="0075253F">
              <w:rPr>
                <w:vertAlign w:val="subscript"/>
              </w:rPr>
              <w:t>1</w:t>
            </w:r>
            <w:r>
              <w:t xml:space="preserve"> and specific airway conductance in asthmatic subjects after exposure at 450 µg/m</w:t>
            </w:r>
            <w:r w:rsidRPr="0075253F">
              <w:rPr>
                <w:vertAlign w:val="superscript"/>
              </w:rPr>
              <w:t>3</w:t>
            </w:r>
            <w:r>
              <w:t xml:space="preserve"> but not at 100 µg/m</w:t>
            </w:r>
            <w:r w:rsidRPr="0075253F">
              <w:rPr>
                <w:vertAlign w:val="superscript"/>
              </w:rPr>
              <w:t>3</w:t>
            </w:r>
            <w:r>
              <w:t xml:space="preserve"> </w:t>
            </w:r>
          </w:p>
          <w:p w14:paraId="0562BAD2" w14:textId="680556A7" w:rsidR="00BC73DE" w:rsidRDefault="009C7E64" w:rsidP="00DC06CA">
            <w:pPr>
              <w:pStyle w:val="ListBullet"/>
              <w:spacing w:before="60" w:after="60"/>
              <w:ind w:left="714" w:hanging="357"/>
              <w:contextualSpacing w:val="0"/>
            </w:pPr>
            <w:r>
              <w:t>A</w:t>
            </w:r>
            <w:r w:rsidR="00BC73DE">
              <w:t>ssociation of respiratory cancers with exposure to aerosols examined in many studies</w:t>
            </w:r>
            <w:r w:rsidR="0023611D">
              <w:t>;</w:t>
            </w:r>
            <w:r w:rsidR="00BC73DE">
              <w:t xml:space="preserve"> quality of data questioned due to exposure discrepancies and difficulty in interpreting due to confounders</w:t>
            </w:r>
          </w:p>
          <w:p w14:paraId="6C5A5928" w14:textId="67C25C8A" w:rsidR="008A3134" w:rsidRDefault="009C7E64" w:rsidP="00DC06CA">
            <w:pPr>
              <w:pStyle w:val="ListBullet"/>
              <w:spacing w:before="60" w:after="60"/>
              <w:ind w:left="714" w:hanging="357"/>
              <w:contextualSpacing w:val="0"/>
            </w:pPr>
            <w:r>
              <w:t>I</w:t>
            </w:r>
            <w:r w:rsidR="00441B9E">
              <w:t>ncreased incidence of laryngeal cancer initially reported in 1</w:t>
            </w:r>
            <w:r w:rsidR="00FC02C8">
              <w:t>,</w:t>
            </w:r>
            <w:r w:rsidR="00441B9E">
              <w:t xml:space="preserve">165 steel workers, with average exposure concentration of </w:t>
            </w:r>
            <w:r w:rsidR="00FC02C8">
              <w:t>~</w:t>
            </w:r>
            <w:r w:rsidR="00441B9E">
              <w:t>2 mg/m</w:t>
            </w:r>
            <w:r w:rsidR="00441B9E" w:rsidRPr="00441B9E">
              <w:rPr>
                <w:vertAlign w:val="superscript"/>
              </w:rPr>
              <w:t>3</w:t>
            </w:r>
            <w:r w:rsidR="00441B9E">
              <w:t xml:space="preserve"> in pickling operations</w:t>
            </w:r>
            <w:r w:rsidR="0075253F">
              <w:t>; SMR dropped fr</w:t>
            </w:r>
            <w:r>
              <w:t>om</w:t>
            </w:r>
            <w:r w:rsidR="0075253F">
              <w:t xml:space="preserve"> 1.56 to 1.36 when controlled for smoking</w:t>
            </w:r>
          </w:p>
          <w:p w14:paraId="326B905A" w14:textId="19CDFC63" w:rsidR="00A91183" w:rsidRDefault="009C7E64" w:rsidP="00DC06CA">
            <w:pPr>
              <w:pStyle w:val="ListBullet"/>
              <w:spacing w:before="60" w:after="60"/>
              <w:ind w:left="714" w:hanging="357"/>
              <w:contextualSpacing w:val="0"/>
            </w:pPr>
            <w:r>
              <w:t>N</w:t>
            </w:r>
            <w:r w:rsidR="00A91183">
              <w:t xml:space="preserve">ested case-control study of tumours associated with </w:t>
            </w:r>
            <w:r>
              <w:t xml:space="preserve">the </w:t>
            </w:r>
            <w:r w:rsidR="00FC02C8">
              <w:t>URT</w:t>
            </w:r>
            <w:r w:rsidR="00A91183">
              <w:t xml:space="preserve"> on workers employed since 1950</w:t>
            </w:r>
            <w:r w:rsidR="00D46B14">
              <w:t>:</w:t>
            </w:r>
          </w:p>
          <w:p w14:paraId="229A705A" w14:textId="6B6A1961" w:rsidR="008A3134" w:rsidRDefault="00A91183" w:rsidP="00DC06CA">
            <w:pPr>
              <w:pStyle w:val="ListBullet"/>
              <w:numPr>
                <w:ilvl w:val="0"/>
                <w:numId w:val="11"/>
              </w:numPr>
              <w:spacing w:before="60" w:after="60"/>
              <w:ind w:left="1077" w:hanging="357"/>
              <w:contextualSpacing w:val="0"/>
            </w:pPr>
            <w:r>
              <w:t>cohort consisted of 2</w:t>
            </w:r>
            <w:r w:rsidR="00FC02C8">
              <w:t>,</w:t>
            </w:r>
            <w:r>
              <w:t xml:space="preserve">678 men with </w:t>
            </w:r>
            <w:r w:rsidR="0075253F">
              <w:t xml:space="preserve">known </w:t>
            </w:r>
            <w:r>
              <w:t>exposure to sulfuric acid, 367 individuals with possible exposure and 1</w:t>
            </w:r>
            <w:r w:rsidR="00FC02C8">
              <w:t>,</w:t>
            </w:r>
            <w:r>
              <w:t>356 unexposed</w:t>
            </w:r>
          </w:p>
          <w:p w14:paraId="5BB49182" w14:textId="605C8D0E" w:rsidR="00A91183" w:rsidRDefault="00A91183" w:rsidP="00DC06CA">
            <w:pPr>
              <w:pStyle w:val="ListBullet"/>
              <w:numPr>
                <w:ilvl w:val="0"/>
                <w:numId w:val="11"/>
              </w:numPr>
              <w:spacing w:before="60" w:after="60"/>
              <w:ind w:left="1077" w:hanging="357"/>
              <w:contextualSpacing w:val="0"/>
            </w:pPr>
            <w:r>
              <w:t>mortality rates compared with the national population using person-years method</w:t>
            </w:r>
          </w:p>
          <w:p w14:paraId="0C4BB6C6" w14:textId="4EDA0511" w:rsidR="00A91183" w:rsidRDefault="00A91183" w:rsidP="00DC06CA">
            <w:pPr>
              <w:pStyle w:val="ListBullet"/>
              <w:numPr>
                <w:ilvl w:val="0"/>
                <w:numId w:val="11"/>
              </w:numPr>
              <w:spacing w:before="60" w:after="60"/>
              <w:ind w:left="1077" w:hanging="357"/>
              <w:contextualSpacing w:val="0"/>
            </w:pPr>
            <w:r>
              <w:t xml:space="preserve">among those </w:t>
            </w:r>
            <w:r w:rsidR="00584459">
              <w:t xml:space="preserve">known to be </w:t>
            </w:r>
            <w:r>
              <w:t>exposed, overall mortality</w:t>
            </w:r>
            <w:r w:rsidR="002A6A2A">
              <w:t xml:space="preserve"> </w:t>
            </w:r>
            <w:r w:rsidR="00FC02C8">
              <w:t>&lt;</w:t>
            </w:r>
            <w:r>
              <w:t>national population (</w:t>
            </w:r>
            <w:proofErr w:type="gramStart"/>
            <w:r>
              <w:t>SMR</w:t>
            </w:r>
            <w:r w:rsidR="00BB6B85">
              <w:t> </w:t>
            </w:r>
            <w:r>
              <w:t xml:space="preserve"> </w:t>
            </w:r>
            <w:r w:rsidR="00BB6B85">
              <w:t>=</w:t>
            </w:r>
            <w:proofErr w:type="gramEnd"/>
            <w:r w:rsidR="00BB6B85">
              <w:t> </w:t>
            </w:r>
            <w:r>
              <w:t>0.92)</w:t>
            </w:r>
          </w:p>
          <w:p w14:paraId="50F8ABB4" w14:textId="1D014F38" w:rsidR="00A91183" w:rsidRDefault="00A91183" w:rsidP="00DC06CA">
            <w:pPr>
              <w:pStyle w:val="ListBullet"/>
              <w:numPr>
                <w:ilvl w:val="0"/>
                <w:numId w:val="11"/>
              </w:numPr>
              <w:spacing w:before="60" w:after="60"/>
              <w:ind w:left="1077" w:hanging="357"/>
              <w:contextualSpacing w:val="0"/>
            </w:pPr>
            <w:r>
              <w:t>mortality specifically from cancer of the larynx (SMR = 0.48) and lung (</w:t>
            </w:r>
            <w:r w:rsidR="0023611D">
              <w:t>SMR </w:t>
            </w:r>
            <w:r>
              <w:t>0.98)</w:t>
            </w:r>
            <w:r w:rsidR="002A6A2A">
              <w:t xml:space="preserve"> </w:t>
            </w:r>
            <w:r w:rsidR="009C7E64">
              <w:t>&lt;</w:t>
            </w:r>
            <w:r w:rsidR="00BB6B85">
              <w:t> </w:t>
            </w:r>
            <w:r>
              <w:t>national population</w:t>
            </w:r>
          </w:p>
          <w:p w14:paraId="6F89F0D3" w14:textId="0CD7F7C6" w:rsidR="00A91183" w:rsidRDefault="00A91183" w:rsidP="00DC06CA">
            <w:pPr>
              <w:pStyle w:val="ListBullet"/>
              <w:numPr>
                <w:ilvl w:val="0"/>
                <w:numId w:val="11"/>
              </w:numPr>
              <w:spacing w:before="60" w:after="60"/>
              <w:ind w:left="1077" w:hanging="357"/>
              <w:contextualSpacing w:val="0"/>
            </w:pPr>
            <w:r>
              <w:t xml:space="preserve">concluded risk of mortality from respiratory cancer </w:t>
            </w:r>
            <w:r w:rsidR="002A6A2A">
              <w:t>to be low</w:t>
            </w:r>
            <w:r>
              <w:t xml:space="preserve"> if exposure &lt;1 mg/m</w:t>
            </w:r>
            <w:r>
              <w:rPr>
                <w:vertAlign w:val="superscript"/>
              </w:rPr>
              <w:t>3</w:t>
            </w:r>
            <w:r w:rsidR="00AB5086">
              <w:t>.</w:t>
            </w:r>
          </w:p>
          <w:p w14:paraId="0FAD3654" w14:textId="198D69BA" w:rsidR="005932CB" w:rsidRDefault="005932CB" w:rsidP="00D83B6A">
            <w:pPr>
              <w:pStyle w:val="Tabletextprimarysource"/>
            </w:pPr>
            <w:r>
              <w:t>Animal data:</w:t>
            </w:r>
          </w:p>
          <w:p w14:paraId="4B41319D" w14:textId="0E58300B" w:rsidR="005932CB" w:rsidRDefault="005932CB" w:rsidP="00DC06CA">
            <w:pPr>
              <w:pStyle w:val="ListBullet"/>
              <w:spacing w:before="60" w:after="60"/>
              <w:ind w:left="717"/>
              <w:contextualSpacing w:val="0"/>
            </w:pPr>
            <w:r>
              <w:t>Series of reports on studies on chronically exposed monkeys</w:t>
            </w:r>
            <w:r w:rsidR="00D46B14">
              <w:t>:</w:t>
            </w:r>
          </w:p>
          <w:p w14:paraId="644DA419" w14:textId="36613C19" w:rsidR="007C1575" w:rsidRDefault="007C1575" w:rsidP="00DC06CA">
            <w:pPr>
              <w:pStyle w:val="ListBullet"/>
              <w:numPr>
                <w:ilvl w:val="0"/>
                <w:numId w:val="2"/>
              </w:numPr>
              <w:spacing w:before="60" w:after="60"/>
              <w:ind w:left="1080"/>
              <w:contextualSpacing w:val="0"/>
            </w:pPr>
            <w:r>
              <w:t xml:space="preserve">authors found hyperplasia and hypertrophy of the bronchial epithelium </w:t>
            </w:r>
            <w:r w:rsidR="003C47F1">
              <w:t>at 0.4 mg/m</w:t>
            </w:r>
            <w:r w:rsidR="003C47F1">
              <w:rPr>
                <w:vertAlign w:val="superscript"/>
              </w:rPr>
              <w:t>3</w:t>
            </w:r>
          </w:p>
          <w:p w14:paraId="5BD3EA0E" w14:textId="0B46BD2A" w:rsidR="00D02885" w:rsidRDefault="007C1575" w:rsidP="00DC06CA">
            <w:pPr>
              <w:pStyle w:val="ListBullet"/>
              <w:numPr>
                <w:ilvl w:val="0"/>
                <w:numId w:val="2"/>
              </w:numPr>
              <w:spacing w:before="60" w:after="60"/>
              <w:ind w:left="1080"/>
              <w:contextualSpacing w:val="0"/>
            </w:pPr>
            <w:r>
              <w:t xml:space="preserve">authors concluded exposure to acid mist at </w:t>
            </w:r>
            <w:r w:rsidR="00FC02C8">
              <w:t>~</w:t>
            </w:r>
            <w:r>
              <w:t>0.4 mg/m</w:t>
            </w:r>
            <w:r w:rsidRPr="007C1575">
              <w:rPr>
                <w:vertAlign w:val="superscript"/>
              </w:rPr>
              <w:t>3</w:t>
            </w:r>
            <w:r>
              <w:t>, regardless of particle size, capable of inducing slight but detectable deleterious effects on pulmonary structures or in pulmonary function in non</w:t>
            </w:r>
            <w:r w:rsidR="009C7E64">
              <w:t>-</w:t>
            </w:r>
            <w:r>
              <w:t>human primates</w:t>
            </w:r>
          </w:p>
          <w:p w14:paraId="4F2D61DD" w14:textId="58AB85F3" w:rsidR="00463C2B" w:rsidRDefault="009C7E64" w:rsidP="00DC06CA">
            <w:pPr>
              <w:pStyle w:val="ListBullet"/>
              <w:spacing w:before="60" w:after="60"/>
              <w:ind w:left="717"/>
              <w:contextualSpacing w:val="0"/>
            </w:pPr>
            <w:r>
              <w:t>S</w:t>
            </w:r>
            <w:r w:rsidR="00463C2B">
              <w:t>tudy examined pulmonary clearance in rabbits exposed for 1</w:t>
            </w:r>
            <w:r w:rsidR="001A1310">
              <w:t>–</w:t>
            </w:r>
            <w:r w:rsidR="00463C2B">
              <w:t>4 h/d up to 14 d</w:t>
            </w:r>
            <w:r w:rsidR="00AA0D2D">
              <w:t>:</w:t>
            </w:r>
            <w:r w:rsidR="00463C2B">
              <w:t xml:space="preserve"> </w:t>
            </w:r>
          </w:p>
          <w:p w14:paraId="2E4F7C08" w14:textId="440534F0" w:rsidR="00463C2B" w:rsidRDefault="00463C2B" w:rsidP="00DC06CA">
            <w:pPr>
              <w:pStyle w:val="ListBullet"/>
              <w:numPr>
                <w:ilvl w:val="0"/>
                <w:numId w:val="5"/>
              </w:numPr>
              <w:spacing w:before="60" w:after="60"/>
              <w:ind w:left="1080"/>
              <w:contextualSpacing w:val="0"/>
            </w:pPr>
            <w:r>
              <w:t>exposure at 0.05 mg/m</w:t>
            </w:r>
            <w:r w:rsidRPr="00463C2B">
              <w:rPr>
                <w:vertAlign w:val="superscript"/>
              </w:rPr>
              <w:t>3</w:t>
            </w:r>
            <w:r>
              <w:t xml:space="preserve"> for 4 h/d resulted in significant reduction in pulmonary clearance half time, meaning acceleration of clearance</w:t>
            </w:r>
          </w:p>
          <w:p w14:paraId="6CE12F5B" w14:textId="46803CC2" w:rsidR="005932CB" w:rsidRDefault="00463C2B" w:rsidP="00DC06CA">
            <w:pPr>
              <w:pStyle w:val="ListBullet"/>
              <w:numPr>
                <w:ilvl w:val="0"/>
                <w:numId w:val="5"/>
              </w:numPr>
              <w:spacing w:before="60" w:after="60"/>
              <w:ind w:left="1080"/>
              <w:contextualSpacing w:val="0"/>
            </w:pPr>
            <w:r>
              <w:t>0.1 mg/m</w:t>
            </w:r>
            <w:r w:rsidRPr="002C39EE">
              <w:rPr>
                <w:vertAlign w:val="superscript"/>
              </w:rPr>
              <w:t xml:space="preserve">3 </w:t>
            </w:r>
            <w:r w:rsidR="002C39EE">
              <w:t>for 2 h/d</w:t>
            </w:r>
            <w:r>
              <w:t xml:space="preserve"> </w:t>
            </w:r>
            <w:r w:rsidR="002C39EE">
              <w:t xml:space="preserve">also </w:t>
            </w:r>
            <w:r>
              <w:t xml:space="preserve">resulted in significant reduction in pulmonary clearance half time </w:t>
            </w:r>
          </w:p>
          <w:p w14:paraId="796EF7D9" w14:textId="6837D3CF" w:rsidR="002C39EE" w:rsidRDefault="009C7E64" w:rsidP="00DC06CA">
            <w:pPr>
              <w:pStyle w:val="ListBullet"/>
              <w:spacing w:before="60" w:after="60"/>
              <w:ind w:left="717"/>
              <w:contextualSpacing w:val="0"/>
            </w:pPr>
            <w:r>
              <w:t>S</w:t>
            </w:r>
            <w:r w:rsidR="00D0733B">
              <w:t xml:space="preserve">tudy on rabbits chronically exposed to submicronic mist at </w:t>
            </w:r>
            <w:r w:rsidR="003A7DE2">
              <w:t xml:space="preserve">0 or </w:t>
            </w:r>
            <w:r w:rsidR="00D0733B">
              <w:t>250 µg/m</w:t>
            </w:r>
            <w:r w:rsidR="00D0733B">
              <w:rPr>
                <w:vertAlign w:val="superscript"/>
              </w:rPr>
              <w:t>3</w:t>
            </w:r>
            <w:r w:rsidR="00D0733B">
              <w:t xml:space="preserve">; </w:t>
            </w:r>
            <w:r w:rsidR="00D00715">
              <w:t xml:space="preserve">bronchial responsiveness </w:t>
            </w:r>
            <w:r w:rsidR="00D0733B">
              <w:t>assess</w:t>
            </w:r>
            <w:r w:rsidR="00D00715">
              <w:t>ed</w:t>
            </w:r>
            <w:r w:rsidR="00D0733B">
              <w:t xml:space="preserve"> at 4, 8 and 12 </w:t>
            </w:r>
            <w:proofErr w:type="spellStart"/>
            <w:r w:rsidR="00D0733B">
              <w:t>mo</w:t>
            </w:r>
            <w:proofErr w:type="spellEnd"/>
            <w:r w:rsidR="00D46B14">
              <w:t>:</w:t>
            </w:r>
          </w:p>
          <w:p w14:paraId="4C0E8139" w14:textId="6499E66C" w:rsidR="003A7DE2" w:rsidRDefault="003A7DE2" w:rsidP="00DC06CA">
            <w:pPr>
              <w:pStyle w:val="ListBullet"/>
              <w:numPr>
                <w:ilvl w:val="0"/>
                <w:numId w:val="7"/>
              </w:numPr>
              <w:spacing w:before="60" w:after="60"/>
              <w:ind w:left="1080"/>
              <w:contextualSpacing w:val="0"/>
            </w:pPr>
            <w:r>
              <w:t>relative to controls, exposed rabbits showed decreased mucociliary clearance, decreased airways diameter, increased secretory cell count, and increased bronchial reactivity</w:t>
            </w:r>
          </w:p>
          <w:p w14:paraId="419F4A01" w14:textId="7C19689A" w:rsidR="00E57B5A" w:rsidRDefault="00E57B5A" w:rsidP="00DC06CA">
            <w:pPr>
              <w:pStyle w:val="ListBullet"/>
              <w:numPr>
                <w:ilvl w:val="0"/>
                <w:numId w:val="7"/>
              </w:numPr>
              <w:spacing w:before="60" w:after="60"/>
              <w:ind w:left="1080"/>
              <w:contextualSpacing w:val="0"/>
            </w:pPr>
            <w:r>
              <w:t>airway hyper</w:t>
            </w:r>
            <w:r w:rsidR="009C7E64">
              <w:t>-</w:t>
            </w:r>
            <w:r>
              <w:t xml:space="preserve">responsiveness is a central feature of asthma, chronic exposure </w:t>
            </w:r>
            <w:r w:rsidR="009C7E64">
              <w:t>may</w:t>
            </w:r>
            <w:r>
              <w:t xml:space="preserve"> be associated with obstructive airway disease</w:t>
            </w:r>
          </w:p>
          <w:p w14:paraId="0B836CD9" w14:textId="1472EA5B" w:rsidR="00E57B5A" w:rsidRDefault="00E57B5A" w:rsidP="00DC06CA">
            <w:pPr>
              <w:pStyle w:val="ListBullet"/>
              <w:numPr>
                <w:ilvl w:val="0"/>
                <w:numId w:val="7"/>
              </w:numPr>
              <w:spacing w:before="60" w:after="60"/>
              <w:ind w:left="1080"/>
              <w:contextualSpacing w:val="0"/>
            </w:pPr>
            <w:r>
              <w:t xml:space="preserve">epidemiology studies </w:t>
            </w:r>
            <w:r w:rsidR="00321D55">
              <w:t xml:space="preserve">said to </w:t>
            </w:r>
            <w:r>
              <w:t>have not addressed this in occupational settings</w:t>
            </w:r>
            <w:r w:rsidR="009C7E64">
              <w:t>.</w:t>
            </w:r>
          </w:p>
          <w:p w14:paraId="1040071A" w14:textId="77777777" w:rsidR="0023611D" w:rsidRDefault="0023611D" w:rsidP="00D83B6A">
            <w:pPr>
              <w:pStyle w:val="Tabletextprimarysource"/>
            </w:pPr>
          </w:p>
          <w:p w14:paraId="469DD510" w14:textId="77777777" w:rsidR="0023611D" w:rsidRDefault="007D51A2" w:rsidP="00D83B6A">
            <w:pPr>
              <w:pStyle w:val="Tabletextprimarysource"/>
            </w:pPr>
            <w:r>
              <w:t>Insufficient data to assign a skin or sensitiser notation or recommend a TLV-STEL.</w:t>
            </w:r>
          </w:p>
          <w:p w14:paraId="0CE4D35D" w14:textId="473E9318" w:rsidR="001A1310" w:rsidRPr="00DA352E" w:rsidRDefault="001A1310" w:rsidP="00D83B6A">
            <w:pPr>
              <w:pStyle w:val="Tabletextprimarysource"/>
            </w:pPr>
          </w:p>
        </w:tc>
      </w:tr>
      <w:tr w:rsidR="00C978F0" w:rsidRPr="00DA352E" w14:paraId="174F8B79" w14:textId="77777777" w:rsidTr="00EF4FCA">
        <w:trPr>
          <w:gridAfter w:val="1"/>
          <w:wAfter w:w="8" w:type="pct"/>
        </w:trPr>
        <w:tc>
          <w:tcPr>
            <w:tcW w:w="4992" w:type="pct"/>
            <w:shd w:val="clear" w:color="auto" w:fill="F2F2F2" w:themeFill="background1" w:themeFillShade="F2"/>
          </w:tcPr>
          <w:p w14:paraId="65BCCE9F" w14:textId="4339D551"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49537F">
                  <w:t>1999</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49537F">
                  <w:t>MAK: 0.1 mg/m</w:t>
                </w:r>
                <w:r w:rsidR="0049537F" w:rsidRPr="0049537F">
                  <w:rPr>
                    <w:vertAlign w:val="superscript"/>
                  </w:rPr>
                  <w:t>3</w:t>
                </w:r>
              </w:sdtContent>
            </w:sdt>
          </w:p>
        </w:tc>
      </w:tr>
      <w:tr w:rsidR="00C978F0" w:rsidRPr="00DA352E" w14:paraId="4433014F" w14:textId="77777777" w:rsidTr="00EF4FCA">
        <w:trPr>
          <w:gridAfter w:val="1"/>
          <w:wAfter w:w="8" w:type="pct"/>
        </w:trPr>
        <w:tc>
          <w:tcPr>
            <w:tcW w:w="4992" w:type="pct"/>
          </w:tcPr>
          <w:p w14:paraId="377A4304" w14:textId="4E5D7DBE" w:rsidR="00C978F0" w:rsidRDefault="007D51A2" w:rsidP="003365A5">
            <w:pPr>
              <w:pStyle w:val="Tabletextprimarysource"/>
            </w:pPr>
            <w:r>
              <w:t>MAK based on alterations in mucociliary clearance in humans, considered the most sensitive end</w:t>
            </w:r>
            <w:r w:rsidR="0073423D">
              <w:t>-</w:t>
            </w:r>
            <w:r>
              <w:t xml:space="preserve"> point</w:t>
            </w:r>
            <w:r w:rsidR="00FC02C8">
              <w:t>.</w:t>
            </w:r>
          </w:p>
          <w:p w14:paraId="59DDB3AE" w14:textId="0D55A296" w:rsidR="00D769DC" w:rsidRDefault="00D769DC" w:rsidP="003365A5">
            <w:pPr>
              <w:pStyle w:val="Tabletextprimarysource"/>
            </w:pPr>
            <w:r>
              <w:t>Summary of additional data</w:t>
            </w:r>
          </w:p>
          <w:p w14:paraId="3C78B564" w14:textId="73ADCFB7" w:rsidR="00D769DC" w:rsidRDefault="00D769DC" w:rsidP="003365A5">
            <w:pPr>
              <w:pStyle w:val="Tabletextprimarysource"/>
            </w:pPr>
            <w:r>
              <w:t>Evidence used as basis of MAK value</w:t>
            </w:r>
            <w:r w:rsidR="00FC02C8">
              <w:t>.</w:t>
            </w:r>
          </w:p>
          <w:p w14:paraId="66A2508B" w14:textId="35C9393C" w:rsidR="00D769DC" w:rsidRDefault="00D769DC" w:rsidP="00DC06CA">
            <w:pPr>
              <w:pStyle w:val="ListBullet"/>
              <w:spacing w:before="60" w:after="60"/>
              <w:ind w:left="714" w:hanging="357"/>
              <w:contextualSpacing w:val="0"/>
            </w:pPr>
            <w:r>
              <w:t xml:space="preserve">In humans, mucociliary clearance </w:t>
            </w:r>
            <w:r w:rsidR="00FC02C8">
              <w:t xml:space="preserve">rate </w:t>
            </w:r>
            <w:r>
              <w:t xml:space="preserve">consistently reduced at </w:t>
            </w:r>
            <w:r>
              <w:rPr>
                <w:rFonts w:cs="Arial"/>
              </w:rPr>
              <w:t>≥</w:t>
            </w:r>
            <w:r>
              <w:t>0.3 mg/m</w:t>
            </w:r>
            <w:r w:rsidRPr="00D769DC">
              <w:rPr>
                <w:vertAlign w:val="superscript"/>
              </w:rPr>
              <w:t>3</w:t>
            </w:r>
            <w:r>
              <w:t>; refers to studies cited by ACGIH</w:t>
            </w:r>
          </w:p>
          <w:p w14:paraId="7919319A" w14:textId="027B4A99" w:rsidR="00D769DC" w:rsidRPr="00D769DC" w:rsidRDefault="00D769DC" w:rsidP="00DC06CA">
            <w:pPr>
              <w:pStyle w:val="ListBullet"/>
              <w:spacing w:before="60" w:after="60"/>
              <w:ind w:left="714" w:hanging="357"/>
              <w:contextualSpacing w:val="0"/>
            </w:pPr>
            <w:r>
              <w:t>Coughing reported during exposures with heavy exercise at 0.38 mg/m</w:t>
            </w:r>
            <w:r w:rsidRPr="00D769DC">
              <w:rPr>
                <w:vertAlign w:val="superscript"/>
              </w:rPr>
              <w:t>3</w:t>
            </w:r>
            <w:r>
              <w:t xml:space="preserve"> and </w:t>
            </w:r>
            <w:r w:rsidR="0023611D">
              <w:t>throat i</w:t>
            </w:r>
            <w:r>
              <w:t>rritation at 0.45 mg/m</w:t>
            </w:r>
            <w:r w:rsidRPr="00D769DC">
              <w:rPr>
                <w:vertAlign w:val="superscript"/>
              </w:rPr>
              <w:t>3</w:t>
            </w:r>
          </w:p>
          <w:p w14:paraId="5D048EC4" w14:textId="09D57C78" w:rsidR="00D769DC" w:rsidRDefault="00D769DC" w:rsidP="00DC06CA">
            <w:pPr>
              <w:pStyle w:val="ListBullet"/>
              <w:spacing w:before="60" w:after="60"/>
              <w:ind w:left="714" w:hanging="357"/>
              <w:contextualSpacing w:val="0"/>
            </w:pPr>
            <w:r>
              <w:t>Calculations demonstrate a</w:t>
            </w:r>
            <w:r w:rsidR="0075253F">
              <w:t>n expected</w:t>
            </w:r>
            <w:r>
              <w:t xml:space="preserve"> significant reduction</w:t>
            </w:r>
            <w:r w:rsidR="0075253F">
              <w:t xml:space="preserve"> </w:t>
            </w:r>
            <w:r>
              <w:t xml:space="preserve">in the pH of the mucous after exposure </w:t>
            </w:r>
            <w:r w:rsidR="0023611D">
              <w:t>at</w:t>
            </w:r>
            <w:r>
              <w:t xml:space="preserve"> </w:t>
            </w:r>
            <w:r>
              <w:rPr>
                <w:rFonts w:cs="Arial"/>
              </w:rPr>
              <w:t>≥</w:t>
            </w:r>
            <w:r>
              <w:t xml:space="preserve"> 0.3 mg/m</w:t>
            </w:r>
            <w:r w:rsidRPr="00D769DC">
              <w:rPr>
                <w:vertAlign w:val="superscript"/>
              </w:rPr>
              <w:t>3</w:t>
            </w:r>
          </w:p>
          <w:p w14:paraId="035E5EFF" w14:textId="2EE1CECB" w:rsidR="00D769DC" w:rsidRDefault="00274EC8" w:rsidP="00DC06CA">
            <w:pPr>
              <w:pStyle w:val="ListBullet"/>
              <w:spacing w:before="60" w:after="60"/>
              <w:ind w:left="714" w:hanging="357"/>
              <w:contextualSpacing w:val="0"/>
            </w:pPr>
            <w:r>
              <w:t>Not possible to make a statement as to the effects on humans of long-term exposure</w:t>
            </w:r>
          </w:p>
          <w:p w14:paraId="0F49949C" w14:textId="77777777" w:rsidR="007D51A2" w:rsidRDefault="00274EC8" w:rsidP="00DC06CA">
            <w:pPr>
              <w:pStyle w:val="ListBullet"/>
              <w:spacing w:before="60" w:after="60"/>
              <w:ind w:left="714" w:hanging="357"/>
              <w:contextualSpacing w:val="0"/>
            </w:pPr>
            <w:r>
              <w:t>MAK set at 0.1 mg/m</w:t>
            </w:r>
            <w:r w:rsidRPr="00274EC8">
              <w:rPr>
                <w:vertAlign w:val="superscript"/>
              </w:rPr>
              <w:t>3</w:t>
            </w:r>
            <w:r w:rsidR="00FC02C8">
              <w:t>.</w:t>
            </w:r>
          </w:p>
          <w:p w14:paraId="61A64F09" w14:textId="42DC0F73" w:rsidR="0023611D" w:rsidRPr="00DA352E" w:rsidRDefault="0023611D" w:rsidP="0069043F">
            <w:pPr>
              <w:pStyle w:val="ListBullet"/>
              <w:numPr>
                <w:ilvl w:val="0"/>
                <w:numId w:val="0"/>
              </w:numPr>
              <w:spacing w:before="60" w:after="60"/>
              <w:ind w:left="360" w:hanging="360"/>
              <w:contextualSpacing w:val="0"/>
            </w:pPr>
          </w:p>
        </w:tc>
      </w:tr>
      <w:tr w:rsidR="00C978F0" w:rsidRPr="00DA352E" w14:paraId="0E6A0B2C" w14:textId="77777777" w:rsidTr="00EF4FCA">
        <w:trPr>
          <w:gridAfter w:val="1"/>
          <w:wAfter w:w="8" w:type="pct"/>
        </w:trPr>
        <w:tc>
          <w:tcPr>
            <w:tcW w:w="4992" w:type="pct"/>
            <w:shd w:val="clear" w:color="auto" w:fill="F2F2F2" w:themeFill="background1" w:themeFillShade="F2"/>
          </w:tcPr>
          <w:p w14:paraId="73C602E5" w14:textId="4FE2CF49"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49537F">
                  <w:t>2007/2012</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8A5921">
                  <w:t>TWA: 0.05 mg/m</w:t>
                </w:r>
                <w:r w:rsidR="008A5921" w:rsidRPr="008A5921">
                  <w:rPr>
                    <w:vertAlign w:val="superscript"/>
                  </w:rPr>
                  <w:t>3</w:t>
                </w:r>
              </w:sdtContent>
            </w:sdt>
          </w:p>
        </w:tc>
      </w:tr>
      <w:tr w:rsidR="00C978F0" w:rsidRPr="00DA352E" w14:paraId="2008D281" w14:textId="77777777" w:rsidTr="00EF4FCA">
        <w:trPr>
          <w:gridAfter w:val="1"/>
          <w:wAfter w:w="8" w:type="pct"/>
        </w:trPr>
        <w:tc>
          <w:tcPr>
            <w:tcW w:w="4992" w:type="pct"/>
          </w:tcPr>
          <w:p w14:paraId="0DE1FD9C" w14:textId="573974A0" w:rsidR="00A952F9" w:rsidRDefault="00A952F9" w:rsidP="003365A5">
            <w:pPr>
              <w:pStyle w:val="Tabletextprimarysource"/>
            </w:pPr>
            <w:r>
              <w:t>Summary of additional data:</w:t>
            </w:r>
          </w:p>
          <w:p w14:paraId="523C085F" w14:textId="7A944E1A" w:rsidR="00F10695" w:rsidRDefault="00F10695">
            <w:pPr>
              <w:pStyle w:val="Tabletextprimarysource"/>
            </w:pPr>
            <w:r>
              <w:t>Human data</w:t>
            </w:r>
            <w:r w:rsidR="00D46B14">
              <w:t>:</w:t>
            </w:r>
          </w:p>
          <w:p w14:paraId="1D41DDF3" w14:textId="5098C40F" w:rsidR="00A952F9" w:rsidRDefault="00A952F9" w:rsidP="00DC06CA">
            <w:pPr>
              <w:pStyle w:val="ListBullet"/>
              <w:spacing w:before="60" w:after="60"/>
              <w:ind w:left="717"/>
              <w:contextualSpacing w:val="0"/>
            </w:pPr>
            <w:r>
              <w:t xml:space="preserve">Several acute studies indicate no adverse respiratory tract effects in lung function or bronchial reactivity testing on single exposure </w:t>
            </w:r>
            <w:r w:rsidR="0023611D">
              <w:t>at</w:t>
            </w:r>
            <w:r>
              <w:t xml:space="preserve"> </w:t>
            </w:r>
            <w:r w:rsidR="00FC02C8">
              <w:t>~</w:t>
            </w:r>
            <w:r>
              <w:t>0.5 mg/m</w:t>
            </w:r>
            <w:r w:rsidRPr="00A952F9">
              <w:rPr>
                <w:vertAlign w:val="superscript"/>
              </w:rPr>
              <w:t>3</w:t>
            </w:r>
          </w:p>
          <w:p w14:paraId="53CB40B3" w14:textId="6C1486D8" w:rsidR="00A952F9" w:rsidRDefault="00A952F9" w:rsidP="00DC06CA">
            <w:pPr>
              <w:pStyle w:val="ListBullet"/>
              <w:spacing w:before="60" w:after="60"/>
              <w:ind w:left="717"/>
              <w:contextualSpacing w:val="0"/>
            </w:pPr>
            <w:r>
              <w:t xml:space="preserve">Repeated exposure data from humans </w:t>
            </w:r>
            <w:r w:rsidR="00321D55">
              <w:t xml:space="preserve">are </w:t>
            </w:r>
            <w:r>
              <w:t>of limited value, mainly because of historical difficulties in measuring airborne concentrations</w:t>
            </w:r>
          </w:p>
          <w:p w14:paraId="3E2D40DD" w14:textId="65E64DC8" w:rsidR="00EA0DEE" w:rsidRDefault="00F10695" w:rsidP="00DC06CA">
            <w:pPr>
              <w:pStyle w:val="ListBullet"/>
              <w:spacing w:before="60" w:after="60"/>
              <w:ind w:left="717"/>
              <w:contextualSpacing w:val="0"/>
            </w:pPr>
            <w:r>
              <w:t>Cites IARC (1992) “</w:t>
            </w:r>
            <w:r w:rsidRPr="00AC1D25">
              <w:rPr>
                <w:i/>
              </w:rPr>
              <w:t xml:space="preserve">There is sufficient evidence that occupational exposure to strong-inorganic-acid mists containing </w:t>
            </w:r>
            <w:r w:rsidR="00EA0DEE" w:rsidRPr="00AC1D25">
              <w:rPr>
                <w:i/>
              </w:rPr>
              <w:t xml:space="preserve">sulphuric acid is </w:t>
            </w:r>
            <w:proofErr w:type="gramStart"/>
            <w:r w:rsidR="00EA0DEE" w:rsidRPr="00AC1D25">
              <w:rPr>
                <w:i/>
              </w:rPr>
              <w:t>carcinogenic</w:t>
            </w:r>
            <w:r w:rsidR="00AB5086">
              <w:rPr>
                <w:i/>
              </w:rPr>
              <w:t xml:space="preserve"> </w:t>
            </w:r>
            <w:r w:rsidR="00AB5086">
              <w:t>”</w:t>
            </w:r>
            <w:proofErr w:type="gramEnd"/>
            <w:r w:rsidR="00AB5086">
              <w:t xml:space="preserve"> The</w:t>
            </w:r>
            <w:r w:rsidR="00EA0DEE">
              <w:t xml:space="preserve"> presumed mechanism by which laryngeal cancer manifest</w:t>
            </w:r>
            <w:r w:rsidR="0023611D">
              <w:t>s</w:t>
            </w:r>
            <w:r w:rsidR="00EA0DEE">
              <w:t xml:space="preserve"> in observed groups of workers is chronic inflammation of the epithelium in this region, caused by the acidity of aerosols</w:t>
            </w:r>
            <w:r w:rsidR="00FC02C8">
              <w:t>.</w:t>
            </w:r>
          </w:p>
          <w:p w14:paraId="5C02AF6A" w14:textId="015A26EF" w:rsidR="00F10695" w:rsidRDefault="00F10695">
            <w:pPr>
              <w:pStyle w:val="Tabletextprimarysource"/>
            </w:pPr>
            <w:r>
              <w:t>Animal data</w:t>
            </w:r>
            <w:r w:rsidR="00D46B14">
              <w:t>:</w:t>
            </w:r>
          </w:p>
          <w:p w14:paraId="1191700C" w14:textId="40C5A6C8" w:rsidR="00A952F9" w:rsidRDefault="00A952F9" w:rsidP="00DC06CA">
            <w:pPr>
              <w:pStyle w:val="ListBullet"/>
              <w:spacing w:before="60" w:after="60"/>
              <w:ind w:left="717"/>
              <w:contextualSpacing w:val="0"/>
            </w:pPr>
            <w:r>
              <w:t>Groups of 15 female rats exposed nose-only for 6 h/d, 5 d/wk for up to 28 d at 0, 0.3, 1.38, and 5.52 mg/m</w:t>
            </w:r>
            <w:r w:rsidRPr="00A952F9">
              <w:rPr>
                <w:vertAlign w:val="superscript"/>
              </w:rPr>
              <w:t>3</w:t>
            </w:r>
            <w:r w:rsidR="000F7086">
              <w:t xml:space="preserve"> (MMAD 0.62, 0.83, and 0.94 </w:t>
            </w:r>
            <w:r w:rsidR="000F7086">
              <w:rPr>
                <w:rFonts w:cs="Arial"/>
              </w:rPr>
              <w:t>µ</w:t>
            </w:r>
            <w:r w:rsidR="000F7086">
              <w:t>m respectively)</w:t>
            </w:r>
            <w:r w:rsidR="00D46B14">
              <w:t>:</w:t>
            </w:r>
          </w:p>
          <w:p w14:paraId="438B0ACB" w14:textId="0FA64E7E" w:rsidR="000F7086" w:rsidRDefault="00543B4E" w:rsidP="00DC06CA">
            <w:pPr>
              <w:pStyle w:val="ListBullet"/>
              <w:numPr>
                <w:ilvl w:val="0"/>
                <w:numId w:val="14"/>
              </w:numPr>
              <w:spacing w:before="60" w:after="60"/>
              <w:ind w:left="1080"/>
              <w:contextualSpacing w:val="0"/>
            </w:pPr>
            <w:r>
              <w:t>h</w:t>
            </w:r>
            <w:r w:rsidR="000F7086">
              <w:t>istopathological examinations identified no lesions in the lungs or nasal passages, significant exposure-related changes found in the larynx</w:t>
            </w:r>
          </w:p>
          <w:p w14:paraId="642E69C5" w14:textId="2475E245" w:rsidR="00602FA7" w:rsidRDefault="00602FA7" w:rsidP="00DC06CA">
            <w:pPr>
              <w:pStyle w:val="ListBullet"/>
              <w:numPr>
                <w:ilvl w:val="0"/>
                <w:numId w:val="14"/>
              </w:numPr>
              <w:spacing w:before="60" w:after="60"/>
              <w:ind w:left="1080"/>
              <w:contextualSpacing w:val="0"/>
            </w:pPr>
            <w:r>
              <w:t xml:space="preserve">epithelial metaplasia in the larynx observed at all exposure levels </w:t>
            </w:r>
          </w:p>
          <w:p w14:paraId="245C5A33" w14:textId="1C076EB2" w:rsidR="00FA7F20" w:rsidRDefault="00FA7F20" w:rsidP="00DC06CA">
            <w:pPr>
              <w:pStyle w:val="ListBullet"/>
              <w:numPr>
                <w:ilvl w:val="0"/>
                <w:numId w:val="14"/>
              </w:numPr>
              <w:spacing w:before="60" w:after="60"/>
              <w:ind w:left="1080"/>
              <w:contextualSpacing w:val="0"/>
            </w:pPr>
            <w:r>
              <w:t>changes seen at 0.3 mg/m</w:t>
            </w:r>
            <w:r>
              <w:rPr>
                <w:vertAlign w:val="superscript"/>
              </w:rPr>
              <w:t>3</w:t>
            </w:r>
            <w:r>
              <w:t xml:space="preserve"> considered </w:t>
            </w:r>
            <w:r w:rsidR="003A7DE2">
              <w:t>slight</w:t>
            </w:r>
            <w:r>
              <w:t xml:space="preserve"> and r</w:t>
            </w:r>
            <w:r w:rsidR="003A7DE2">
              <w:t>egarded as an adaptive response</w:t>
            </w:r>
            <w:r w:rsidR="0023611D">
              <w:t xml:space="preserve">; </w:t>
            </w:r>
            <w:r>
              <w:t>observations suggest there may be a risk of respiratory tract epithelial changes following longer-term repeated exposure at 0.3 mg/m</w:t>
            </w:r>
            <w:r w:rsidRPr="003A7DE2">
              <w:rPr>
                <w:vertAlign w:val="superscript"/>
              </w:rPr>
              <w:t>3</w:t>
            </w:r>
            <w:r>
              <w:t xml:space="preserve"> which are of concern when viewed in the context of observations of laryngeal cancer</w:t>
            </w:r>
          </w:p>
          <w:p w14:paraId="42C6A3AF" w14:textId="799C26C9" w:rsidR="005967B2" w:rsidRPr="005967B2" w:rsidRDefault="003A7DE2" w:rsidP="00DC06CA">
            <w:pPr>
              <w:pStyle w:val="ListBullet"/>
              <w:spacing w:before="60" w:after="60"/>
              <w:ind w:left="717"/>
              <w:contextualSpacing w:val="0"/>
            </w:pPr>
            <w:r>
              <w:t>Refers to inhalation study in rabbits as cited by ACGIH (2018) with</w:t>
            </w:r>
            <w:r w:rsidR="005967B2">
              <w:t xml:space="preserve"> exposure at 0.25 mg/</w:t>
            </w:r>
            <w:r w:rsidR="005967B2" w:rsidRPr="005967B2">
              <w:t>m</w:t>
            </w:r>
            <w:r w:rsidR="005967B2" w:rsidRPr="005967B2">
              <w:rPr>
                <w:vertAlign w:val="superscript"/>
              </w:rPr>
              <w:t>3</w:t>
            </w:r>
            <w:r w:rsidR="005967B2">
              <w:t xml:space="preserve"> (</w:t>
            </w:r>
            <w:r w:rsidR="005967B2" w:rsidRPr="005967B2">
              <w:t>250</w:t>
            </w:r>
            <w:r w:rsidR="005967B2">
              <w:t> </w:t>
            </w:r>
            <w:r w:rsidR="005967B2">
              <w:rPr>
                <w:rFonts w:cs="Arial"/>
              </w:rPr>
              <w:t>µ</w:t>
            </w:r>
            <w:r w:rsidR="005967B2">
              <w:t>g/m</w:t>
            </w:r>
            <w:r w:rsidR="005967B2">
              <w:rPr>
                <w:vertAlign w:val="superscript"/>
              </w:rPr>
              <w:t>3</w:t>
            </w:r>
            <w:r w:rsidR="005967B2">
              <w:t xml:space="preserve">) and </w:t>
            </w:r>
            <w:r w:rsidR="005967B2" w:rsidRPr="005967B2">
              <w:t>decreased mucociliary clearance, decreased airways diameter, increased secretory cell count and increased bronchial reactivity</w:t>
            </w:r>
            <w:r w:rsidR="00D46B14">
              <w:t>:</w:t>
            </w:r>
          </w:p>
          <w:p w14:paraId="3827A2A4" w14:textId="63871661" w:rsidR="003A7DE2" w:rsidRDefault="005967B2" w:rsidP="00DC06CA">
            <w:pPr>
              <w:pStyle w:val="ListBullet"/>
              <w:numPr>
                <w:ilvl w:val="0"/>
                <w:numId w:val="15"/>
              </w:numPr>
              <w:spacing w:before="60" w:after="60"/>
              <w:ind w:left="1080"/>
              <w:contextualSpacing w:val="0"/>
            </w:pPr>
            <w:r>
              <w:t xml:space="preserve">similar results obtained when rabbits exposed </w:t>
            </w:r>
            <w:r w:rsidR="00543B4E">
              <w:t>at</w:t>
            </w:r>
            <w:r>
              <w:t xml:space="preserve"> 0.125 mg/m</w:t>
            </w:r>
            <w:r w:rsidRPr="005967B2">
              <w:rPr>
                <w:vertAlign w:val="superscript"/>
              </w:rPr>
              <w:t>3</w:t>
            </w:r>
            <w:r>
              <w:t xml:space="preserve"> for 2 h/d for 1 yr</w:t>
            </w:r>
            <w:r w:rsidR="00F10695">
              <w:t>; no further information</w:t>
            </w:r>
          </w:p>
          <w:p w14:paraId="024BBF74" w14:textId="7688EEF1" w:rsidR="0023611D" w:rsidRDefault="00F10695" w:rsidP="00DC06CA">
            <w:pPr>
              <w:pStyle w:val="ListBullet"/>
              <w:spacing w:before="60" w:after="60"/>
              <w:ind w:left="717"/>
              <w:contextualSpacing w:val="0"/>
            </w:pPr>
            <w:r>
              <w:t>No clear NOAEC from animal studies</w:t>
            </w:r>
            <w:r w:rsidR="00D46B14">
              <w:t>:</w:t>
            </w:r>
            <w:r>
              <w:t xml:space="preserve"> </w:t>
            </w:r>
          </w:p>
          <w:p w14:paraId="69D009E7" w14:textId="46BE017C" w:rsidR="005967B2" w:rsidRDefault="00F10695" w:rsidP="00DC06CA">
            <w:pPr>
              <w:pStyle w:val="ListBullet"/>
              <w:numPr>
                <w:ilvl w:val="0"/>
                <w:numId w:val="19"/>
              </w:numPr>
              <w:spacing w:before="60" w:after="60"/>
              <w:ind w:left="1080"/>
              <w:contextualSpacing w:val="0"/>
            </w:pPr>
            <w:r>
              <w:t>evidence of various respiratory tract effects in rats, rabbits and monkeys on repeated exposure to concentrations in the range 0.125-0.38 mg/m</w:t>
            </w:r>
            <w:r w:rsidRPr="00F10695">
              <w:rPr>
                <w:vertAlign w:val="superscript"/>
              </w:rPr>
              <w:t>3</w:t>
            </w:r>
            <w:r w:rsidR="00543B4E">
              <w:t>.</w:t>
            </w:r>
          </w:p>
          <w:p w14:paraId="0E8F6D32" w14:textId="26852CE4" w:rsidR="005967B2" w:rsidRDefault="00F10695">
            <w:pPr>
              <w:pStyle w:val="Tabletextprimarysource"/>
            </w:pPr>
            <w:r>
              <w:t>TWA basis</w:t>
            </w:r>
            <w:r w:rsidR="00D46B14">
              <w:t>:</w:t>
            </w:r>
          </w:p>
          <w:p w14:paraId="338DE445" w14:textId="077F4F50" w:rsidR="007E46D1" w:rsidRDefault="007E46D1" w:rsidP="00DC06CA">
            <w:pPr>
              <w:pStyle w:val="ListBullet"/>
              <w:spacing w:before="60" w:after="60"/>
              <w:ind w:left="717"/>
              <w:contextualSpacing w:val="0"/>
            </w:pPr>
            <w:r>
              <w:t>Considering the data presented, coupled with concern for potential human carcinogenicity, concludes long-term exposure should be maintained below 0.1 mg/m</w:t>
            </w:r>
            <w:r w:rsidRPr="007E46D1">
              <w:rPr>
                <w:vertAlign w:val="superscript"/>
              </w:rPr>
              <w:t>3</w:t>
            </w:r>
            <w:r>
              <w:t xml:space="preserve"> to provide </w:t>
            </w:r>
            <w:proofErr w:type="gramStart"/>
            <w:r>
              <w:t>sufficient</w:t>
            </w:r>
            <w:proofErr w:type="gramEnd"/>
            <w:r>
              <w:t xml:space="preserve"> protection of possible adverse consequences for the respiratory tract epithelium</w:t>
            </w:r>
          </w:p>
          <w:p w14:paraId="6545C077" w14:textId="13AA8C73" w:rsidR="00F10695" w:rsidRDefault="00323B33" w:rsidP="00DC06CA">
            <w:pPr>
              <w:pStyle w:val="ListBullet"/>
              <w:spacing w:before="60" w:after="60"/>
              <w:ind w:left="717"/>
              <w:contextualSpacing w:val="0"/>
            </w:pPr>
            <w:r>
              <w:lastRenderedPageBreak/>
              <w:t>R</w:t>
            </w:r>
            <w:r w:rsidR="007E46D1">
              <w:t>ecommends an</w:t>
            </w:r>
            <w:r w:rsidR="00AF2BEB">
              <w:t xml:space="preserve"> </w:t>
            </w:r>
            <w:r w:rsidR="007E46D1">
              <w:t>TWA limit of 0.05 mg/m</w:t>
            </w:r>
            <w:r w:rsidR="007E46D1" w:rsidRPr="00323B33">
              <w:rPr>
                <w:vertAlign w:val="superscript"/>
              </w:rPr>
              <w:t>3</w:t>
            </w:r>
            <w:r w:rsidR="007E46D1">
              <w:t xml:space="preserve"> </w:t>
            </w:r>
            <w:r>
              <w:t>that will</w:t>
            </w:r>
            <w:r w:rsidR="007E46D1">
              <w:t xml:space="preserve"> satisfy this </w:t>
            </w:r>
            <w:r>
              <w:t>condition</w:t>
            </w:r>
          </w:p>
          <w:p w14:paraId="5EFF9B60" w14:textId="77777777" w:rsidR="00E11326" w:rsidRDefault="00E11326" w:rsidP="00DC06CA">
            <w:pPr>
              <w:pStyle w:val="ListBullet"/>
              <w:spacing w:before="60" w:after="60"/>
              <w:ind w:left="717"/>
              <w:contextualSpacing w:val="0"/>
            </w:pPr>
            <w:r>
              <w:t>Recommends sampling the inhalable fraction.</w:t>
            </w:r>
          </w:p>
          <w:p w14:paraId="153B53C1" w14:textId="09034F23" w:rsidR="0023611D" w:rsidRPr="00DA352E" w:rsidRDefault="0023611D" w:rsidP="0069043F">
            <w:pPr>
              <w:pStyle w:val="ListBullet"/>
              <w:numPr>
                <w:ilvl w:val="0"/>
                <w:numId w:val="0"/>
              </w:numPr>
              <w:spacing w:before="60" w:after="60"/>
              <w:ind w:left="360" w:hanging="360"/>
              <w:contextualSpacing w:val="0"/>
            </w:pPr>
          </w:p>
        </w:tc>
      </w:tr>
      <w:tr w:rsidR="00DA352E" w:rsidRPr="00DA352E" w14:paraId="12BAB90D" w14:textId="77777777" w:rsidTr="00EF4FCA">
        <w:trPr>
          <w:gridAfter w:val="1"/>
          <w:wAfter w:w="8" w:type="pct"/>
        </w:trPr>
        <w:tc>
          <w:tcPr>
            <w:tcW w:w="4992" w:type="pct"/>
            <w:shd w:val="clear" w:color="auto" w:fill="F2F2F2" w:themeFill="background1" w:themeFillShade="F2"/>
          </w:tcPr>
          <w:p w14:paraId="0D806BF8" w14:textId="57EA2761" w:rsidR="00DA352E" w:rsidRPr="00DA352E" w:rsidRDefault="00DA352E" w:rsidP="0051509C">
            <w:pPr>
              <w:pStyle w:val="Tablerowheadingitalic"/>
              <w:tabs>
                <w:tab w:val="clear" w:pos="2268"/>
                <w:tab w:val="clear" w:pos="5670"/>
                <w:tab w:val="left" w:pos="1418"/>
                <w:tab w:val="left" w:pos="2552"/>
              </w:tabs>
            </w:pPr>
            <w:r w:rsidRPr="00DA352E">
              <w:lastRenderedPageBreak/>
              <w:t>OARS/AIHA</w:t>
            </w:r>
            <w:r w:rsidR="00916EC0" w:rsidRPr="003365A5">
              <w:t xml:space="preserve"> </w:t>
            </w:r>
            <w:r w:rsidR="00916EC0" w:rsidRPr="003365A5">
              <w:tab/>
            </w:r>
            <w:sdt>
              <w:sdtPr>
                <w:id w:val="-936748013"/>
                <w:placeholder>
                  <w:docPart w:val="47E4EC2DB10B4B8E8A66F7A5C13653CB"/>
                </w:placeholder>
                <w:text/>
              </w:sdtPr>
              <w:sdtEndPr/>
              <w:sdtContent>
                <w:r w:rsidR="008A5921">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8A5921">
                  <w:t>NA</w:t>
                </w:r>
              </w:sdtContent>
            </w:sdt>
          </w:p>
        </w:tc>
      </w:tr>
      <w:tr w:rsidR="00DA352E" w:rsidRPr="00DA352E" w14:paraId="33AAF4A6" w14:textId="77777777" w:rsidTr="00EF4FCA">
        <w:trPr>
          <w:gridAfter w:val="1"/>
          <w:wAfter w:w="8" w:type="pct"/>
        </w:trPr>
        <w:tc>
          <w:tcPr>
            <w:tcW w:w="4992" w:type="pct"/>
          </w:tcPr>
          <w:p w14:paraId="2059E4CB" w14:textId="3A1267F6" w:rsidR="00DA352E" w:rsidRPr="00DA352E" w:rsidRDefault="008A5921" w:rsidP="003365A5">
            <w:pPr>
              <w:pStyle w:val="Tabletextprimarysource"/>
            </w:pPr>
            <w:r>
              <w:t>No report</w:t>
            </w:r>
            <w:r w:rsidR="00543B4E">
              <w:t>.</w:t>
            </w:r>
          </w:p>
        </w:tc>
      </w:tr>
      <w:tr w:rsidR="00DA352E" w:rsidRPr="00DA352E" w14:paraId="605F758C" w14:textId="77777777" w:rsidTr="00EF4FCA">
        <w:trPr>
          <w:gridAfter w:val="1"/>
          <w:wAfter w:w="8" w:type="pct"/>
        </w:trPr>
        <w:tc>
          <w:tcPr>
            <w:tcW w:w="4992" w:type="pct"/>
            <w:shd w:val="clear" w:color="auto" w:fill="F2F2F2" w:themeFill="background1" w:themeFillShade="F2"/>
          </w:tcPr>
          <w:p w14:paraId="407840EC" w14:textId="42E932FE"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8A5921">
                  <w:t>2003</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8A5921">
                  <w:t>Not assigned</w:t>
                </w:r>
              </w:sdtContent>
            </w:sdt>
          </w:p>
        </w:tc>
      </w:tr>
      <w:tr w:rsidR="00DA352E" w:rsidRPr="00DA352E" w14:paraId="7050CB3E" w14:textId="77777777" w:rsidTr="00EF4FCA">
        <w:trPr>
          <w:gridAfter w:val="1"/>
          <w:wAfter w:w="8" w:type="pct"/>
        </w:trPr>
        <w:tc>
          <w:tcPr>
            <w:tcW w:w="4992" w:type="pct"/>
          </w:tcPr>
          <w:p w14:paraId="01E1B807" w14:textId="7B8F0A09" w:rsidR="00DA352E" w:rsidRDefault="00323B33">
            <w:pPr>
              <w:pStyle w:val="Tabletextprimarysource"/>
            </w:pPr>
            <w:r>
              <w:t xml:space="preserve">Review </w:t>
            </w:r>
            <w:r w:rsidR="00E11326">
              <w:t xml:space="preserve">of the carcinogenic potential </w:t>
            </w:r>
            <w:r>
              <w:t>of strong inorganic acid mists containing sul</w:t>
            </w:r>
            <w:r w:rsidR="00543B4E">
              <w:t>f</w:t>
            </w:r>
            <w:r>
              <w:t>uric acid.</w:t>
            </w:r>
          </w:p>
          <w:p w14:paraId="47E31564" w14:textId="037F55E4" w:rsidR="00323B33" w:rsidRDefault="00323B33">
            <w:pPr>
              <w:pStyle w:val="Tabletextprimarysource"/>
            </w:pPr>
            <w:r>
              <w:t>Concludes</w:t>
            </w:r>
            <w:r w:rsidR="00543B4E">
              <w:t xml:space="preserve"> it is</w:t>
            </w:r>
            <w:r>
              <w:t xml:space="preserve"> known to be carcinogenic to humans and that these acid mists act as non-stochastic genotoxic carcinogens i.e. expected to exhibit a threshold</w:t>
            </w:r>
            <w:r w:rsidR="00543B4E">
              <w:t>.</w:t>
            </w:r>
          </w:p>
          <w:p w14:paraId="53A971E7" w14:textId="7E43928D" w:rsidR="00323B33" w:rsidRDefault="00323B33">
            <w:pPr>
              <w:pStyle w:val="Tabletextprimarysource"/>
            </w:pPr>
            <w:r>
              <w:t>Summary of data</w:t>
            </w:r>
            <w:r w:rsidR="00D46B14">
              <w:t>:</w:t>
            </w:r>
          </w:p>
          <w:p w14:paraId="20CA5622" w14:textId="217F710B" w:rsidR="00323B33" w:rsidRDefault="00323B33" w:rsidP="00DC06CA">
            <w:pPr>
              <w:pStyle w:val="ListBullet"/>
              <w:spacing w:before="60" w:after="60"/>
              <w:ind w:left="717"/>
              <w:contextualSpacing w:val="0"/>
            </w:pPr>
            <w:r>
              <w:t>The epidemiological data evaluated in the review showed an association between exposure to strong inorganic acid mists containing sul</w:t>
            </w:r>
            <w:r w:rsidR="00543B4E">
              <w:t>f</w:t>
            </w:r>
            <w:r>
              <w:t>uric acid and laryngeal cancer</w:t>
            </w:r>
          </w:p>
          <w:p w14:paraId="28A7B0FD" w14:textId="3DC0BCC9" w:rsidR="00323B33" w:rsidRDefault="00543B4E" w:rsidP="00DC06CA">
            <w:pPr>
              <w:pStyle w:val="ListBullet"/>
              <w:spacing w:before="60" w:after="60"/>
              <w:ind w:left="717"/>
              <w:contextualSpacing w:val="0"/>
            </w:pPr>
            <w:r>
              <w:t>A</w:t>
            </w:r>
            <w:r w:rsidR="00323B33">
              <w:t>ssociation with laryngeal cancer found in various industries and occupations in which workers may be exposed to strong inorganic acid mists containing sul</w:t>
            </w:r>
            <w:r>
              <w:t>f</w:t>
            </w:r>
            <w:r w:rsidR="00323B33">
              <w:t>uric acid</w:t>
            </w:r>
          </w:p>
          <w:p w14:paraId="1DFD1C68" w14:textId="261738B9" w:rsidR="00323B33" w:rsidRDefault="00323B33" w:rsidP="00DC06CA">
            <w:pPr>
              <w:pStyle w:val="ListBullet"/>
              <w:spacing w:before="60" w:after="60"/>
              <w:ind w:left="717"/>
              <w:contextualSpacing w:val="0"/>
            </w:pPr>
            <w:r>
              <w:t>Data from carcinogenicity studies in experimental animals are inadequate</w:t>
            </w:r>
          </w:p>
          <w:p w14:paraId="2FE3BF5F" w14:textId="77777777" w:rsidR="00323B33" w:rsidRDefault="00323B33" w:rsidP="00DC06CA">
            <w:pPr>
              <w:pStyle w:val="ListBullet"/>
              <w:spacing w:before="60" w:after="60"/>
              <w:ind w:left="717"/>
              <w:contextualSpacing w:val="0"/>
            </w:pPr>
            <w:r>
              <w:t>No evidence for mutagenicity or genotoxicity involved in cancer mechanisms; most likely, a reduction of the pH is one of the biological mechanisms, by which strong inorganic acid mists containing sul</w:t>
            </w:r>
            <w:r w:rsidR="00543B4E">
              <w:t>f</w:t>
            </w:r>
            <w:r>
              <w:t>uric acid exerts its carcinogenic effect</w:t>
            </w:r>
            <w:r w:rsidR="00543B4E">
              <w:t>.</w:t>
            </w:r>
          </w:p>
          <w:p w14:paraId="492D7791" w14:textId="6A85F3B8" w:rsidR="00AA0D2D" w:rsidRPr="00DA352E" w:rsidRDefault="00AA0D2D" w:rsidP="00AA0D2D">
            <w:pPr>
              <w:pStyle w:val="ListBullet"/>
              <w:numPr>
                <w:ilvl w:val="0"/>
                <w:numId w:val="0"/>
              </w:numPr>
              <w:spacing w:before="60" w:after="60"/>
              <w:ind w:left="717"/>
              <w:contextualSpacing w:val="0"/>
            </w:pPr>
          </w:p>
        </w:tc>
      </w:tr>
    </w:tbl>
    <w:p w14:paraId="6691F3FF"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89"/>
        <w:gridCol w:w="423"/>
        <w:gridCol w:w="661"/>
        <w:gridCol w:w="6453"/>
      </w:tblGrid>
      <w:tr w:rsidR="00333FFB" w:rsidRPr="00263255" w14:paraId="6AE89AB3" w14:textId="77777777" w:rsidTr="00EF4FCA">
        <w:trPr>
          <w:cnfStyle w:val="100000000000" w:firstRow="1" w:lastRow="0" w:firstColumn="0" w:lastColumn="0" w:oddVBand="0" w:evenVBand="0" w:oddHBand="0" w:evenHBand="0" w:firstRowFirstColumn="0" w:firstRowLastColumn="0" w:lastRowFirstColumn="0" w:lastRowLastColumn="0"/>
          <w:cantSplit/>
          <w:trHeight w:val="393"/>
          <w:tblHeader/>
        </w:trPr>
        <w:tc>
          <w:tcPr>
            <w:tcW w:w="1489" w:type="dxa"/>
            <w:shd w:val="clear" w:color="auto" w:fill="BFBFBF" w:themeFill="background1" w:themeFillShade="BF"/>
            <w:vAlign w:val="center"/>
          </w:tcPr>
          <w:p w14:paraId="084A5BD3" w14:textId="77777777" w:rsidR="004966BF" w:rsidRPr="00263255" w:rsidRDefault="004966BF" w:rsidP="00263255">
            <w:pPr>
              <w:pStyle w:val="Tableheader"/>
            </w:pPr>
            <w:r w:rsidRPr="00263255">
              <w:t>Source</w:t>
            </w:r>
          </w:p>
        </w:tc>
        <w:tc>
          <w:tcPr>
            <w:tcW w:w="423" w:type="dxa"/>
            <w:shd w:val="clear" w:color="auto" w:fill="BFBFBF" w:themeFill="background1" w:themeFillShade="BF"/>
            <w:vAlign w:val="center"/>
          </w:tcPr>
          <w:p w14:paraId="27B16D7E" w14:textId="77777777" w:rsidR="004966BF" w:rsidRPr="00263255" w:rsidRDefault="004966BF" w:rsidP="00263255">
            <w:pPr>
              <w:pStyle w:val="Tableheader"/>
            </w:pPr>
          </w:p>
        </w:tc>
        <w:tc>
          <w:tcPr>
            <w:tcW w:w="661" w:type="dxa"/>
            <w:shd w:val="clear" w:color="auto" w:fill="BFBFBF" w:themeFill="background1" w:themeFillShade="BF"/>
            <w:vAlign w:val="center"/>
          </w:tcPr>
          <w:p w14:paraId="5CC24B52" w14:textId="77777777" w:rsidR="004966BF" w:rsidRPr="00263255" w:rsidRDefault="004966BF" w:rsidP="00263255">
            <w:pPr>
              <w:pStyle w:val="Tableheader"/>
            </w:pPr>
            <w:r>
              <w:t>Year</w:t>
            </w:r>
          </w:p>
        </w:tc>
        <w:tc>
          <w:tcPr>
            <w:tcW w:w="6453" w:type="dxa"/>
            <w:shd w:val="clear" w:color="auto" w:fill="BFBFBF" w:themeFill="background1" w:themeFillShade="BF"/>
            <w:vAlign w:val="center"/>
          </w:tcPr>
          <w:p w14:paraId="24D06CBF" w14:textId="77777777" w:rsidR="004966BF" w:rsidRPr="00263255" w:rsidRDefault="004966BF" w:rsidP="00263255">
            <w:pPr>
              <w:pStyle w:val="Tableheader"/>
            </w:pPr>
            <w:r>
              <w:t>Additional information</w:t>
            </w:r>
          </w:p>
        </w:tc>
      </w:tr>
      <w:tr w:rsidR="00676632" w:rsidRPr="004C23F4" w14:paraId="3EFB56BB" w14:textId="77777777" w:rsidTr="00EF4FCA">
        <w:tc>
          <w:tcPr>
            <w:tcW w:w="0" w:type="dxa"/>
          </w:tcPr>
          <w:p w14:paraId="4DCEDE53" w14:textId="77777777" w:rsidR="004966BF" w:rsidRPr="004C23F4" w:rsidRDefault="004966BF" w:rsidP="00224EE2">
            <w:pPr>
              <w:pStyle w:val="Tablefont"/>
            </w:pPr>
            <w:r>
              <w:t>AIOH</w:t>
            </w:r>
          </w:p>
        </w:tc>
        <w:tc>
          <w:tcPr>
            <w:tcW w:w="0" w:type="dxa"/>
          </w:tcPr>
          <w:p w14:paraId="1433FA09" w14:textId="3362B7B1" w:rsidR="004966BF" w:rsidRPr="00CE617F" w:rsidRDefault="00EF4FCA" w:rsidP="00AB43C4">
            <w:pPr>
              <w:spacing w:before="40"/>
              <w:jc w:val="center"/>
              <w:rPr>
                <w:rStyle w:val="checkbox"/>
              </w:rPr>
            </w:pPr>
            <w:sdt>
              <w:sdtPr>
                <w:rPr>
                  <w:rStyle w:val="checkbox"/>
                </w:rPr>
                <w:id w:val="128368101"/>
                <w:placeholder>
                  <w:docPart w:val="29D96B65566944F4988BAEB665EF7897"/>
                </w:placeholder>
                <w:dropDownList>
                  <w:listItem w:displayText="" w:value=""/>
                  <w:listItem w:displayText="" w:value=""/>
                  <w:listItem w:displayText="" w:value=""/>
                </w:dropDownList>
              </w:sdtPr>
              <w:sdtEndPr>
                <w:rPr>
                  <w:rStyle w:val="checkbox"/>
                </w:rPr>
              </w:sdtEndPr>
              <w:sdtContent>
                <w:r w:rsidR="00E11326">
                  <w:rPr>
                    <w:rStyle w:val="checkbox"/>
                  </w:rPr>
                  <w:t></w:t>
                </w:r>
              </w:sdtContent>
            </w:sdt>
          </w:p>
        </w:tc>
        <w:tc>
          <w:tcPr>
            <w:tcW w:w="0" w:type="dxa"/>
          </w:tcPr>
          <w:p w14:paraId="290BE39E" w14:textId="0F80E3E3" w:rsidR="004966BF" w:rsidRPr="004C23F4" w:rsidRDefault="00E11326" w:rsidP="00717D45">
            <w:pPr>
              <w:pStyle w:val="Tablefont"/>
              <w:rPr>
                <w:rStyle w:val="checkbox"/>
                <w:rFonts w:ascii="Arial" w:hAnsi="Arial" w:cs="Arial"/>
              </w:rPr>
            </w:pPr>
            <w:r>
              <w:rPr>
                <w:rStyle w:val="checkbox"/>
                <w:rFonts w:ascii="Arial" w:hAnsi="Arial" w:cs="Arial"/>
              </w:rPr>
              <w:t>2015</w:t>
            </w:r>
          </w:p>
        </w:tc>
        <w:tc>
          <w:tcPr>
            <w:tcW w:w="0" w:type="dxa"/>
          </w:tcPr>
          <w:p w14:paraId="7C5D71B7" w14:textId="5E17E5FE" w:rsidR="004966BF" w:rsidRPr="0069043F" w:rsidRDefault="003225D1" w:rsidP="00DC06CA">
            <w:pPr>
              <w:pStyle w:val="ListBullet"/>
              <w:spacing w:before="60" w:after="60"/>
              <w:ind w:left="714" w:hanging="357"/>
              <w:contextualSpacing w:val="0"/>
              <w:rPr>
                <w:rFonts w:cs="Arial"/>
              </w:rPr>
            </w:pPr>
            <w:r w:rsidRPr="0069043F">
              <w:rPr>
                <w:rStyle w:val="checkbox"/>
                <w:rFonts w:ascii="Arial" w:hAnsi="Arial" w:cs="Arial"/>
              </w:rPr>
              <w:t>Recommends a T</w:t>
            </w:r>
            <w:r w:rsidRPr="0069043F">
              <w:t>WA of 0.1 mg/m</w:t>
            </w:r>
            <w:r w:rsidRPr="0069043F">
              <w:rPr>
                <w:vertAlign w:val="superscript"/>
              </w:rPr>
              <w:t>3</w:t>
            </w:r>
            <w:r w:rsidRPr="0069043F">
              <w:t xml:space="preserve"> (inhalable aerosol fraction); evidence provided as the basis includes</w:t>
            </w:r>
            <w:r w:rsidR="00333FFB" w:rsidRPr="0069043F">
              <w:t xml:space="preserve"> that cited by primary sources, summarised as follows</w:t>
            </w:r>
            <w:r w:rsidR="00D46B14">
              <w:t>:</w:t>
            </w:r>
          </w:p>
          <w:p w14:paraId="68C0AC79" w14:textId="36DE6329" w:rsidR="003225D1" w:rsidRPr="0069043F" w:rsidRDefault="0023611D" w:rsidP="00DC06CA">
            <w:pPr>
              <w:pStyle w:val="ListBullet"/>
              <w:numPr>
                <w:ilvl w:val="0"/>
                <w:numId w:val="17"/>
              </w:numPr>
              <w:spacing w:before="60" w:after="60"/>
              <w:ind w:left="1077" w:hanging="357"/>
              <w:contextualSpacing w:val="0"/>
              <w:rPr>
                <w:rFonts w:cs="Arial"/>
              </w:rPr>
            </w:pPr>
            <w:r w:rsidRPr="0069043F">
              <w:t>i</w:t>
            </w:r>
            <w:r w:rsidR="00676632" w:rsidRPr="0069043F">
              <w:t>n humans, n</w:t>
            </w:r>
            <w:r w:rsidR="00333FFB" w:rsidRPr="0069043F">
              <w:t>on</w:t>
            </w:r>
            <w:r w:rsidR="00676632" w:rsidRPr="0069043F">
              <w:rPr>
                <w:rFonts w:ascii="Cambria Math" w:hAnsi="Cambria Math" w:cs="Cambria Math"/>
              </w:rPr>
              <w:t>-</w:t>
            </w:r>
            <w:r w:rsidR="00333FFB" w:rsidRPr="0069043F">
              <w:t>malignant</w:t>
            </w:r>
            <w:r w:rsidR="00676632" w:rsidRPr="0069043F">
              <w:t xml:space="preserve"> </w:t>
            </w:r>
            <w:r w:rsidR="00333FFB" w:rsidRPr="0069043F">
              <w:t>respiratory</w:t>
            </w:r>
            <w:r w:rsidR="00676632" w:rsidRPr="0069043F">
              <w:t xml:space="preserve"> </w:t>
            </w:r>
            <w:r w:rsidR="00333FFB" w:rsidRPr="0069043F">
              <w:t>effects</w:t>
            </w:r>
            <w:r w:rsidR="00676632" w:rsidRPr="0069043F">
              <w:t xml:space="preserve"> </w:t>
            </w:r>
            <w:r w:rsidR="00333FFB" w:rsidRPr="0069043F">
              <w:t>exist</w:t>
            </w:r>
            <w:r w:rsidR="00676632" w:rsidRPr="0069043F">
              <w:t xml:space="preserve"> </w:t>
            </w:r>
            <w:r w:rsidR="00333FFB" w:rsidRPr="0069043F">
              <w:t>at</w:t>
            </w:r>
            <w:r w:rsidR="00676632" w:rsidRPr="0069043F">
              <w:t xml:space="preserve"> </w:t>
            </w:r>
            <w:r w:rsidR="00333FFB" w:rsidRPr="0069043F">
              <w:t>1</w:t>
            </w:r>
            <w:r w:rsidR="00543B4E" w:rsidRPr="0069043F">
              <w:t>-</w:t>
            </w:r>
            <w:r w:rsidR="00333FFB" w:rsidRPr="0069043F">
              <w:t>3</w:t>
            </w:r>
            <w:r w:rsidR="00676632" w:rsidRPr="0069043F">
              <w:rPr>
                <w:rFonts w:cs="Arial"/>
              </w:rPr>
              <w:t xml:space="preserve"> </w:t>
            </w:r>
            <w:r w:rsidR="00333FFB" w:rsidRPr="0069043F">
              <w:t>mg/m</w:t>
            </w:r>
            <w:r w:rsidR="00333FFB" w:rsidRPr="0069043F">
              <w:rPr>
                <w:vertAlign w:val="superscript"/>
              </w:rPr>
              <w:t>3</w:t>
            </w:r>
          </w:p>
          <w:p w14:paraId="09D884B3" w14:textId="0C8EE793" w:rsidR="00676632" w:rsidRPr="0069043F" w:rsidRDefault="0023611D" w:rsidP="00DC06CA">
            <w:pPr>
              <w:pStyle w:val="ListBullet"/>
              <w:numPr>
                <w:ilvl w:val="0"/>
                <w:numId w:val="17"/>
              </w:numPr>
              <w:spacing w:before="60" w:after="60"/>
              <w:ind w:left="1077" w:hanging="357"/>
              <w:contextualSpacing w:val="0"/>
              <w:rPr>
                <w:rFonts w:cs="Arial"/>
              </w:rPr>
            </w:pPr>
            <w:r w:rsidRPr="0069043F">
              <w:t>s</w:t>
            </w:r>
            <w:r w:rsidR="00333FFB" w:rsidRPr="0069043F">
              <w:t>hort-term</w:t>
            </w:r>
            <w:r w:rsidR="00333FFB" w:rsidRPr="0069043F">
              <w:rPr>
                <w:rFonts w:cs="Arial"/>
              </w:rPr>
              <w:t xml:space="preserve"> </w:t>
            </w:r>
            <w:r w:rsidR="00333FFB" w:rsidRPr="0069043F">
              <w:t>reduced</w:t>
            </w:r>
            <w:r w:rsidR="00333FFB" w:rsidRPr="0069043F">
              <w:rPr>
                <w:rFonts w:cs="Arial"/>
              </w:rPr>
              <w:t xml:space="preserve"> </w:t>
            </w:r>
            <w:r w:rsidR="00333FFB" w:rsidRPr="0069043F">
              <w:t>lung</w:t>
            </w:r>
            <w:r w:rsidR="00333FFB" w:rsidRPr="0069043F">
              <w:rPr>
                <w:rFonts w:cs="Arial"/>
              </w:rPr>
              <w:t xml:space="preserve"> </w:t>
            </w:r>
            <w:r w:rsidR="00333FFB" w:rsidRPr="0069043F">
              <w:t>clearance</w:t>
            </w:r>
            <w:r w:rsidR="00333FFB" w:rsidRPr="0069043F">
              <w:rPr>
                <w:rFonts w:cs="Arial"/>
              </w:rPr>
              <w:t xml:space="preserve"> </w:t>
            </w:r>
            <w:r w:rsidR="00333FFB" w:rsidRPr="0069043F">
              <w:t>rates in volunteers</w:t>
            </w:r>
            <w:r w:rsidR="00333FFB" w:rsidRPr="0069043F">
              <w:rPr>
                <w:rFonts w:cs="Arial"/>
              </w:rPr>
              <w:t xml:space="preserve"> </w:t>
            </w:r>
            <w:r w:rsidR="00333FFB" w:rsidRPr="0069043F">
              <w:t>observed</w:t>
            </w:r>
            <w:r w:rsidR="00333FFB" w:rsidRPr="0069043F">
              <w:rPr>
                <w:rFonts w:cs="Arial"/>
              </w:rPr>
              <w:t xml:space="preserve"> </w:t>
            </w:r>
            <w:r w:rsidR="00333FFB" w:rsidRPr="0069043F">
              <w:t>at</w:t>
            </w:r>
            <w:r w:rsidR="00333FFB" w:rsidRPr="0069043F">
              <w:rPr>
                <w:rFonts w:cs="Arial"/>
              </w:rPr>
              <w:t xml:space="preserve"> </w:t>
            </w:r>
            <w:r w:rsidR="00333FFB" w:rsidRPr="0069043F">
              <w:t>0.1</w:t>
            </w:r>
            <w:r w:rsidR="00333FFB" w:rsidRPr="0069043F">
              <w:rPr>
                <w:rFonts w:cs="Arial"/>
              </w:rPr>
              <w:t xml:space="preserve"> </w:t>
            </w:r>
            <w:r w:rsidR="00333FFB" w:rsidRPr="0069043F">
              <w:t>mg/m</w:t>
            </w:r>
            <w:r w:rsidR="00333FFB" w:rsidRPr="0069043F">
              <w:rPr>
                <w:vertAlign w:val="superscript"/>
              </w:rPr>
              <w:t>3</w:t>
            </w:r>
          </w:p>
          <w:p w14:paraId="2CAF1F2A" w14:textId="6156B769" w:rsidR="00333FFB" w:rsidRPr="0069043F" w:rsidRDefault="0023611D" w:rsidP="00DC06CA">
            <w:pPr>
              <w:pStyle w:val="ListBullet"/>
              <w:numPr>
                <w:ilvl w:val="0"/>
                <w:numId w:val="17"/>
              </w:numPr>
              <w:spacing w:before="60" w:after="60"/>
              <w:ind w:left="1077" w:hanging="357"/>
              <w:contextualSpacing w:val="0"/>
              <w:rPr>
                <w:rStyle w:val="checkbox"/>
                <w:rFonts w:ascii="Arial" w:hAnsi="Arial" w:cs="Arial"/>
              </w:rPr>
            </w:pPr>
            <w:r w:rsidRPr="0069043F">
              <w:rPr>
                <w:rStyle w:val="checkbox"/>
                <w:rFonts w:ascii="Arial" w:hAnsi="Arial" w:cs="Arial"/>
              </w:rPr>
              <w:t>t</w:t>
            </w:r>
            <w:r w:rsidR="00676632" w:rsidRPr="0069043F">
              <w:rPr>
                <w:rStyle w:val="checkbox"/>
                <w:rFonts w:ascii="Arial" w:hAnsi="Arial" w:cs="Arial"/>
              </w:rPr>
              <w:t xml:space="preserve">hreshold of perception for individuals unaccustomed to mist exposure is </w:t>
            </w:r>
            <w:r w:rsidR="00543B4E" w:rsidRPr="0069043F">
              <w:rPr>
                <w:rStyle w:val="checkbox"/>
                <w:rFonts w:ascii="Arial" w:hAnsi="Arial" w:cs="Arial"/>
              </w:rPr>
              <w:t>~</w:t>
            </w:r>
            <w:r w:rsidR="00676632" w:rsidRPr="0069043F">
              <w:rPr>
                <w:rStyle w:val="checkbox"/>
                <w:rFonts w:ascii="Arial" w:hAnsi="Arial" w:cs="Arial"/>
              </w:rPr>
              <w:t>0.02</w:t>
            </w:r>
            <w:r w:rsidR="00543B4E" w:rsidRPr="0069043F">
              <w:rPr>
                <w:rStyle w:val="checkbox"/>
                <w:rFonts w:ascii="Arial" w:hAnsi="Arial" w:cs="Arial"/>
              </w:rPr>
              <w:t>-</w:t>
            </w:r>
            <w:r w:rsidR="00676632" w:rsidRPr="0069043F">
              <w:rPr>
                <w:rStyle w:val="checkbox"/>
                <w:rFonts w:ascii="Arial" w:hAnsi="Arial" w:cs="Arial"/>
              </w:rPr>
              <w:t>0.05 mg/m</w:t>
            </w:r>
            <w:r w:rsidR="00676632" w:rsidRPr="0069043F">
              <w:rPr>
                <w:rStyle w:val="checkbox"/>
                <w:rFonts w:ascii="Arial" w:hAnsi="Arial" w:cs="Arial"/>
                <w:vertAlign w:val="superscript"/>
              </w:rPr>
              <w:t>3</w:t>
            </w:r>
            <w:r w:rsidR="00676632" w:rsidRPr="0069043F">
              <w:rPr>
                <w:rStyle w:val="checkbox"/>
                <w:rFonts w:ascii="Arial" w:hAnsi="Arial" w:cs="Arial"/>
              </w:rPr>
              <w:t>; 0.1 mg/m</w:t>
            </w:r>
            <w:r w:rsidR="00676632" w:rsidRPr="0069043F">
              <w:rPr>
                <w:rStyle w:val="checkbox"/>
                <w:rFonts w:ascii="Arial" w:hAnsi="Arial" w:cs="Arial"/>
                <w:vertAlign w:val="superscript"/>
              </w:rPr>
              <w:t xml:space="preserve">3 </w:t>
            </w:r>
            <w:r w:rsidR="00676632" w:rsidRPr="0069043F">
              <w:rPr>
                <w:rStyle w:val="checkbox"/>
                <w:rFonts w:ascii="Arial" w:hAnsi="Arial" w:cs="Arial"/>
              </w:rPr>
              <w:t>is clearly perceptible; 0.2 mg/m</w:t>
            </w:r>
            <w:r w:rsidR="00676632" w:rsidRPr="0069043F">
              <w:rPr>
                <w:rStyle w:val="checkbox"/>
                <w:rFonts w:ascii="Arial" w:hAnsi="Arial" w:cs="Arial"/>
                <w:vertAlign w:val="superscript"/>
              </w:rPr>
              <w:t>3</w:t>
            </w:r>
            <w:r w:rsidR="00676632" w:rsidRPr="0069043F">
              <w:rPr>
                <w:rStyle w:val="checkbox"/>
                <w:rFonts w:ascii="Arial" w:hAnsi="Arial" w:cs="Arial"/>
              </w:rPr>
              <w:t xml:space="preserve"> can cause coughing or sneezing</w:t>
            </w:r>
          </w:p>
          <w:p w14:paraId="5EF78CE3" w14:textId="2024ABC5" w:rsidR="002C72E7" w:rsidRPr="0069043F" w:rsidRDefault="002C72E7" w:rsidP="00DC06CA">
            <w:pPr>
              <w:pStyle w:val="ListBullet"/>
              <w:spacing w:before="60" w:after="60"/>
              <w:ind w:left="714" w:hanging="357"/>
              <w:contextualSpacing w:val="0"/>
              <w:rPr>
                <w:rStyle w:val="checkbox"/>
                <w:rFonts w:ascii="Arial" w:hAnsi="Arial" w:cs="Arial"/>
              </w:rPr>
            </w:pPr>
            <w:r w:rsidRPr="0069043F">
              <w:rPr>
                <w:rStyle w:val="checkbox"/>
                <w:rFonts w:ascii="Arial" w:hAnsi="Arial" w:cs="Arial"/>
              </w:rPr>
              <w:t xml:space="preserve">Exposure at </w:t>
            </w:r>
            <w:r w:rsidR="00543B4E" w:rsidRPr="0069043F">
              <w:rPr>
                <w:rStyle w:val="checkbox"/>
                <w:rFonts w:ascii="Arial" w:hAnsi="Arial" w:cs="Arial"/>
              </w:rPr>
              <w:t>~</w:t>
            </w:r>
            <w:r w:rsidRPr="0069043F">
              <w:rPr>
                <w:rStyle w:val="checkbox"/>
                <w:rFonts w:ascii="Arial" w:hAnsi="Arial" w:cs="Arial"/>
              </w:rPr>
              <w:t>0.5 mg/m</w:t>
            </w:r>
            <w:r w:rsidRPr="0069043F">
              <w:rPr>
                <w:rStyle w:val="checkbox"/>
                <w:rFonts w:ascii="Arial" w:hAnsi="Arial" w:cs="Arial"/>
                <w:vertAlign w:val="superscript"/>
              </w:rPr>
              <w:t>3</w:t>
            </w:r>
            <w:r w:rsidRPr="0069043F">
              <w:rPr>
                <w:rStyle w:val="checkbox"/>
                <w:rFonts w:ascii="Arial" w:hAnsi="Arial" w:cs="Arial"/>
              </w:rPr>
              <w:t xml:space="preserve"> reported to cause sneezing, irritated nose, cough, runny nose and dry nose</w:t>
            </w:r>
          </w:p>
          <w:p w14:paraId="6470A1FD" w14:textId="56C71C26" w:rsidR="002C72E7" w:rsidRPr="0069043F" w:rsidRDefault="00166CCE" w:rsidP="00DC06CA">
            <w:pPr>
              <w:pStyle w:val="ListBullet"/>
              <w:spacing w:before="60" w:after="60"/>
              <w:ind w:left="714" w:hanging="357"/>
              <w:contextualSpacing w:val="0"/>
              <w:rPr>
                <w:rStyle w:val="checkbox"/>
                <w:rFonts w:ascii="Arial" w:hAnsi="Arial" w:cs="Arial"/>
              </w:rPr>
            </w:pPr>
            <w:r w:rsidRPr="0069043F">
              <w:rPr>
                <w:rStyle w:val="checkbox"/>
                <w:rFonts w:ascii="Arial" w:hAnsi="Arial" w:cs="Arial"/>
              </w:rPr>
              <w:t>Chronic effects (dose-related changes and significant cell proliferation to laryngeal cells) noted in rats exposed at 0.5 and 1.0 mg/m</w:t>
            </w:r>
            <w:r w:rsidRPr="0069043F">
              <w:rPr>
                <w:rStyle w:val="checkbox"/>
                <w:rFonts w:ascii="Arial" w:hAnsi="Arial" w:cs="Arial"/>
                <w:vertAlign w:val="superscript"/>
              </w:rPr>
              <w:t>3</w:t>
            </w:r>
            <w:r w:rsidRPr="0069043F">
              <w:rPr>
                <w:rStyle w:val="checkbox"/>
                <w:rFonts w:ascii="Arial" w:hAnsi="Arial" w:cs="Arial"/>
              </w:rPr>
              <w:t>; effects at 0.2 mg/m</w:t>
            </w:r>
            <w:r w:rsidRPr="0069043F">
              <w:rPr>
                <w:rStyle w:val="checkbox"/>
                <w:rFonts w:ascii="Arial" w:hAnsi="Arial" w:cs="Arial"/>
                <w:vertAlign w:val="superscript"/>
              </w:rPr>
              <w:t>3</w:t>
            </w:r>
            <w:r w:rsidRPr="0069043F">
              <w:rPr>
                <w:rStyle w:val="checkbox"/>
                <w:rFonts w:ascii="Arial" w:hAnsi="Arial" w:cs="Arial"/>
              </w:rPr>
              <w:t xml:space="preserve"> were minimal; 28</w:t>
            </w:r>
            <w:r w:rsidR="0023611D" w:rsidRPr="0069043F">
              <w:rPr>
                <w:rStyle w:val="checkbox"/>
                <w:rFonts w:ascii="Arial" w:hAnsi="Arial" w:cs="Arial"/>
              </w:rPr>
              <w:t> </w:t>
            </w:r>
            <w:r w:rsidRPr="0069043F">
              <w:rPr>
                <w:rStyle w:val="checkbox"/>
                <w:rFonts w:ascii="Arial" w:hAnsi="Arial" w:cs="Arial"/>
              </w:rPr>
              <w:t>d inhalation study</w:t>
            </w:r>
          </w:p>
          <w:p w14:paraId="4827EEA7" w14:textId="39DE617C" w:rsidR="00166CCE" w:rsidRPr="0069043F" w:rsidRDefault="00166CCE" w:rsidP="00DC06CA">
            <w:pPr>
              <w:pStyle w:val="ListBullet"/>
              <w:spacing w:before="60" w:after="60"/>
              <w:ind w:left="714" w:hanging="357"/>
              <w:contextualSpacing w:val="0"/>
              <w:rPr>
                <w:rStyle w:val="checkbox"/>
                <w:rFonts w:ascii="Arial" w:hAnsi="Arial" w:cs="Arial"/>
              </w:rPr>
            </w:pPr>
            <w:r w:rsidRPr="0069043F">
              <w:rPr>
                <w:rStyle w:val="checkbox"/>
                <w:rFonts w:ascii="Arial" w:hAnsi="Arial" w:cs="Arial"/>
              </w:rPr>
              <w:t>STEL not warranted</w:t>
            </w:r>
            <w:r w:rsidR="00543B4E" w:rsidRPr="0069043F">
              <w:rPr>
                <w:rStyle w:val="checkbox"/>
                <w:rFonts w:ascii="Arial" w:hAnsi="Arial" w:cs="Arial"/>
              </w:rPr>
              <w:t>.</w:t>
            </w:r>
          </w:p>
        </w:tc>
      </w:tr>
      <w:tr w:rsidR="00676632" w:rsidRPr="004C23F4" w14:paraId="67214C13" w14:textId="77777777" w:rsidTr="00EF4FCA">
        <w:trPr>
          <w:cantSplit/>
        </w:trPr>
        <w:tc>
          <w:tcPr>
            <w:tcW w:w="1489" w:type="dxa"/>
          </w:tcPr>
          <w:p w14:paraId="4B3B2A83" w14:textId="77777777" w:rsidR="004966BF" w:rsidRPr="004C23F4" w:rsidRDefault="004966BF" w:rsidP="00224EE2">
            <w:pPr>
              <w:pStyle w:val="Tablefont"/>
            </w:pPr>
            <w:r>
              <w:t>NICNAS</w:t>
            </w:r>
          </w:p>
        </w:tc>
        <w:tc>
          <w:tcPr>
            <w:tcW w:w="423" w:type="dxa"/>
          </w:tcPr>
          <w:p w14:paraId="37DAB09E" w14:textId="093AB847" w:rsidR="004966BF" w:rsidRPr="00CE617F" w:rsidRDefault="00EF4FCA"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5774E7">
                  <w:rPr>
                    <w:rStyle w:val="checkbox"/>
                  </w:rPr>
                  <w:t></w:t>
                </w:r>
              </w:sdtContent>
            </w:sdt>
          </w:p>
        </w:tc>
        <w:tc>
          <w:tcPr>
            <w:tcW w:w="661" w:type="dxa"/>
          </w:tcPr>
          <w:p w14:paraId="5BB66CBF" w14:textId="41A1A3D0" w:rsidR="004966BF" w:rsidRPr="004C23F4" w:rsidRDefault="005774E7" w:rsidP="00717D45">
            <w:pPr>
              <w:pStyle w:val="Tablefont"/>
              <w:rPr>
                <w:rStyle w:val="checkbox"/>
                <w:rFonts w:ascii="Arial" w:hAnsi="Arial" w:cs="Arial"/>
              </w:rPr>
            </w:pPr>
            <w:r>
              <w:rPr>
                <w:rStyle w:val="checkbox"/>
                <w:rFonts w:ascii="Arial" w:hAnsi="Arial" w:cs="Arial"/>
              </w:rPr>
              <w:t>2015</w:t>
            </w:r>
          </w:p>
        </w:tc>
        <w:tc>
          <w:tcPr>
            <w:tcW w:w="6453" w:type="dxa"/>
          </w:tcPr>
          <w:p w14:paraId="0076C2F1" w14:textId="01C0BDDF" w:rsidR="004966BF" w:rsidRPr="0069043F" w:rsidRDefault="005774E7" w:rsidP="00DC06CA">
            <w:pPr>
              <w:pStyle w:val="ListBullet"/>
              <w:ind w:left="717"/>
              <w:rPr>
                <w:rStyle w:val="checkbox"/>
                <w:rFonts w:ascii="Arial" w:hAnsi="Arial" w:cs="Arial"/>
                <w:lang w:eastAsia="en-AU"/>
              </w:rPr>
            </w:pPr>
            <w:r w:rsidRPr="0069043F">
              <w:rPr>
                <w:rFonts w:cs="Arial"/>
              </w:rPr>
              <w:t xml:space="preserve">Corrosive or irritating to the skin, eyes, gastrointestinal and respiratory tracts at concentrations </w:t>
            </w:r>
            <w:r w:rsidR="00543B4E" w:rsidRPr="0069043F">
              <w:rPr>
                <w:rFonts w:cs="Arial"/>
              </w:rPr>
              <w:t>&gt;</w:t>
            </w:r>
            <w:r w:rsidRPr="0069043F">
              <w:rPr>
                <w:rFonts w:cs="Arial"/>
              </w:rPr>
              <w:t>10%</w:t>
            </w:r>
            <w:r w:rsidR="00543B4E" w:rsidRPr="0069043F">
              <w:rPr>
                <w:rFonts w:cs="Arial"/>
              </w:rPr>
              <w:t>.</w:t>
            </w:r>
          </w:p>
        </w:tc>
      </w:tr>
      <w:tr w:rsidR="00676632" w:rsidRPr="004C23F4" w14:paraId="04FEEADE" w14:textId="77777777" w:rsidTr="00EF4FCA">
        <w:trPr>
          <w:cantSplit/>
        </w:trPr>
        <w:tc>
          <w:tcPr>
            <w:tcW w:w="1489" w:type="dxa"/>
          </w:tcPr>
          <w:p w14:paraId="0AEF458D" w14:textId="77777777" w:rsidR="004966BF" w:rsidRPr="004C23F4" w:rsidRDefault="004966BF" w:rsidP="00224EE2">
            <w:pPr>
              <w:pStyle w:val="Tablefont"/>
            </w:pPr>
            <w:r>
              <w:t>IARC</w:t>
            </w:r>
          </w:p>
        </w:tc>
        <w:tc>
          <w:tcPr>
            <w:tcW w:w="423" w:type="dxa"/>
          </w:tcPr>
          <w:p w14:paraId="184BEF97" w14:textId="25A6146E" w:rsidR="004966BF" w:rsidRPr="00CE617F" w:rsidRDefault="00EF4FCA" w:rsidP="00AB43C4">
            <w:pPr>
              <w:spacing w:before="40"/>
              <w:jc w:val="center"/>
              <w:rPr>
                <w:rStyle w:val="checkbox"/>
              </w:rPr>
            </w:pPr>
            <w:sdt>
              <w:sdtPr>
                <w:rPr>
                  <w:rStyle w:val="checkbox"/>
                </w:rPr>
                <w:id w:val="1592279139"/>
                <w:placeholder>
                  <w:docPart w:val="20BC8D26515A4C11AC6304FB75A7CBAD"/>
                </w:placeholder>
                <w:dropDownList>
                  <w:listItem w:displayText="" w:value=""/>
                  <w:listItem w:displayText="" w:value=""/>
                  <w:listItem w:displayText="" w:value=""/>
                </w:dropDownList>
              </w:sdtPr>
              <w:sdtEndPr>
                <w:rPr>
                  <w:rStyle w:val="checkbox"/>
                </w:rPr>
              </w:sdtEndPr>
              <w:sdtContent>
                <w:r w:rsidR="00166CCE">
                  <w:rPr>
                    <w:rStyle w:val="checkbox"/>
                  </w:rPr>
                  <w:t></w:t>
                </w:r>
              </w:sdtContent>
            </w:sdt>
          </w:p>
        </w:tc>
        <w:tc>
          <w:tcPr>
            <w:tcW w:w="661" w:type="dxa"/>
          </w:tcPr>
          <w:p w14:paraId="343344A1" w14:textId="46465510" w:rsidR="004966BF" w:rsidRPr="004C23F4" w:rsidRDefault="00AC1D25" w:rsidP="00717D45">
            <w:pPr>
              <w:pStyle w:val="Tablefont"/>
              <w:rPr>
                <w:rStyle w:val="checkbox"/>
                <w:rFonts w:ascii="Arial" w:hAnsi="Arial" w:cs="Arial"/>
              </w:rPr>
            </w:pPr>
            <w:r>
              <w:rPr>
                <w:rStyle w:val="checkbox"/>
                <w:rFonts w:ascii="Arial" w:hAnsi="Arial" w:cs="Arial"/>
              </w:rPr>
              <w:t>1992</w:t>
            </w:r>
          </w:p>
        </w:tc>
        <w:tc>
          <w:tcPr>
            <w:tcW w:w="6453" w:type="dxa"/>
          </w:tcPr>
          <w:p w14:paraId="2DDCA6FC" w14:textId="43B919B4" w:rsidR="004966BF" w:rsidRPr="0069043F" w:rsidRDefault="005774E7" w:rsidP="00DC06CA">
            <w:pPr>
              <w:pStyle w:val="ListBullet"/>
              <w:ind w:left="717"/>
              <w:rPr>
                <w:rStyle w:val="checkbox"/>
                <w:rFonts w:ascii="Arial" w:hAnsi="Arial" w:cs="Arial"/>
                <w:lang w:eastAsia="en-AU"/>
              </w:rPr>
            </w:pPr>
            <w:r w:rsidRPr="0069043F">
              <w:rPr>
                <w:rStyle w:val="checkbox"/>
                <w:rFonts w:ascii="Arial" w:hAnsi="Arial" w:cs="Arial"/>
              </w:rPr>
              <w:t>Classified strong acid mists containing sul</w:t>
            </w:r>
            <w:r w:rsidR="00543B4E" w:rsidRPr="0069043F">
              <w:rPr>
                <w:rStyle w:val="checkbox"/>
                <w:rFonts w:ascii="Arial" w:hAnsi="Arial" w:cs="Arial"/>
              </w:rPr>
              <w:t>f</w:t>
            </w:r>
            <w:r w:rsidRPr="0069043F">
              <w:rPr>
                <w:rStyle w:val="checkbox"/>
                <w:rFonts w:ascii="Arial" w:hAnsi="Arial" w:cs="Arial"/>
              </w:rPr>
              <w:t>uric acid as known to be carcinogenic to humans (Category 1).</w:t>
            </w:r>
          </w:p>
        </w:tc>
      </w:tr>
    </w:tbl>
    <w:bookmarkEnd w:id="0"/>
    <w:p w14:paraId="04408E29" w14:textId="77777777" w:rsidR="007E2A4B" w:rsidRDefault="007E2A4B" w:rsidP="001A1310">
      <w:pPr>
        <w:pStyle w:val="Heading3"/>
        <w:keepNext w:val="0"/>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328EBB70" w14:textId="77777777" w:rsidTr="005774E7">
        <w:trPr>
          <w:trHeight w:val="454"/>
          <w:tblHeader/>
        </w:trPr>
        <w:tc>
          <w:tcPr>
            <w:tcW w:w="6603" w:type="dxa"/>
            <w:vAlign w:val="center"/>
          </w:tcPr>
          <w:p w14:paraId="3B9A5A84" w14:textId="77777777" w:rsidR="002E0D61" w:rsidRDefault="00B1422A" w:rsidP="001A1310">
            <w:pPr>
              <w:pStyle w:val="Tablefont"/>
              <w:keepLines/>
              <w:spacing w:before="40" w:after="40"/>
            </w:pPr>
            <w:bookmarkStart w:id="1" w:name="GCQuest"/>
            <w:r>
              <w:lastRenderedPageBreak/>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2B8F4675" w14:textId="44676771" w:rsidR="002E0D61" w:rsidRDefault="005774E7" w:rsidP="001A1310">
                <w:pPr>
                  <w:pStyle w:val="Tablefont"/>
                  <w:keepLines/>
                  <w:spacing w:before="40" w:after="40"/>
                </w:pPr>
                <w:r>
                  <w:t>No</w:t>
                </w:r>
              </w:p>
            </w:tc>
          </w:sdtContent>
        </w:sdt>
      </w:tr>
      <w:tr w:rsidR="008A36CF" w14:paraId="4D6DDFA3" w14:textId="77777777" w:rsidTr="005774E7">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1A7516AB" w14:textId="5976E607" w:rsidR="008A36CF" w:rsidRPr="006901A2" w:rsidRDefault="005774E7" w:rsidP="001A1310">
                <w:pPr>
                  <w:pStyle w:val="Tablefont"/>
                  <w:keepLines/>
                  <w:spacing w:before="40" w:after="40"/>
                  <w:rPr>
                    <w:b/>
                  </w:rPr>
                </w:pPr>
                <w:r>
                  <w:rPr>
                    <w:b/>
                  </w:rPr>
                  <w:t>The chemical is not a non-threshold based genotoxic carcinogen.</w:t>
                </w:r>
              </w:p>
            </w:tc>
          </w:sdtContent>
        </w:sdt>
        <w:tc>
          <w:tcPr>
            <w:tcW w:w="2423" w:type="dxa"/>
            <w:vAlign w:val="center"/>
          </w:tcPr>
          <w:p w14:paraId="18F36B73" w14:textId="77777777" w:rsidR="008A36CF" w:rsidRDefault="008A36CF" w:rsidP="001A1310">
            <w:pPr>
              <w:pStyle w:val="Tablefont"/>
              <w:keepLines/>
              <w:spacing w:before="40" w:after="40"/>
            </w:pPr>
          </w:p>
        </w:tc>
      </w:tr>
    </w:tbl>
    <w:bookmarkEnd w:id="1"/>
    <w:p w14:paraId="3F27FA04"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4C23F4" w14:paraId="652E2B21" w14:textId="77777777" w:rsidTr="00EF4FCA">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7BAF3EEC" w14:textId="77777777" w:rsidR="00687890" w:rsidRPr="004C23F4" w:rsidRDefault="00687890" w:rsidP="00263255">
            <w:pPr>
              <w:pStyle w:val="Tableheader"/>
            </w:pPr>
            <w:bookmarkStart w:id="2" w:name="Notations"/>
            <w:bookmarkStart w:id="3" w:name="_GoBack" w:colFirst="0" w:colLast="2"/>
            <w:r w:rsidRPr="004C23F4">
              <w:t>Source</w:t>
            </w:r>
          </w:p>
        </w:tc>
        <w:tc>
          <w:tcPr>
            <w:tcW w:w="6015" w:type="dxa"/>
            <w:shd w:val="clear" w:color="auto" w:fill="BFBFBF" w:themeFill="background1" w:themeFillShade="BF"/>
            <w:vAlign w:val="center"/>
          </w:tcPr>
          <w:p w14:paraId="0D0DCAEA" w14:textId="77777777" w:rsidR="00687890" w:rsidRPr="004C23F4" w:rsidRDefault="00687890" w:rsidP="00F4402E">
            <w:pPr>
              <w:pStyle w:val="Tableheader"/>
              <w:tabs>
                <w:tab w:val="right" w:pos="5272"/>
              </w:tabs>
            </w:pPr>
            <w:r w:rsidRPr="004C23F4">
              <w:t>Notations</w:t>
            </w:r>
            <w:r w:rsidR="003A2B94">
              <w:tab/>
            </w:r>
          </w:p>
        </w:tc>
      </w:tr>
      <w:bookmarkEnd w:id="3"/>
      <w:tr w:rsidR="00687890" w:rsidRPr="004C23F4" w14:paraId="32D44898" w14:textId="77777777" w:rsidTr="00EF4FCA">
        <w:trPr>
          <w:cantSplit/>
        </w:trPr>
        <w:tc>
          <w:tcPr>
            <w:tcW w:w="3227" w:type="dxa"/>
          </w:tcPr>
          <w:p w14:paraId="37396CB4" w14:textId="77777777" w:rsidR="004079B4" w:rsidRPr="004C23F4" w:rsidRDefault="00084513" w:rsidP="00F4402E">
            <w:pPr>
              <w:pStyle w:val="Tablefont"/>
            </w:pPr>
            <w:r w:rsidRPr="004C23F4">
              <w:t>SWA</w:t>
            </w:r>
          </w:p>
        </w:tc>
        <w:tc>
          <w:tcPr>
            <w:tcW w:w="6015" w:type="dxa"/>
          </w:tcPr>
          <w:p w14:paraId="310BF575" w14:textId="35B16B8E" w:rsidR="00687890" w:rsidRPr="00DD2F9B" w:rsidRDefault="008A5921" w:rsidP="00DD2F9B">
            <w:pPr>
              <w:pStyle w:val="Tablefont"/>
            </w:pPr>
            <w:r w:rsidRPr="008A5921">
              <w:t>—</w:t>
            </w:r>
          </w:p>
        </w:tc>
      </w:tr>
      <w:tr w:rsidR="007925F0" w:rsidRPr="004C23F4" w14:paraId="2A0C13EF" w14:textId="77777777" w:rsidTr="00EF4FCA">
        <w:trPr>
          <w:cantSplit/>
        </w:trPr>
        <w:tc>
          <w:tcPr>
            <w:tcW w:w="3227" w:type="dxa"/>
          </w:tcPr>
          <w:p w14:paraId="14F1C6D0" w14:textId="77777777" w:rsidR="004079B4" w:rsidRPr="004C23F4" w:rsidRDefault="007925F0" w:rsidP="00F4402E">
            <w:pPr>
              <w:pStyle w:val="Tablefont"/>
            </w:pPr>
            <w:r>
              <w:t>HCIS</w:t>
            </w:r>
          </w:p>
        </w:tc>
        <w:tc>
          <w:tcPr>
            <w:tcW w:w="6015" w:type="dxa"/>
          </w:tcPr>
          <w:p w14:paraId="1A64DA01" w14:textId="5CD2521E" w:rsidR="007925F0" w:rsidRPr="00DD2F9B" w:rsidRDefault="008A5921" w:rsidP="00DD2F9B">
            <w:pPr>
              <w:pStyle w:val="Tablefont"/>
            </w:pPr>
            <w:r w:rsidRPr="008A5921">
              <w:t>—</w:t>
            </w:r>
          </w:p>
        </w:tc>
      </w:tr>
      <w:tr w:rsidR="00AF483F" w:rsidRPr="004C23F4" w14:paraId="4C1044B3" w14:textId="77777777" w:rsidTr="00EF4FCA">
        <w:trPr>
          <w:cantSplit/>
        </w:trPr>
        <w:tc>
          <w:tcPr>
            <w:tcW w:w="3227" w:type="dxa"/>
          </w:tcPr>
          <w:p w14:paraId="2C657AD0" w14:textId="77777777" w:rsidR="00AF483F" w:rsidRPr="004C23F4" w:rsidRDefault="00AF483F" w:rsidP="00F4402E">
            <w:pPr>
              <w:pStyle w:val="Tablefont"/>
            </w:pPr>
            <w:r>
              <w:t>NICNAS</w:t>
            </w:r>
          </w:p>
        </w:tc>
        <w:tc>
          <w:tcPr>
            <w:tcW w:w="6015" w:type="dxa"/>
          </w:tcPr>
          <w:p w14:paraId="4C253FE0" w14:textId="108D897A" w:rsidR="00AF483F" w:rsidRPr="00DD2F9B" w:rsidRDefault="008A5921" w:rsidP="00DD2F9B">
            <w:pPr>
              <w:pStyle w:val="Tablefont"/>
            </w:pPr>
            <w:r w:rsidRPr="008A5921">
              <w:t>—</w:t>
            </w:r>
          </w:p>
        </w:tc>
      </w:tr>
      <w:tr w:rsidR="00687890" w:rsidRPr="004C23F4" w14:paraId="7812F0EC" w14:textId="77777777" w:rsidTr="00EF4FCA">
        <w:trPr>
          <w:cantSplit/>
        </w:trPr>
        <w:tc>
          <w:tcPr>
            <w:tcW w:w="3227" w:type="dxa"/>
          </w:tcPr>
          <w:p w14:paraId="27285614" w14:textId="77777777" w:rsidR="004079B4" w:rsidRPr="004C23F4" w:rsidRDefault="00687890" w:rsidP="00F4402E">
            <w:pPr>
              <w:pStyle w:val="Tablefont"/>
            </w:pPr>
            <w:r w:rsidRPr="004C23F4">
              <w:t>EU Annex</w:t>
            </w:r>
          </w:p>
        </w:tc>
        <w:tc>
          <w:tcPr>
            <w:tcW w:w="6015" w:type="dxa"/>
          </w:tcPr>
          <w:p w14:paraId="517B08F1" w14:textId="4848CF24" w:rsidR="00687890" w:rsidRPr="00DD2F9B" w:rsidRDefault="008A5921" w:rsidP="00DD2F9B">
            <w:pPr>
              <w:pStyle w:val="Tablefont"/>
            </w:pPr>
            <w:r>
              <w:t>NA</w:t>
            </w:r>
          </w:p>
        </w:tc>
      </w:tr>
      <w:tr w:rsidR="00E41A26" w:rsidRPr="004C23F4" w14:paraId="403F0800" w14:textId="77777777" w:rsidTr="00EF4FCA">
        <w:trPr>
          <w:cantSplit/>
        </w:trPr>
        <w:tc>
          <w:tcPr>
            <w:tcW w:w="3227" w:type="dxa"/>
          </w:tcPr>
          <w:p w14:paraId="09B172BE" w14:textId="77777777" w:rsidR="00E41A26" w:rsidRDefault="00E41A26" w:rsidP="00F4402E">
            <w:pPr>
              <w:pStyle w:val="Tablefont"/>
            </w:pPr>
            <w:r>
              <w:t>ECHA</w:t>
            </w:r>
          </w:p>
        </w:tc>
        <w:tc>
          <w:tcPr>
            <w:tcW w:w="6015" w:type="dxa"/>
          </w:tcPr>
          <w:p w14:paraId="778B90CD" w14:textId="3B263A6D" w:rsidR="00E41A26" w:rsidRPr="00DD2F9B" w:rsidRDefault="008A5921" w:rsidP="00DD2F9B">
            <w:pPr>
              <w:pStyle w:val="Tablefont"/>
            </w:pPr>
            <w:r w:rsidRPr="008A5921">
              <w:t>—</w:t>
            </w:r>
          </w:p>
        </w:tc>
      </w:tr>
      <w:tr w:rsidR="002E0D61" w:rsidRPr="004C23F4" w14:paraId="57A490EF" w14:textId="77777777" w:rsidTr="00EF4FCA">
        <w:trPr>
          <w:cantSplit/>
        </w:trPr>
        <w:tc>
          <w:tcPr>
            <w:tcW w:w="3227" w:type="dxa"/>
          </w:tcPr>
          <w:p w14:paraId="4D22C7D5" w14:textId="77777777" w:rsidR="004079B4" w:rsidRPr="004C23F4" w:rsidRDefault="002E0D61" w:rsidP="00F4402E">
            <w:pPr>
              <w:pStyle w:val="Tablefont"/>
            </w:pPr>
            <w:r>
              <w:t>ACGIH</w:t>
            </w:r>
          </w:p>
        </w:tc>
        <w:tc>
          <w:tcPr>
            <w:tcW w:w="6015" w:type="dxa"/>
          </w:tcPr>
          <w:p w14:paraId="4A591C6E" w14:textId="046F04F0" w:rsidR="002E0D61" w:rsidRPr="00DD2F9B" w:rsidRDefault="008A5921" w:rsidP="00DD2F9B">
            <w:pPr>
              <w:pStyle w:val="Tablefont"/>
            </w:pPr>
            <w:r w:rsidRPr="008A5921">
              <w:t>Carcinogenicity – A2</w:t>
            </w:r>
          </w:p>
        </w:tc>
      </w:tr>
      <w:tr w:rsidR="002E0D61" w:rsidRPr="004C23F4" w14:paraId="43FA3590" w14:textId="77777777" w:rsidTr="00EF4FCA">
        <w:trPr>
          <w:cantSplit/>
        </w:trPr>
        <w:tc>
          <w:tcPr>
            <w:tcW w:w="3227" w:type="dxa"/>
          </w:tcPr>
          <w:p w14:paraId="5F590D05" w14:textId="77777777" w:rsidR="004079B4" w:rsidRPr="004C23F4" w:rsidRDefault="002E0D61" w:rsidP="00F4402E">
            <w:pPr>
              <w:pStyle w:val="Tablefont"/>
            </w:pPr>
            <w:r>
              <w:t>DFG</w:t>
            </w:r>
          </w:p>
        </w:tc>
        <w:tc>
          <w:tcPr>
            <w:tcW w:w="6015" w:type="dxa"/>
          </w:tcPr>
          <w:p w14:paraId="76555DBE" w14:textId="2D5B0E95" w:rsidR="002E0D61" w:rsidRPr="00DD2F9B" w:rsidRDefault="008A5921" w:rsidP="00DD2F9B">
            <w:pPr>
              <w:pStyle w:val="Tablefont"/>
            </w:pPr>
            <w:r w:rsidRPr="008A5921">
              <w:t>Carcinogenicity – 4</w:t>
            </w:r>
          </w:p>
        </w:tc>
      </w:tr>
      <w:tr w:rsidR="002E0D61" w:rsidRPr="004C23F4" w14:paraId="2AC7B866" w14:textId="77777777" w:rsidTr="00EF4FCA">
        <w:trPr>
          <w:cantSplit/>
        </w:trPr>
        <w:tc>
          <w:tcPr>
            <w:tcW w:w="3227" w:type="dxa"/>
          </w:tcPr>
          <w:p w14:paraId="70E5B2BF" w14:textId="77777777" w:rsidR="004079B4" w:rsidRPr="004C23F4" w:rsidRDefault="002E0D61" w:rsidP="00F4402E">
            <w:pPr>
              <w:pStyle w:val="Tablefont"/>
            </w:pPr>
            <w:r>
              <w:t>SCOEL</w:t>
            </w:r>
          </w:p>
        </w:tc>
        <w:tc>
          <w:tcPr>
            <w:tcW w:w="6015" w:type="dxa"/>
          </w:tcPr>
          <w:p w14:paraId="370736A2" w14:textId="40EAD425" w:rsidR="002E0D61" w:rsidRPr="00DD2F9B" w:rsidRDefault="008A5921" w:rsidP="00DD2F9B">
            <w:pPr>
              <w:pStyle w:val="Tablefont"/>
            </w:pPr>
            <w:r w:rsidRPr="008A5921">
              <w:t>—</w:t>
            </w:r>
          </w:p>
        </w:tc>
      </w:tr>
      <w:tr w:rsidR="002E0D61" w:rsidRPr="004C23F4" w14:paraId="1BE6EC07" w14:textId="77777777" w:rsidTr="00EF4FCA">
        <w:trPr>
          <w:cantSplit/>
        </w:trPr>
        <w:tc>
          <w:tcPr>
            <w:tcW w:w="3227" w:type="dxa"/>
          </w:tcPr>
          <w:p w14:paraId="4AF9E8D6" w14:textId="77777777" w:rsidR="004079B4" w:rsidRDefault="002E0D61" w:rsidP="00F4402E">
            <w:pPr>
              <w:pStyle w:val="Tablefont"/>
            </w:pPr>
            <w:r>
              <w:t>HCOTN</w:t>
            </w:r>
          </w:p>
        </w:tc>
        <w:tc>
          <w:tcPr>
            <w:tcW w:w="6015" w:type="dxa"/>
          </w:tcPr>
          <w:p w14:paraId="70663407" w14:textId="552AAFEA" w:rsidR="002E0D61" w:rsidRPr="00DD2F9B" w:rsidRDefault="008A5921" w:rsidP="00DD2F9B">
            <w:pPr>
              <w:pStyle w:val="Tablefont"/>
            </w:pPr>
            <w:r w:rsidRPr="008A5921">
              <w:t>Carcinogenicity – category 1A</w:t>
            </w:r>
          </w:p>
        </w:tc>
      </w:tr>
      <w:tr w:rsidR="00386093" w:rsidRPr="004C23F4" w14:paraId="5F6A6A8E" w14:textId="77777777" w:rsidTr="00EF4FCA">
        <w:trPr>
          <w:cantSplit/>
        </w:trPr>
        <w:tc>
          <w:tcPr>
            <w:tcW w:w="3227" w:type="dxa"/>
          </w:tcPr>
          <w:p w14:paraId="04F98936" w14:textId="77777777" w:rsidR="004079B4" w:rsidRDefault="00386093" w:rsidP="00F4402E">
            <w:pPr>
              <w:pStyle w:val="Tablefont"/>
            </w:pPr>
            <w:r>
              <w:t>IARC</w:t>
            </w:r>
          </w:p>
        </w:tc>
        <w:tc>
          <w:tcPr>
            <w:tcW w:w="6015" w:type="dxa"/>
          </w:tcPr>
          <w:p w14:paraId="741186B9" w14:textId="61E92C5D" w:rsidR="00386093" w:rsidRPr="00DD2F9B" w:rsidRDefault="008A5921" w:rsidP="00DD2F9B">
            <w:pPr>
              <w:pStyle w:val="Tablefont"/>
            </w:pPr>
            <w:r w:rsidRPr="008A5921">
              <w:t>Carcinogenicity – Group 1</w:t>
            </w:r>
            <w:r w:rsidR="00AF2BEB">
              <w:t xml:space="preserve"> (strong acid mist) </w:t>
            </w:r>
          </w:p>
        </w:tc>
      </w:tr>
      <w:tr w:rsidR="00386093" w:rsidRPr="004C23F4" w14:paraId="7461DB0E" w14:textId="77777777" w:rsidTr="00EF4FCA">
        <w:trPr>
          <w:cantSplit/>
        </w:trPr>
        <w:tc>
          <w:tcPr>
            <w:tcW w:w="3227" w:type="dxa"/>
          </w:tcPr>
          <w:p w14:paraId="1086B376" w14:textId="77777777" w:rsidR="004079B4" w:rsidRDefault="00386093" w:rsidP="00F4402E">
            <w:pPr>
              <w:pStyle w:val="Tablefont"/>
              <w:keepNext/>
            </w:pPr>
            <w:r>
              <w:t>US NIOSH</w:t>
            </w:r>
          </w:p>
        </w:tc>
        <w:tc>
          <w:tcPr>
            <w:tcW w:w="6015" w:type="dxa"/>
          </w:tcPr>
          <w:p w14:paraId="1A9F8299" w14:textId="6487120A" w:rsidR="00386093" w:rsidRPr="00DD2F9B" w:rsidRDefault="008A5921" w:rsidP="00D87570">
            <w:pPr>
              <w:pStyle w:val="Tablefont"/>
              <w:keepNext/>
            </w:pPr>
            <w:r>
              <w:t>NA</w:t>
            </w:r>
          </w:p>
        </w:tc>
      </w:tr>
    </w:tbl>
    <w:bookmarkEnd w:id="2"/>
    <w:p w14:paraId="691DA01E"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30949ECD" w14:textId="7E2CD596" w:rsidR="00474E33" w:rsidRDefault="00474E33" w:rsidP="00474E33">
      <w:pPr>
        <w:pStyle w:val="Heading3"/>
      </w:pPr>
      <w:r>
        <w:t>Skin notation assessment</w:t>
      </w:r>
    </w:p>
    <w:p w14:paraId="190AD1CF" w14:textId="0CA03CB0" w:rsidR="0069043F" w:rsidRPr="0069043F" w:rsidRDefault="0069043F" w:rsidP="0069043F">
      <w:pPr>
        <w:rPr>
          <w:lang w:eastAsia="en-AU"/>
        </w:rPr>
      </w:pPr>
      <w:r>
        <w:t>Insufficient data to assign a skin notation.</w:t>
      </w:r>
    </w:p>
    <w:p w14:paraId="17DD4C74"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76572C95" w14:textId="77777777" w:rsidTr="00610F2E">
        <w:trPr>
          <w:trHeight w:val="454"/>
          <w:tblHeader/>
        </w:trPr>
        <w:tc>
          <w:tcPr>
            <w:tcW w:w="4361" w:type="dxa"/>
            <w:vAlign w:val="center"/>
          </w:tcPr>
          <w:p w14:paraId="1FCAB12B"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3DFB8CD9" w14:textId="48E6B09C" w:rsidR="00EB3D1B" w:rsidRDefault="008A5921" w:rsidP="00EB3D1B">
                <w:pPr>
                  <w:pStyle w:val="Tablefont"/>
                </w:pPr>
                <w:r>
                  <w:t>Yes</w:t>
                </w:r>
              </w:p>
            </w:tc>
          </w:sdtContent>
        </w:sdt>
      </w:tr>
    </w:tbl>
    <w:p w14:paraId="09564279"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20151388" w14:textId="77777777" w:rsidTr="00EA6243">
        <w:trPr>
          <w:cantSplit/>
          <w:tblHeader/>
        </w:trPr>
        <w:tc>
          <w:tcPr>
            <w:tcW w:w="4077" w:type="dxa"/>
            <w:vAlign w:val="center"/>
          </w:tcPr>
          <w:p w14:paraId="4D40D6A0"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B769A95" w14:textId="7B8A2F7C" w:rsidR="001B79E5" w:rsidRDefault="00E5346F" w:rsidP="001B79E5">
                <w:pPr>
                  <w:pStyle w:val="Tablefont"/>
                </w:pPr>
                <w:r w:rsidRPr="00E5346F">
                  <w:t>98.07</w:t>
                </w:r>
              </w:p>
            </w:tc>
          </w:sdtContent>
        </w:sdt>
      </w:tr>
      <w:tr w:rsidR="00A31D99" w:rsidRPr="004C23F4" w14:paraId="4D7C99C9" w14:textId="77777777" w:rsidTr="00EA6243">
        <w:trPr>
          <w:cantSplit/>
          <w:tblHeader/>
        </w:trPr>
        <w:tc>
          <w:tcPr>
            <w:tcW w:w="4077" w:type="dxa"/>
            <w:vAlign w:val="center"/>
          </w:tcPr>
          <w:p w14:paraId="639B143B"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4F6414BE" w14:textId="683C1D4B" w:rsidR="00A31D99" w:rsidRDefault="00A0643F" w:rsidP="00A174CC">
            <w:pPr>
              <w:pStyle w:val="Tablefont"/>
            </w:pPr>
            <w:r>
              <w:t xml:space="preserve">1 ppm = </w:t>
            </w:r>
            <w:sdt>
              <w:sdtPr>
                <w:id w:val="-371151491"/>
                <w:placeholder>
                  <w:docPart w:val="A7231FB73EFF4B2B92EB3BD21C0CEA01"/>
                </w:placeholder>
              </w:sdtPr>
              <w:sdtEndPr/>
              <w:sdtContent>
                <w:r w:rsidR="00E5346F">
                  <w:t>4.01</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E5346F">
                  <w:t>0.25</w:t>
                </w:r>
              </w:sdtContent>
            </w:sdt>
            <w:r w:rsidRPr="00E5346F">
              <w:t xml:space="preserve"> </w:t>
            </w:r>
            <w:r>
              <w:t>ppm</w:t>
            </w:r>
          </w:p>
        </w:tc>
      </w:tr>
      <w:tr w:rsidR="00687890" w:rsidRPr="004C23F4" w14:paraId="64400DD3" w14:textId="77777777" w:rsidTr="00EA6243">
        <w:trPr>
          <w:cantSplit/>
          <w:tblHeader/>
        </w:trPr>
        <w:tc>
          <w:tcPr>
            <w:tcW w:w="4077" w:type="dxa"/>
            <w:vAlign w:val="center"/>
          </w:tcPr>
          <w:p w14:paraId="402488EA"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54A54B21"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348B99DA" w14:textId="77777777" w:rsidTr="00EA6243">
        <w:trPr>
          <w:cantSplit/>
        </w:trPr>
        <w:tc>
          <w:tcPr>
            <w:tcW w:w="4077" w:type="dxa"/>
            <w:vAlign w:val="center"/>
          </w:tcPr>
          <w:p w14:paraId="085F3385"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47481CF4"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4A425D20" w14:textId="77777777" w:rsidTr="00EA6243">
        <w:trPr>
          <w:cantSplit/>
        </w:trPr>
        <w:tc>
          <w:tcPr>
            <w:tcW w:w="4077" w:type="dxa"/>
            <w:vAlign w:val="center"/>
          </w:tcPr>
          <w:p w14:paraId="6A9A1889"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34AC1F87"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0C457149" w14:textId="77777777" w:rsidTr="00EA6243">
        <w:trPr>
          <w:cantSplit/>
        </w:trPr>
        <w:tc>
          <w:tcPr>
            <w:tcW w:w="4077" w:type="dxa"/>
            <w:vAlign w:val="center"/>
          </w:tcPr>
          <w:p w14:paraId="6EFB81B8"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41AC5BAA" w14:textId="77777777" w:rsidR="00E06F40" w:rsidRPr="00A006A0" w:rsidRDefault="00EF4FCA"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5F17BFE8" w14:textId="77777777" w:rsidR="007F1005" w:rsidRPr="004C23F4" w:rsidRDefault="007F1005" w:rsidP="00EB3D1B">
      <w:pPr>
        <w:pStyle w:val="Heading2"/>
        <w:keepLines/>
      </w:pPr>
      <w:r w:rsidRPr="004C23F4">
        <w:lastRenderedPageBreak/>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1A6A40EF" w14:textId="77777777" w:rsidTr="00F053FA">
        <w:trPr>
          <w:tblHeader/>
        </w:trPr>
        <w:tc>
          <w:tcPr>
            <w:tcW w:w="4077" w:type="dxa"/>
            <w:shd w:val="clear" w:color="auto" w:fill="BFBFBF" w:themeFill="background1" w:themeFillShade="BF"/>
            <w:vAlign w:val="center"/>
          </w:tcPr>
          <w:p w14:paraId="2D29FE93"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3F181855" w14:textId="77777777" w:rsidR="00224EE2" w:rsidRPr="004C23F4" w:rsidRDefault="00224EE2" w:rsidP="00EB3D1B">
            <w:pPr>
              <w:pStyle w:val="Tableheader"/>
              <w:keepNext/>
              <w:keepLines/>
            </w:pPr>
            <w:r>
              <w:t>Standard</w:t>
            </w:r>
          </w:p>
        </w:tc>
      </w:tr>
      <w:tr w:rsidR="007F1005" w:rsidRPr="004C23F4" w14:paraId="0A8EDFF7" w14:textId="77777777" w:rsidTr="00F053FA">
        <w:trPr>
          <w:tblHeader/>
        </w:trPr>
        <w:sdt>
          <w:sdtPr>
            <w:id w:val="-25557549"/>
            <w:placeholder>
              <w:docPart w:val="2BF891C0AB704CDAB9BC6E80D556473F"/>
            </w:placeholder>
            <w:showingPlcHdr/>
            <w:text/>
          </w:sdtPr>
          <w:sdtEndPr/>
          <w:sdtContent>
            <w:tc>
              <w:tcPr>
                <w:tcW w:w="4077" w:type="dxa"/>
                <w:vAlign w:val="center"/>
              </w:tcPr>
              <w:p w14:paraId="7949D24F"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20161776" w14:textId="77777777" w:rsidR="007F1005" w:rsidRPr="004C23F4" w:rsidRDefault="007F1005" w:rsidP="00EB3D1B">
            <w:pPr>
              <w:pStyle w:val="Tablefont"/>
              <w:keepLines/>
            </w:pPr>
          </w:p>
        </w:tc>
      </w:tr>
    </w:tbl>
    <w:bookmarkEnd w:id="4"/>
    <w:p w14:paraId="2632AEE5" w14:textId="77777777" w:rsidR="00F87D92" w:rsidRDefault="00F87D92" w:rsidP="00EF7F78">
      <w:pPr>
        <w:pStyle w:val="Heading2"/>
        <w:tabs>
          <w:tab w:val="right" w:pos="8505"/>
        </w:tabs>
      </w:pPr>
      <w:r>
        <w:t>References</w:t>
      </w:r>
      <w:r w:rsidR="00EF7F78">
        <w:tab/>
      </w:r>
    </w:p>
    <w:p w14:paraId="016C4875" w14:textId="76C821BA"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522A4B95" w14:textId="00E89BC8" w:rsidR="00C370DF" w:rsidRPr="0003064E" w:rsidRDefault="00C370DF" w:rsidP="00C370DF">
      <w:r w:rsidRPr="0003064E">
        <w:t>Australian Institute of Occupational Hygienists (AIOH) Australian Institute of Occupational Hygienists (AIOH) (201</w:t>
      </w:r>
      <w:r>
        <w:t>5</w:t>
      </w:r>
      <w:r w:rsidRPr="0003064E">
        <w:t xml:space="preserve">) Position paper: </w:t>
      </w:r>
      <w:r>
        <w:t>sulfuric acid mist</w:t>
      </w:r>
      <w:r w:rsidRPr="0003064E">
        <w:t xml:space="preserve"> and occupational health issues.</w:t>
      </w:r>
    </w:p>
    <w:p w14:paraId="32246C00" w14:textId="752B116A" w:rsidR="008E4F1F" w:rsidRDefault="008E4F1F" w:rsidP="008E4F1F">
      <w:pPr>
        <w:rPr>
          <w:b/>
        </w:rPr>
      </w:pPr>
      <w:r w:rsidRPr="002022B6">
        <w:t>Deutsche Forschungsgemeinschaft (DFG)</w:t>
      </w:r>
      <w:r>
        <w:t xml:space="preserve"> (</w:t>
      </w:r>
      <w:r w:rsidR="008A5921">
        <w:t>2007</w:t>
      </w:r>
      <w:r>
        <w:t xml:space="preserve">) </w:t>
      </w:r>
      <w:r w:rsidR="008A5921" w:rsidRPr="008A5921">
        <w:t>Sulfuric acid</w:t>
      </w:r>
      <w:r>
        <w:t xml:space="preserve"> – MAK value documentation.</w:t>
      </w:r>
    </w:p>
    <w:p w14:paraId="3A4FF805" w14:textId="284D50FA" w:rsidR="008E4F1F" w:rsidRDefault="008E4F1F" w:rsidP="008E4F1F">
      <w:pPr>
        <w:rPr>
          <w:b/>
        </w:rPr>
      </w:pPr>
      <w:r w:rsidRPr="002022B6">
        <w:t>EU Scientific Committee on Occupational Exposure Limits (SCOEL)</w:t>
      </w:r>
      <w:r>
        <w:t xml:space="preserve"> (</w:t>
      </w:r>
      <w:r w:rsidR="00AC1F28">
        <w:t>2007/2012</w:t>
      </w:r>
      <w:r>
        <w:t xml:space="preserve">) Recommendation from the Scientific Committee on Occupational Exposure Limits for </w:t>
      </w:r>
      <w:r w:rsidR="00AC1F28" w:rsidRPr="00AC1F28">
        <w:t>Sulphuric acid</w:t>
      </w:r>
      <w:r>
        <w:t>. SCOEL/</w:t>
      </w:r>
      <w:r w:rsidR="00AC1F28" w:rsidRPr="00AC1F28">
        <w:t>SUM/105</w:t>
      </w:r>
      <w:r>
        <w:t>.</w:t>
      </w:r>
    </w:p>
    <w:p w14:paraId="78E5C478" w14:textId="77777777" w:rsidR="00C370DF" w:rsidRDefault="00C370DF" w:rsidP="00C370DF">
      <w:pPr>
        <w:rPr>
          <w:b/>
        </w:rPr>
      </w:pPr>
      <w:r>
        <w:t>European Chemicals Agency (ECHA) (2019) Sulfuric acid – REACH assessment.</w:t>
      </w:r>
    </w:p>
    <w:p w14:paraId="28EAA9C1" w14:textId="4307FFE4" w:rsidR="008E4F1F" w:rsidRDefault="008E4F1F" w:rsidP="00AC1F28">
      <w:pPr>
        <w:rPr>
          <w:b/>
        </w:rPr>
      </w:pPr>
      <w:r w:rsidRPr="002022B6">
        <w:t>Health Council of the Netherlands</w:t>
      </w:r>
      <w:r>
        <w:t xml:space="preserve"> (HCOTN) (</w:t>
      </w:r>
      <w:r w:rsidR="00AC1F28" w:rsidRPr="00AC1F28">
        <w:t>2003</w:t>
      </w:r>
      <w:r>
        <w:t xml:space="preserve">) </w:t>
      </w:r>
      <w:r w:rsidR="00AC1F28">
        <w:t>Strong inorganic acid mists containing sulphuric acid</w:t>
      </w:r>
      <w:r w:rsidRPr="005F7416">
        <w:t xml:space="preserve">. Health-based calculated occupational cancer risk values. The Hague: Health Council of the Netherlands; publication no. </w:t>
      </w:r>
      <w:r w:rsidR="00AC1F28" w:rsidRPr="00AC1F28">
        <w:t>2003/07OSH</w:t>
      </w:r>
      <w:r>
        <w:t>.</w:t>
      </w:r>
    </w:p>
    <w:p w14:paraId="4D7F094F" w14:textId="4477CD89" w:rsidR="008E4F1F" w:rsidRDefault="008E4F1F" w:rsidP="008E4F1F">
      <w:pPr>
        <w:rPr>
          <w:b/>
        </w:rPr>
      </w:pPr>
      <w:r w:rsidRPr="002022B6">
        <w:t>International Agency for Research on Cancer</w:t>
      </w:r>
      <w:r>
        <w:t xml:space="preserve"> (IARC) (</w:t>
      </w:r>
      <w:r w:rsidR="00AC1F28" w:rsidRPr="00AC1F28">
        <w:t>2012</w:t>
      </w:r>
      <w:r>
        <w:t xml:space="preserve">) </w:t>
      </w:r>
      <w:r w:rsidR="00AC1F28" w:rsidRPr="00AC1F28">
        <w:t>Acid mists, strong inorganic</w:t>
      </w:r>
      <w:r>
        <w:t>. IARC Monographs on the evaluation of the carcinogenic risk to humans.</w:t>
      </w:r>
    </w:p>
    <w:p w14:paraId="1D94FE62" w14:textId="3EEF301B" w:rsidR="008E4F1F" w:rsidRDefault="008E4F1F" w:rsidP="008E4F1F">
      <w:r w:rsidRPr="002022B6">
        <w:t>National Industrial Chemicals Notification and Assessment Scheme (NICNAS)</w:t>
      </w:r>
      <w:r>
        <w:t xml:space="preserve"> (</w:t>
      </w:r>
      <w:r w:rsidR="00AC1F28" w:rsidRPr="00AC1F28">
        <w:t>2015</w:t>
      </w:r>
      <w:r>
        <w:t xml:space="preserve">) </w:t>
      </w:r>
      <w:r w:rsidR="00AC1F28" w:rsidRPr="00AC1F28">
        <w:t>Sulfuric acid</w:t>
      </w:r>
      <w:r w:rsidRPr="0071660C">
        <w:t xml:space="preserve">: Human health </w:t>
      </w:r>
      <w:r w:rsidR="00AC1F28" w:rsidRPr="00AC1F28">
        <w:t>tier II</w:t>
      </w:r>
      <w:r>
        <w:t xml:space="preserve"> </w:t>
      </w:r>
      <w:r w:rsidRPr="0071660C">
        <w:t>assessment</w:t>
      </w:r>
      <w:r>
        <w:t xml:space="preserve"> – IMAP report.</w:t>
      </w:r>
    </w:p>
    <w:p w14:paraId="77EFB18B" w14:textId="6614F45C" w:rsidR="008E4F1F" w:rsidRDefault="008E4F1F" w:rsidP="008E4F1F">
      <w:pPr>
        <w:rPr>
          <w:b/>
        </w:rPr>
      </w:pPr>
      <w:r w:rsidRPr="00D86E03">
        <w:t>US National Institute for Occupational Safety and Health (NIOSH)</w:t>
      </w:r>
      <w:r>
        <w:t xml:space="preserve"> (</w:t>
      </w:r>
      <w:r w:rsidR="00AC1F28" w:rsidRPr="00AC1F28">
        <w:t>1994</w:t>
      </w:r>
      <w:r>
        <w:t xml:space="preserve">) Immediately dangerous to life or health concentrations – </w:t>
      </w:r>
      <w:r w:rsidR="00AC1F28" w:rsidRPr="00AC1F28">
        <w:t>Sulfuric acid</w:t>
      </w:r>
      <w:r>
        <w:t>.</w:t>
      </w:r>
    </w:p>
    <w:p w14:paraId="417B0753" w14:textId="77777777" w:rsidR="008E4F1F" w:rsidRPr="00351FE0" w:rsidRDefault="008E4F1F" w:rsidP="00084859"/>
    <w:sectPr w:rsidR="008E4F1F" w:rsidRPr="00351FE0"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031C1" w14:textId="77777777" w:rsidR="00BF069C" w:rsidRDefault="00BF069C" w:rsidP="00F43AD5">
      <w:pPr>
        <w:spacing w:after="0" w:line="240" w:lineRule="auto"/>
      </w:pPr>
      <w:r>
        <w:separator/>
      </w:r>
    </w:p>
  </w:endnote>
  <w:endnote w:type="continuationSeparator" w:id="0">
    <w:p w14:paraId="10BB9E17" w14:textId="77777777" w:rsidR="00BF069C" w:rsidRDefault="00BF069C"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EBAC" w14:textId="77777777" w:rsidR="00EF4FCA" w:rsidRDefault="00EF4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6FA44F87" w14:textId="77777777" w:rsidR="00BD4B9C" w:rsidRPr="0049537F" w:rsidRDefault="00BD4B9C" w:rsidP="0049537F">
        <w:pPr>
          <w:pStyle w:val="Footer"/>
          <w:rPr>
            <w:b/>
            <w:sz w:val="18"/>
            <w:szCs w:val="18"/>
          </w:rPr>
        </w:pPr>
      </w:p>
      <w:p w14:paraId="39026E62" w14:textId="53515888" w:rsidR="00BD4B9C" w:rsidRDefault="00BD4B9C" w:rsidP="0049537F">
        <w:pPr>
          <w:pStyle w:val="Footer"/>
          <w:rPr>
            <w:sz w:val="18"/>
            <w:szCs w:val="18"/>
          </w:rPr>
        </w:pPr>
        <w:r w:rsidRPr="0049537F">
          <w:rPr>
            <w:b/>
            <w:sz w:val="18"/>
            <w:szCs w:val="18"/>
          </w:rPr>
          <w:t>Sul</w:t>
        </w:r>
        <w:r w:rsidR="00AF2BEB">
          <w:rPr>
            <w:b/>
            <w:sz w:val="18"/>
            <w:szCs w:val="18"/>
          </w:rPr>
          <w:t>f</w:t>
        </w:r>
        <w:r w:rsidRPr="0049537F">
          <w:rPr>
            <w:b/>
            <w:sz w:val="18"/>
            <w:szCs w:val="18"/>
          </w:rPr>
          <w:t>uric acid</w:t>
        </w:r>
        <w:r>
          <w:rPr>
            <w:b/>
            <w:sz w:val="18"/>
            <w:szCs w:val="18"/>
          </w:rPr>
          <w:t xml:space="preserve"> (</w:t>
        </w:r>
        <w:r w:rsidRPr="0049537F">
          <w:rPr>
            <w:b/>
            <w:sz w:val="18"/>
            <w:szCs w:val="18"/>
          </w:rPr>
          <w:t>7664-93-9</w:t>
        </w:r>
        <w:r>
          <w:rPr>
            <w:b/>
            <w:sz w:val="18"/>
            <w:szCs w:val="18"/>
          </w:rPr>
          <w:t>)</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w:t>
        </w:r>
        <w:r w:rsidR="00AF2BEB">
          <w:rPr>
            <w:sz w:val="18"/>
            <w:szCs w:val="18"/>
          </w:rPr>
          <w:t>20</w:t>
        </w:r>
      </w:p>
      <w:p w14:paraId="2D517F5E" w14:textId="4C417802" w:rsidR="00BD4B9C" w:rsidRPr="00F43AD5" w:rsidRDefault="00BD4B9C"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2F0A39">
          <w:rPr>
            <w:noProof/>
            <w:sz w:val="18"/>
            <w:szCs w:val="18"/>
          </w:rPr>
          <w:t>10</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6968" w14:textId="77777777" w:rsidR="00EF4FCA" w:rsidRDefault="00EF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D4CF5" w14:textId="77777777" w:rsidR="00BF069C" w:rsidRDefault="00BF069C" w:rsidP="00F43AD5">
      <w:pPr>
        <w:spacing w:after="0" w:line="240" w:lineRule="auto"/>
      </w:pPr>
      <w:r>
        <w:separator/>
      </w:r>
    </w:p>
  </w:footnote>
  <w:footnote w:type="continuationSeparator" w:id="0">
    <w:p w14:paraId="3A17C9BE" w14:textId="77777777" w:rsidR="00BF069C" w:rsidRDefault="00BF069C"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BB4F" w14:textId="77777777" w:rsidR="00EF4FCA" w:rsidRDefault="00EF4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7B042" w14:textId="162F45D2" w:rsidR="00EF4FCA" w:rsidRDefault="00EF4FCA" w:rsidP="00EF4FCA">
    <w:pPr>
      <w:pStyle w:val="Header"/>
      <w:jc w:val="right"/>
    </w:pPr>
    <w:r>
      <w:pict w14:anchorId="3C046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64580" o:spid="_x0000_s6145"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0FCF0ECE" wp14:editId="256B086F">
          <wp:extent cx="2948305" cy="598805"/>
          <wp:effectExtent l="0" t="0" r="0" b="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7670" cy="600710"/>
                  </a:xfrm>
                  <a:prstGeom prst="rect">
                    <a:avLst/>
                  </a:prstGeom>
                </pic:spPr>
              </pic:pic>
            </a:graphicData>
          </a:graphic>
        </wp:inline>
      </w:drawing>
    </w:r>
  </w:p>
  <w:p w14:paraId="4DAA8792" w14:textId="21BF1E91" w:rsidR="00BD4B9C" w:rsidRPr="00EF4FCA" w:rsidRDefault="00BD4B9C" w:rsidP="00EF4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2938" w14:textId="77777777" w:rsidR="00EF4FCA" w:rsidRDefault="00EF4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D26E" w14:textId="3F84594E" w:rsidR="00EF4FCA" w:rsidRDefault="00EF4FCA" w:rsidP="00EF4FCA">
    <w:pPr>
      <w:pStyle w:val="Header"/>
      <w:jc w:val="right"/>
    </w:pPr>
    <w:r>
      <w:pict w14:anchorId="0908B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2D8C2ED8" wp14:editId="77D4F33D">
          <wp:extent cx="2948305" cy="598805"/>
          <wp:effectExtent l="0" t="0" r="0" b="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7670" cy="600710"/>
                  </a:xfrm>
                  <a:prstGeom prst="rect">
                    <a:avLst/>
                  </a:prstGeom>
                </pic:spPr>
              </pic:pic>
            </a:graphicData>
          </a:graphic>
        </wp:inline>
      </w:drawing>
    </w:r>
  </w:p>
  <w:p w14:paraId="71F09FB4" w14:textId="77777777" w:rsidR="00BD4B9C" w:rsidRDefault="00BD4B9C" w:rsidP="00F43A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E0E5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47630"/>
    <w:multiLevelType w:val="hybridMultilevel"/>
    <w:tmpl w:val="A6EC5C5E"/>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83552F6"/>
    <w:multiLevelType w:val="hybridMultilevel"/>
    <w:tmpl w:val="E228DAF2"/>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D0756D0"/>
    <w:multiLevelType w:val="hybridMultilevel"/>
    <w:tmpl w:val="3D6E1876"/>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EE01C94"/>
    <w:multiLevelType w:val="hybridMultilevel"/>
    <w:tmpl w:val="22741684"/>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AA37076"/>
    <w:multiLevelType w:val="hybridMultilevel"/>
    <w:tmpl w:val="0F62957E"/>
    <w:lvl w:ilvl="0" w:tplc="0C090003">
      <w:start w:val="1"/>
      <w:numFmt w:val="bullet"/>
      <w:lvlText w:val="o"/>
      <w:lvlJc w:val="left"/>
      <w:pPr>
        <w:ind w:left="1443" w:hanging="360"/>
      </w:pPr>
      <w:rPr>
        <w:rFonts w:ascii="Courier New" w:hAnsi="Courier New" w:cs="Courier New"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6" w15:restartNumberingAfterBreak="0">
    <w:nsid w:val="2DF377CE"/>
    <w:multiLevelType w:val="hybridMultilevel"/>
    <w:tmpl w:val="BB60F806"/>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EB80E1F"/>
    <w:multiLevelType w:val="hybridMultilevel"/>
    <w:tmpl w:val="C58AE202"/>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124E16"/>
    <w:multiLevelType w:val="hybridMultilevel"/>
    <w:tmpl w:val="B5E81322"/>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A4576ED"/>
    <w:multiLevelType w:val="hybridMultilevel"/>
    <w:tmpl w:val="673AA41C"/>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0E2435F"/>
    <w:multiLevelType w:val="hybridMultilevel"/>
    <w:tmpl w:val="BB984C7C"/>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496EF4"/>
    <w:multiLevelType w:val="hybridMultilevel"/>
    <w:tmpl w:val="A1B410A4"/>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29253B2"/>
    <w:multiLevelType w:val="hybridMultilevel"/>
    <w:tmpl w:val="28B650B8"/>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64E1539"/>
    <w:multiLevelType w:val="hybridMultilevel"/>
    <w:tmpl w:val="D9226F70"/>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74D33F6"/>
    <w:multiLevelType w:val="hybridMultilevel"/>
    <w:tmpl w:val="F61AC4DE"/>
    <w:lvl w:ilvl="0" w:tplc="0C090003">
      <w:start w:val="1"/>
      <w:numFmt w:val="bullet"/>
      <w:lvlText w:val="o"/>
      <w:lvlJc w:val="left"/>
      <w:pPr>
        <w:ind w:left="1443" w:hanging="360"/>
      </w:pPr>
      <w:rPr>
        <w:rFonts w:ascii="Courier New" w:hAnsi="Courier New" w:cs="Courier New"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5" w15:restartNumberingAfterBreak="0">
    <w:nsid w:val="71441070"/>
    <w:multiLevelType w:val="hybridMultilevel"/>
    <w:tmpl w:val="9BE0760C"/>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60E3649"/>
    <w:multiLevelType w:val="hybridMultilevel"/>
    <w:tmpl w:val="B2EA322A"/>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8E712AB"/>
    <w:multiLevelType w:val="hybridMultilevel"/>
    <w:tmpl w:val="DB363ED0"/>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CC30B3C"/>
    <w:multiLevelType w:val="hybridMultilevel"/>
    <w:tmpl w:val="54E8AEDC"/>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11"/>
  </w:num>
  <w:num w:numId="4">
    <w:abstractNumId w:val="16"/>
  </w:num>
  <w:num w:numId="5">
    <w:abstractNumId w:val="1"/>
  </w:num>
  <w:num w:numId="6">
    <w:abstractNumId w:val="15"/>
  </w:num>
  <w:num w:numId="7">
    <w:abstractNumId w:val="12"/>
  </w:num>
  <w:num w:numId="8">
    <w:abstractNumId w:val="18"/>
  </w:num>
  <w:num w:numId="9">
    <w:abstractNumId w:val="17"/>
  </w:num>
  <w:num w:numId="10">
    <w:abstractNumId w:val="9"/>
  </w:num>
  <w:num w:numId="11">
    <w:abstractNumId w:val="3"/>
  </w:num>
  <w:num w:numId="12">
    <w:abstractNumId w:val="4"/>
  </w:num>
  <w:num w:numId="13">
    <w:abstractNumId w:val="6"/>
  </w:num>
  <w:num w:numId="14">
    <w:abstractNumId w:val="8"/>
  </w:num>
  <w:num w:numId="15">
    <w:abstractNumId w:val="2"/>
  </w:num>
  <w:num w:numId="16">
    <w:abstractNumId w:val="10"/>
  </w:num>
  <w:num w:numId="17">
    <w:abstractNumId w:val="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304B"/>
    <w:rsid w:val="00013A22"/>
    <w:rsid w:val="00014C3F"/>
    <w:rsid w:val="00017C82"/>
    <w:rsid w:val="00032B88"/>
    <w:rsid w:val="00037E52"/>
    <w:rsid w:val="00046DF5"/>
    <w:rsid w:val="00052060"/>
    <w:rsid w:val="0005574A"/>
    <w:rsid w:val="00055FE1"/>
    <w:rsid w:val="00056EC2"/>
    <w:rsid w:val="00060B48"/>
    <w:rsid w:val="00067F32"/>
    <w:rsid w:val="00071807"/>
    <w:rsid w:val="00077546"/>
    <w:rsid w:val="000803E1"/>
    <w:rsid w:val="00084513"/>
    <w:rsid w:val="00084859"/>
    <w:rsid w:val="000849A8"/>
    <w:rsid w:val="00092D94"/>
    <w:rsid w:val="00097106"/>
    <w:rsid w:val="000B0868"/>
    <w:rsid w:val="000B3E12"/>
    <w:rsid w:val="000B3E78"/>
    <w:rsid w:val="000B7B48"/>
    <w:rsid w:val="000C096D"/>
    <w:rsid w:val="000C139A"/>
    <w:rsid w:val="000C2053"/>
    <w:rsid w:val="000C248C"/>
    <w:rsid w:val="000D0643"/>
    <w:rsid w:val="000D291C"/>
    <w:rsid w:val="000E5997"/>
    <w:rsid w:val="000E5A54"/>
    <w:rsid w:val="000E63D3"/>
    <w:rsid w:val="000E67CF"/>
    <w:rsid w:val="000F229F"/>
    <w:rsid w:val="000F7086"/>
    <w:rsid w:val="0010461E"/>
    <w:rsid w:val="00106FAA"/>
    <w:rsid w:val="00113443"/>
    <w:rsid w:val="001269A7"/>
    <w:rsid w:val="00131092"/>
    <w:rsid w:val="00140E6A"/>
    <w:rsid w:val="00146545"/>
    <w:rsid w:val="00146B75"/>
    <w:rsid w:val="0015266D"/>
    <w:rsid w:val="0015288A"/>
    <w:rsid w:val="00155999"/>
    <w:rsid w:val="00160F47"/>
    <w:rsid w:val="00166CCE"/>
    <w:rsid w:val="00177CA1"/>
    <w:rsid w:val="00183823"/>
    <w:rsid w:val="00183942"/>
    <w:rsid w:val="001915F6"/>
    <w:rsid w:val="001A009E"/>
    <w:rsid w:val="001A0F34"/>
    <w:rsid w:val="001A1287"/>
    <w:rsid w:val="001A1310"/>
    <w:rsid w:val="001A3859"/>
    <w:rsid w:val="001A3C9D"/>
    <w:rsid w:val="001A43F8"/>
    <w:rsid w:val="001B79E5"/>
    <w:rsid w:val="001D56F0"/>
    <w:rsid w:val="001D663B"/>
    <w:rsid w:val="001D7B41"/>
    <w:rsid w:val="001E46DA"/>
    <w:rsid w:val="001E7D80"/>
    <w:rsid w:val="001F11A8"/>
    <w:rsid w:val="001F4B6C"/>
    <w:rsid w:val="001F62CB"/>
    <w:rsid w:val="001F6ED0"/>
    <w:rsid w:val="001F72E6"/>
    <w:rsid w:val="001F73C5"/>
    <w:rsid w:val="00200D23"/>
    <w:rsid w:val="002046A6"/>
    <w:rsid w:val="00204956"/>
    <w:rsid w:val="00213640"/>
    <w:rsid w:val="00221547"/>
    <w:rsid w:val="002216FC"/>
    <w:rsid w:val="00222533"/>
    <w:rsid w:val="00222F30"/>
    <w:rsid w:val="00224EE2"/>
    <w:rsid w:val="00227EC7"/>
    <w:rsid w:val="0023002F"/>
    <w:rsid w:val="0023611D"/>
    <w:rsid w:val="00244AD1"/>
    <w:rsid w:val="002463BC"/>
    <w:rsid w:val="002465CE"/>
    <w:rsid w:val="0025734A"/>
    <w:rsid w:val="00263255"/>
    <w:rsid w:val="00274EC8"/>
    <w:rsid w:val="00276494"/>
    <w:rsid w:val="00277B0C"/>
    <w:rsid w:val="00282DA9"/>
    <w:rsid w:val="002A1F54"/>
    <w:rsid w:val="002A6A2A"/>
    <w:rsid w:val="002B1A2C"/>
    <w:rsid w:val="002B31C6"/>
    <w:rsid w:val="002C34F2"/>
    <w:rsid w:val="002C39EE"/>
    <w:rsid w:val="002C58FF"/>
    <w:rsid w:val="002C72E7"/>
    <w:rsid w:val="002C7AFE"/>
    <w:rsid w:val="002D05D2"/>
    <w:rsid w:val="002D3BBC"/>
    <w:rsid w:val="002E0D61"/>
    <w:rsid w:val="002E4C7B"/>
    <w:rsid w:val="002F0A39"/>
    <w:rsid w:val="00306FE3"/>
    <w:rsid w:val="0030740C"/>
    <w:rsid w:val="00313FC3"/>
    <w:rsid w:val="00315833"/>
    <w:rsid w:val="00316274"/>
    <w:rsid w:val="003215EE"/>
    <w:rsid w:val="00321D55"/>
    <w:rsid w:val="003224BF"/>
    <w:rsid w:val="003225D1"/>
    <w:rsid w:val="00322C5E"/>
    <w:rsid w:val="00323B33"/>
    <w:rsid w:val="003241A8"/>
    <w:rsid w:val="003253F0"/>
    <w:rsid w:val="00331767"/>
    <w:rsid w:val="003337DA"/>
    <w:rsid w:val="00333FFB"/>
    <w:rsid w:val="00334EFB"/>
    <w:rsid w:val="00335CDE"/>
    <w:rsid w:val="003365A5"/>
    <w:rsid w:val="00345A0E"/>
    <w:rsid w:val="00347192"/>
    <w:rsid w:val="0034744C"/>
    <w:rsid w:val="00351FE0"/>
    <w:rsid w:val="00352615"/>
    <w:rsid w:val="0035412B"/>
    <w:rsid w:val="003567A8"/>
    <w:rsid w:val="0036170A"/>
    <w:rsid w:val="00362895"/>
    <w:rsid w:val="00362E2E"/>
    <w:rsid w:val="00370DBF"/>
    <w:rsid w:val="00373E15"/>
    <w:rsid w:val="00386093"/>
    <w:rsid w:val="003904A4"/>
    <w:rsid w:val="00391841"/>
    <w:rsid w:val="00391B6D"/>
    <w:rsid w:val="00394922"/>
    <w:rsid w:val="003A0E32"/>
    <w:rsid w:val="003A2B94"/>
    <w:rsid w:val="003A3D75"/>
    <w:rsid w:val="003A7DE2"/>
    <w:rsid w:val="003B387D"/>
    <w:rsid w:val="003C0D58"/>
    <w:rsid w:val="003C47F1"/>
    <w:rsid w:val="003D4FA3"/>
    <w:rsid w:val="003E0807"/>
    <w:rsid w:val="003E51FB"/>
    <w:rsid w:val="003E6B39"/>
    <w:rsid w:val="003F07E1"/>
    <w:rsid w:val="004030BC"/>
    <w:rsid w:val="00403F7D"/>
    <w:rsid w:val="00406785"/>
    <w:rsid w:val="004079B4"/>
    <w:rsid w:val="00417A56"/>
    <w:rsid w:val="00420957"/>
    <w:rsid w:val="00422A10"/>
    <w:rsid w:val="00425A6B"/>
    <w:rsid w:val="00430179"/>
    <w:rsid w:val="00430B82"/>
    <w:rsid w:val="004414B5"/>
    <w:rsid w:val="00441B9E"/>
    <w:rsid w:val="00444482"/>
    <w:rsid w:val="00444B42"/>
    <w:rsid w:val="00445E44"/>
    <w:rsid w:val="004509E2"/>
    <w:rsid w:val="004515EE"/>
    <w:rsid w:val="004529F0"/>
    <w:rsid w:val="00460A03"/>
    <w:rsid w:val="00463C2B"/>
    <w:rsid w:val="004672B4"/>
    <w:rsid w:val="00472A11"/>
    <w:rsid w:val="00472AAD"/>
    <w:rsid w:val="00474E33"/>
    <w:rsid w:val="00476803"/>
    <w:rsid w:val="00485BFD"/>
    <w:rsid w:val="004867A2"/>
    <w:rsid w:val="004873F2"/>
    <w:rsid w:val="00490D4C"/>
    <w:rsid w:val="00493A35"/>
    <w:rsid w:val="0049527A"/>
    <w:rsid w:val="0049537F"/>
    <w:rsid w:val="00495C55"/>
    <w:rsid w:val="004966BF"/>
    <w:rsid w:val="00497984"/>
    <w:rsid w:val="004A5088"/>
    <w:rsid w:val="004B13B1"/>
    <w:rsid w:val="004C1E3F"/>
    <w:rsid w:val="004C23F4"/>
    <w:rsid w:val="004C3475"/>
    <w:rsid w:val="004C58B6"/>
    <w:rsid w:val="004C750E"/>
    <w:rsid w:val="004D16A3"/>
    <w:rsid w:val="004D198C"/>
    <w:rsid w:val="004D4AA1"/>
    <w:rsid w:val="004D6D68"/>
    <w:rsid w:val="004E5EDD"/>
    <w:rsid w:val="004F448A"/>
    <w:rsid w:val="004F493D"/>
    <w:rsid w:val="004F65E8"/>
    <w:rsid w:val="0050005E"/>
    <w:rsid w:val="00502B88"/>
    <w:rsid w:val="005067AD"/>
    <w:rsid w:val="005142C4"/>
    <w:rsid w:val="0051509C"/>
    <w:rsid w:val="00515716"/>
    <w:rsid w:val="005272E2"/>
    <w:rsid w:val="0053108F"/>
    <w:rsid w:val="00532B56"/>
    <w:rsid w:val="00534B10"/>
    <w:rsid w:val="005352FE"/>
    <w:rsid w:val="00543B4E"/>
    <w:rsid w:val="005446A2"/>
    <w:rsid w:val="00544D2F"/>
    <w:rsid w:val="00551BD8"/>
    <w:rsid w:val="005774E7"/>
    <w:rsid w:val="00581055"/>
    <w:rsid w:val="00584459"/>
    <w:rsid w:val="00591E38"/>
    <w:rsid w:val="005932CB"/>
    <w:rsid w:val="005967B2"/>
    <w:rsid w:val="005A19C5"/>
    <w:rsid w:val="005A3034"/>
    <w:rsid w:val="005A462D"/>
    <w:rsid w:val="005B253B"/>
    <w:rsid w:val="005B771D"/>
    <w:rsid w:val="005C5D16"/>
    <w:rsid w:val="005D3193"/>
    <w:rsid w:val="005D4A6E"/>
    <w:rsid w:val="005E6979"/>
    <w:rsid w:val="005E75CB"/>
    <w:rsid w:val="005F5098"/>
    <w:rsid w:val="006013C1"/>
    <w:rsid w:val="00602FA7"/>
    <w:rsid w:val="0060669E"/>
    <w:rsid w:val="00610F2E"/>
    <w:rsid w:val="00611399"/>
    <w:rsid w:val="00613BA9"/>
    <w:rsid w:val="00624C4E"/>
    <w:rsid w:val="00625200"/>
    <w:rsid w:val="006363A8"/>
    <w:rsid w:val="00636DB7"/>
    <w:rsid w:val="00650905"/>
    <w:rsid w:val="00651BF6"/>
    <w:rsid w:val="006532ED"/>
    <w:rsid w:val="0065381C"/>
    <w:rsid w:val="006549F2"/>
    <w:rsid w:val="006567B7"/>
    <w:rsid w:val="00657669"/>
    <w:rsid w:val="00657BFB"/>
    <w:rsid w:val="0066333C"/>
    <w:rsid w:val="006639B4"/>
    <w:rsid w:val="006650FE"/>
    <w:rsid w:val="0067305D"/>
    <w:rsid w:val="00676632"/>
    <w:rsid w:val="00677D9B"/>
    <w:rsid w:val="006867F3"/>
    <w:rsid w:val="00687890"/>
    <w:rsid w:val="006901A2"/>
    <w:rsid w:val="00690368"/>
    <w:rsid w:val="0069043F"/>
    <w:rsid w:val="0069079C"/>
    <w:rsid w:val="00690B53"/>
    <w:rsid w:val="00695B72"/>
    <w:rsid w:val="006964FC"/>
    <w:rsid w:val="006B160A"/>
    <w:rsid w:val="006B4E6C"/>
    <w:rsid w:val="006B50B6"/>
    <w:rsid w:val="006C19A4"/>
    <w:rsid w:val="006C2948"/>
    <w:rsid w:val="006C3690"/>
    <w:rsid w:val="006D79EA"/>
    <w:rsid w:val="006E5D05"/>
    <w:rsid w:val="006F491C"/>
    <w:rsid w:val="006F60A0"/>
    <w:rsid w:val="00701053"/>
    <w:rsid w:val="00701507"/>
    <w:rsid w:val="00714021"/>
    <w:rsid w:val="00716A0F"/>
    <w:rsid w:val="00717D45"/>
    <w:rsid w:val="007208F7"/>
    <w:rsid w:val="007218AF"/>
    <w:rsid w:val="0073423D"/>
    <w:rsid w:val="007365D1"/>
    <w:rsid w:val="00740E0E"/>
    <w:rsid w:val="00742DB3"/>
    <w:rsid w:val="00750212"/>
    <w:rsid w:val="0075253F"/>
    <w:rsid w:val="00754779"/>
    <w:rsid w:val="00756010"/>
    <w:rsid w:val="0075716D"/>
    <w:rsid w:val="00763D1E"/>
    <w:rsid w:val="00765F14"/>
    <w:rsid w:val="00770E31"/>
    <w:rsid w:val="007770F1"/>
    <w:rsid w:val="00783FB1"/>
    <w:rsid w:val="00785CDD"/>
    <w:rsid w:val="00791847"/>
    <w:rsid w:val="007925F0"/>
    <w:rsid w:val="007939B3"/>
    <w:rsid w:val="0079509C"/>
    <w:rsid w:val="00796708"/>
    <w:rsid w:val="007B1B42"/>
    <w:rsid w:val="007C1575"/>
    <w:rsid w:val="007C30EB"/>
    <w:rsid w:val="007D51A2"/>
    <w:rsid w:val="007E063C"/>
    <w:rsid w:val="007E2A4B"/>
    <w:rsid w:val="007E307D"/>
    <w:rsid w:val="007E3109"/>
    <w:rsid w:val="007E46D1"/>
    <w:rsid w:val="007E6A4E"/>
    <w:rsid w:val="007E6C94"/>
    <w:rsid w:val="007F1005"/>
    <w:rsid w:val="007F25E0"/>
    <w:rsid w:val="007F52E3"/>
    <w:rsid w:val="007F5328"/>
    <w:rsid w:val="00804F5A"/>
    <w:rsid w:val="00810C6D"/>
    <w:rsid w:val="00812887"/>
    <w:rsid w:val="00817B5C"/>
    <w:rsid w:val="00826F21"/>
    <w:rsid w:val="00834CC8"/>
    <w:rsid w:val="00835E00"/>
    <w:rsid w:val="008360AF"/>
    <w:rsid w:val="00837113"/>
    <w:rsid w:val="008414E4"/>
    <w:rsid w:val="00843E21"/>
    <w:rsid w:val="0084508E"/>
    <w:rsid w:val="00857A8A"/>
    <w:rsid w:val="008630EE"/>
    <w:rsid w:val="00864D13"/>
    <w:rsid w:val="00871BB0"/>
    <w:rsid w:val="00871CD5"/>
    <w:rsid w:val="008745A2"/>
    <w:rsid w:val="008768A8"/>
    <w:rsid w:val="0088798F"/>
    <w:rsid w:val="00887BD8"/>
    <w:rsid w:val="00887E4B"/>
    <w:rsid w:val="008901B4"/>
    <w:rsid w:val="008915C8"/>
    <w:rsid w:val="008A3134"/>
    <w:rsid w:val="008A36CF"/>
    <w:rsid w:val="008A3BC4"/>
    <w:rsid w:val="008A5921"/>
    <w:rsid w:val="008B403C"/>
    <w:rsid w:val="008B7983"/>
    <w:rsid w:val="008C2511"/>
    <w:rsid w:val="008D026D"/>
    <w:rsid w:val="008D23AB"/>
    <w:rsid w:val="008D4B8B"/>
    <w:rsid w:val="008D5A78"/>
    <w:rsid w:val="008E4F1F"/>
    <w:rsid w:val="008E73DF"/>
    <w:rsid w:val="008E7B64"/>
    <w:rsid w:val="008F5DCD"/>
    <w:rsid w:val="00900951"/>
    <w:rsid w:val="009118A6"/>
    <w:rsid w:val="00916909"/>
    <w:rsid w:val="00916EC0"/>
    <w:rsid w:val="00920467"/>
    <w:rsid w:val="00921DE7"/>
    <w:rsid w:val="009250D9"/>
    <w:rsid w:val="0093041A"/>
    <w:rsid w:val="00930714"/>
    <w:rsid w:val="00931B03"/>
    <w:rsid w:val="009323B9"/>
    <w:rsid w:val="00932DCE"/>
    <w:rsid w:val="0093327E"/>
    <w:rsid w:val="00934028"/>
    <w:rsid w:val="0093760E"/>
    <w:rsid w:val="00946044"/>
    <w:rsid w:val="0094660B"/>
    <w:rsid w:val="00946A33"/>
    <w:rsid w:val="0095260E"/>
    <w:rsid w:val="009578DD"/>
    <w:rsid w:val="00961124"/>
    <w:rsid w:val="009621B6"/>
    <w:rsid w:val="00974F2D"/>
    <w:rsid w:val="00977524"/>
    <w:rsid w:val="00977E88"/>
    <w:rsid w:val="00984920"/>
    <w:rsid w:val="0099303A"/>
    <w:rsid w:val="009971C2"/>
    <w:rsid w:val="009A1254"/>
    <w:rsid w:val="009A3841"/>
    <w:rsid w:val="009B2FF2"/>
    <w:rsid w:val="009B380C"/>
    <w:rsid w:val="009B4843"/>
    <w:rsid w:val="009B6543"/>
    <w:rsid w:val="009C199D"/>
    <w:rsid w:val="009C2573"/>
    <w:rsid w:val="009C278F"/>
    <w:rsid w:val="009C2B94"/>
    <w:rsid w:val="009C5874"/>
    <w:rsid w:val="009C7E64"/>
    <w:rsid w:val="009D3B5A"/>
    <w:rsid w:val="009E0C05"/>
    <w:rsid w:val="009E0D1C"/>
    <w:rsid w:val="009E2214"/>
    <w:rsid w:val="009E355A"/>
    <w:rsid w:val="009E63E2"/>
    <w:rsid w:val="009F04D2"/>
    <w:rsid w:val="009F05CF"/>
    <w:rsid w:val="009F0F3A"/>
    <w:rsid w:val="00A01D0C"/>
    <w:rsid w:val="00A0643F"/>
    <w:rsid w:val="00A067EE"/>
    <w:rsid w:val="00A10FCE"/>
    <w:rsid w:val="00A16D91"/>
    <w:rsid w:val="00A174CC"/>
    <w:rsid w:val="00A2073D"/>
    <w:rsid w:val="00A20751"/>
    <w:rsid w:val="00A27E2D"/>
    <w:rsid w:val="00A30C58"/>
    <w:rsid w:val="00A31D99"/>
    <w:rsid w:val="00A357BA"/>
    <w:rsid w:val="00A35ADC"/>
    <w:rsid w:val="00A402A3"/>
    <w:rsid w:val="00A53681"/>
    <w:rsid w:val="00A633D4"/>
    <w:rsid w:val="00A6461A"/>
    <w:rsid w:val="00A75F8E"/>
    <w:rsid w:val="00A84504"/>
    <w:rsid w:val="00A85E2E"/>
    <w:rsid w:val="00A8672F"/>
    <w:rsid w:val="00A91183"/>
    <w:rsid w:val="00A93057"/>
    <w:rsid w:val="00A952F9"/>
    <w:rsid w:val="00A968B0"/>
    <w:rsid w:val="00AA0D2D"/>
    <w:rsid w:val="00AB2672"/>
    <w:rsid w:val="00AB2817"/>
    <w:rsid w:val="00AB43C4"/>
    <w:rsid w:val="00AB5086"/>
    <w:rsid w:val="00AC1D25"/>
    <w:rsid w:val="00AC1F28"/>
    <w:rsid w:val="00AC32E7"/>
    <w:rsid w:val="00AC3A9F"/>
    <w:rsid w:val="00AC6D2F"/>
    <w:rsid w:val="00AE2745"/>
    <w:rsid w:val="00AE2F64"/>
    <w:rsid w:val="00AF2BEB"/>
    <w:rsid w:val="00AF42CB"/>
    <w:rsid w:val="00AF483F"/>
    <w:rsid w:val="00AF5E07"/>
    <w:rsid w:val="00AF5F06"/>
    <w:rsid w:val="00B005B9"/>
    <w:rsid w:val="00B00A25"/>
    <w:rsid w:val="00B1422A"/>
    <w:rsid w:val="00B1765C"/>
    <w:rsid w:val="00B213C4"/>
    <w:rsid w:val="00B2557A"/>
    <w:rsid w:val="00B40C60"/>
    <w:rsid w:val="00B44887"/>
    <w:rsid w:val="00B479A9"/>
    <w:rsid w:val="00B52EDF"/>
    <w:rsid w:val="00B71188"/>
    <w:rsid w:val="00B76A41"/>
    <w:rsid w:val="00B87C72"/>
    <w:rsid w:val="00B87D4C"/>
    <w:rsid w:val="00B93646"/>
    <w:rsid w:val="00BA0B38"/>
    <w:rsid w:val="00BA1DBB"/>
    <w:rsid w:val="00BA4510"/>
    <w:rsid w:val="00BA529A"/>
    <w:rsid w:val="00BB612A"/>
    <w:rsid w:val="00BB6B85"/>
    <w:rsid w:val="00BC73DE"/>
    <w:rsid w:val="00BD499F"/>
    <w:rsid w:val="00BD4B9C"/>
    <w:rsid w:val="00BD56DE"/>
    <w:rsid w:val="00BF069C"/>
    <w:rsid w:val="00BF1F88"/>
    <w:rsid w:val="00BF2406"/>
    <w:rsid w:val="00C01BC0"/>
    <w:rsid w:val="00C06E43"/>
    <w:rsid w:val="00C126EB"/>
    <w:rsid w:val="00C16315"/>
    <w:rsid w:val="00C3091E"/>
    <w:rsid w:val="00C370DF"/>
    <w:rsid w:val="00C40FF1"/>
    <w:rsid w:val="00C419E2"/>
    <w:rsid w:val="00C45F30"/>
    <w:rsid w:val="00C5020E"/>
    <w:rsid w:val="00C57452"/>
    <w:rsid w:val="00C61EDF"/>
    <w:rsid w:val="00C6239D"/>
    <w:rsid w:val="00C6594B"/>
    <w:rsid w:val="00C67FFB"/>
    <w:rsid w:val="00C7155E"/>
    <w:rsid w:val="00C71D1E"/>
    <w:rsid w:val="00C71D7D"/>
    <w:rsid w:val="00C74833"/>
    <w:rsid w:val="00C76B9F"/>
    <w:rsid w:val="00C850A0"/>
    <w:rsid w:val="00C85A86"/>
    <w:rsid w:val="00C90B15"/>
    <w:rsid w:val="00C94B64"/>
    <w:rsid w:val="00C978F0"/>
    <w:rsid w:val="00CA58FE"/>
    <w:rsid w:val="00CB1CB1"/>
    <w:rsid w:val="00CB6BC1"/>
    <w:rsid w:val="00CB6CB8"/>
    <w:rsid w:val="00CC1A68"/>
    <w:rsid w:val="00CC2123"/>
    <w:rsid w:val="00CD2BFD"/>
    <w:rsid w:val="00CE5AD6"/>
    <w:rsid w:val="00CE617F"/>
    <w:rsid w:val="00CE78EF"/>
    <w:rsid w:val="00D00715"/>
    <w:rsid w:val="00D02885"/>
    <w:rsid w:val="00D048F7"/>
    <w:rsid w:val="00D0517E"/>
    <w:rsid w:val="00D0733B"/>
    <w:rsid w:val="00D140FC"/>
    <w:rsid w:val="00D17645"/>
    <w:rsid w:val="00D21D8C"/>
    <w:rsid w:val="00D31357"/>
    <w:rsid w:val="00D33220"/>
    <w:rsid w:val="00D334D1"/>
    <w:rsid w:val="00D44C89"/>
    <w:rsid w:val="00D46B14"/>
    <w:rsid w:val="00D516CD"/>
    <w:rsid w:val="00D51B27"/>
    <w:rsid w:val="00D53596"/>
    <w:rsid w:val="00D66596"/>
    <w:rsid w:val="00D668E6"/>
    <w:rsid w:val="00D70670"/>
    <w:rsid w:val="00D724DF"/>
    <w:rsid w:val="00D73C9D"/>
    <w:rsid w:val="00D74D80"/>
    <w:rsid w:val="00D76624"/>
    <w:rsid w:val="00D769DC"/>
    <w:rsid w:val="00D83B6A"/>
    <w:rsid w:val="00D83ECB"/>
    <w:rsid w:val="00D87570"/>
    <w:rsid w:val="00D91CB9"/>
    <w:rsid w:val="00D97989"/>
    <w:rsid w:val="00D97D8D"/>
    <w:rsid w:val="00DA352E"/>
    <w:rsid w:val="00DA5373"/>
    <w:rsid w:val="00DC06CA"/>
    <w:rsid w:val="00DC7694"/>
    <w:rsid w:val="00DD1BF6"/>
    <w:rsid w:val="00DD2F9B"/>
    <w:rsid w:val="00DD6098"/>
    <w:rsid w:val="00DE2513"/>
    <w:rsid w:val="00DE26E8"/>
    <w:rsid w:val="00DF6F36"/>
    <w:rsid w:val="00E0084C"/>
    <w:rsid w:val="00E025AB"/>
    <w:rsid w:val="00E02B23"/>
    <w:rsid w:val="00E06F40"/>
    <w:rsid w:val="00E07CE8"/>
    <w:rsid w:val="00E1001D"/>
    <w:rsid w:val="00E11326"/>
    <w:rsid w:val="00E26A07"/>
    <w:rsid w:val="00E32595"/>
    <w:rsid w:val="00E37CFD"/>
    <w:rsid w:val="00E41A26"/>
    <w:rsid w:val="00E46BCB"/>
    <w:rsid w:val="00E51CAF"/>
    <w:rsid w:val="00E52755"/>
    <w:rsid w:val="00E5346F"/>
    <w:rsid w:val="00E57B5A"/>
    <w:rsid w:val="00E60F04"/>
    <w:rsid w:val="00E62AAC"/>
    <w:rsid w:val="00E67C2F"/>
    <w:rsid w:val="00E67EF5"/>
    <w:rsid w:val="00E759AA"/>
    <w:rsid w:val="00E804EA"/>
    <w:rsid w:val="00E80A71"/>
    <w:rsid w:val="00E82337"/>
    <w:rsid w:val="00E92499"/>
    <w:rsid w:val="00E949AF"/>
    <w:rsid w:val="00E96077"/>
    <w:rsid w:val="00EA0A06"/>
    <w:rsid w:val="00EA0DEE"/>
    <w:rsid w:val="00EA6243"/>
    <w:rsid w:val="00EA74AB"/>
    <w:rsid w:val="00EB3D1B"/>
    <w:rsid w:val="00ED0F08"/>
    <w:rsid w:val="00ED1D89"/>
    <w:rsid w:val="00ED57DA"/>
    <w:rsid w:val="00ED66BC"/>
    <w:rsid w:val="00EF233A"/>
    <w:rsid w:val="00EF303E"/>
    <w:rsid w:val="00EF34B5"/>
    <w:rsid w:val="00EF3A40"/>
    <w:rsid w:val="00EF4FCA"/>
    <w:rsid w:val="00EF7F78"/>
    <w:rsid w:val="00F01B08"/>
    <w:rsid w:val="00F01C4D"/>
    <w:rsid w:val="00F053FA"/>
    <w:rsid w:val="00F10695"/>
    <w:rsid w:val="00F10C97"/>
    <w:rsid w:val="00F11C71"/>
    <w:rsid w:val="00F16019"/>
    <w:rsid w:val="00F20E68"/>
    <w:rsid w:val="00F22093"/>
    <w:rsid w:val="00F2236E"/>
    <w:rsid w:val="00F236DF"/>
    <w:rsid w:val="00F43AD5"/>
    <w:rsid w:val="00F4402E"/>
    <w:rsid w:val="00F56DD0"/>
    <w:rsid w:val="00F6491C"/>
    <w:rsid w:val="00F67BBB"/>
    <w:rsid w:val="00F67C8E"/>
    <w:rsid w:val="00F73D72"/>
    <w:rsid w:val="00F76518"/>
    <w:rsid w:val="00F84054"/>
    <w:rsid w:val="00F8741A"/>
    <w:rsid w:val="00F87D92"/>
    <w:rsid w:val="00F90AA7"/>
    <w:rsid w:val="00F92498"/>
    <w:rsid w:val="00F93D13"/>
    <w:rsid w:val="00F9496B"/>
    <w:rsid w:val="00F970C9"/>
    <w:rsid w:val="00FA06A8"/>
    <w:rsid w:val="00FA3DF5"/>
    <w:rsid w:val="00FA7384"/>
    <w:rsid w:val="00FA741F"/>
    <w:rsid w:val="00FA7F20"/>
    <w:rsid w:val="00FB4E07"/>
    <w:rsid w:val="00FB722D"/>
    <w:rsid w:val="00FB755A"/>
    <w:rsid w:val="00FB7F71"/>
    <w:rsid w:val="00FC02C8"/>
    <w:rsid w:val="00FC60A2"/>
    <w:rsid w:val="00FD1871"/>
    <w:rsid w:val="00FD3110"/>
    <w:rsid w:val="00FE6760"/>
    <w:rsid w:val="00FF022E"/>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D60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styleId="ListBullet">
    <w:name w:val="List Bullet"/>
    <w:basedOn w:val="Normal"/>
    <w:uiPriority w:val="99"/>
    <w:unhideWhenUsed/>
    <w:rsid w:val="00282DA9"/>
    <w:pPr>
      <w:numPr>
        <w:numId w:val="1"/>
      </w:numPr>
      <w:contextualSpacing/>
    </w:pPr>
  </w:style>
  <w:style w:type="character" w:styleId="CommentReference">
    <w:name w:val="annotation reference"/>
    <w:basedOn w:val="DefaultParagraphFont"/>
    <w:uiPriority w:val="99"/>
    <w:semiHidden/>
    <w:unhideWhenUsed/>
    <w:rsid w:val="006964FC"/>
    <w:rPr>
      <w:sz w:val="16"/>
      <w:szCs w:val="16"/>
    </w:rPr>
  </w:style>
  <w:style w:type="paragraph" w:styleId="CommentText">
    <w:name w:val="annotation text"/>
    <w:basedOn w:val="Normal"/>
    <w:link w:val="CommentTextChar"/>
    <w:uiPriority w:val="99"/>
    <w:semiHidden/>
    <w:unhideWhenUsed/>
    <w:rsid w:val="006964FC"/>
    <w:pPr>
      <w:spacing w:line="240" w:lineRule="auto"/>
    </w:pPr>
    <w:rPr>
      <w:szCs w:val="20"/>
    </w:rPr>
  </w:style>
  <w:style w:type="character" w:customStyle="1" w:styleId="CommentTextChar">
    <w:name w:val="Comment Text Char"/>
    <w:basedOn w:val="DefaultParagraphFont"/>
    <w:link w:val="CommentText"/>
    <w:uiPriority w:val="99"/>
    <w:semiHidden/>
    <w:rsid w:val="006964FC"/>
    <w:rPr>
      <w:szCs w:val="20"/>
    </w:rPr>
  </w:style>
  <w:style w:type="paragraph" w:styleId="CommentSubject">
    <w:name w:val="annotation subject"/>
    <w:basedOn w:val="CommentText"/>
    <w:next w:val="CommentText"/>
    <w:link w:val="CommentSubjectChar"/>
    <w:uiPriority w:val="99"/>
    <w:semiHidden/>
    <w:unhideWhenUsed/>
    <w:rsid w:val="006964FC"/>
    <w:rPr>
      <w:b/>
      <w:bCs/>
    </w:rPr>
  </w:style>
  <w:style w:type="character" w:customStyle="1" w:styleId="CommentSubjectChar">
    <w:name w:val="Comment Subject Char"/>
    <w:basedOn w:val="CommentTextChar"/>
    <w:link w:val="CommentSubject"/>
    <w:uiPriority w:val="99"/>
    <w:semiHidden/>
    <w:rsid w:val="006964FC"/>
    <w:rPr>
      <w:b/>
      <w:bCs/>
      <w:szCs w:val="20"/>
    </w:rPr>
  </w:style>
  <w:style w:type="paragraph" w:styleId="Revision">
    <w:name w:val="Revision"/>
    <w:hidden/>
    <w:uiPriority w:val="99"/>
    <w:semiHidden/>
    <w:rsid w:val="00690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515023">
      <w:bodyDiv w:val="1"/>
      <w:marLeft w:val="0"/>
      <w:marRight w:val="0"/>
      <w:marTop w:val="0"/>
      <w:marBottom w:val="0"/>
      <w:divBdr>
        <w:top w:val="none" w:sz="0" w:space="0" w:color="auto"/>
        <w:left w:val="none" w:sz="0" w:space="0" w:color="auto"/>
        <w:bottom w:val="none" w:sz="0" w:space="0" w:color="auto"/>
        <w:right w:val="none" w:sz="0" w:space="0" w:color="auto"/>
      </w:divBdr>
    </w:div>
    <w:div w:id="1671715248">
      <w:bodyDiv w:val="1"/>
      <w:marLeft w:val="0"/>
      <w:marRight w:val="0"/>
      <w:marTop w:val="0"/>
      <w:marBottom w:val="0"/>
      <w:divBdr>
        <w:top w:val="none" w:sz="0" w:space="0" w:color="auto"/>
        <w:left w:val="none" w:sz="0" w:space="0" w:color="auto"/>
        <w:bottom w:val="none" w:sz="0" w:space="0" w:color="auto"/>
        <w:right w:val="none" w:sz="0" w:space="0" w:color="auto"/>
      </w:divBdr>
    </w:div>
    <w:div w:id="16987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29D96B65566944F4988BAEB665EF7897"/>
        <w:category>
          <w:name w:val="General"/>
          <w:gallery w:val="placeholder"/>
        </w:category>
        <w:types>
          <w:type w:val="bbPlcHdr"/>
        </w:types>
        <w:behaviors>
          <w:behavior w:val="content"/>
        </w:behaviors>
        <w:guid w:val="{AC844377-69B3-4023-8099-F52F57137B43}"/>
      </w:docPartPr>
      <w:docPartBody>
        <w:p w:rsidR="00D21A9F" w:rsidRDefault="00D21A9F">
          <w:pPr>
            <w:pStyle w:val="29D96B65566944F4988BAEB665EF7897"/>
          </w:pPr>
          <w:r w:rsidRPr="00724F1C">
            <w:rPr>
              <w:rStyle w:val="PlaceholderText"/>
            </w:rPr>
            <w:t>Choose an item.</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20BC8D26515A4C11AC6304FB75A7CBAD"/>
        <w:category>
          <w:name w:val="General"/>
          <w:gallery w:val="placeholder"/>
        </w:category>
        <w:types>
          <w:type w:val="bbPlcHdr"/>
        </w:types>
        <w:behaviors>
          <w:behavior w:val="content"/>
        </w:behaviors>
        <w:guid w:val="{95AF72BE-1073-48D1-A613-18F5D94AD94A}"/>
      </w:docPartPr>
      <w:docPartBody>
        <w:p w:rsidR="00D21A9F" w:rsidRDefault="00D21A9F">
          <w:pPr>
            <w:pStyle w:val="20BC8D26515A4C11AC6304FB75A7CBAD"/>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DA2FFE9CEF2D415F9F59B567F352ED2C"/>
        <w:category>
          <w:name w:val="General"/>
          <w:gallery w:val="placeholder"/>
        </w:category>
        <w:types>
          <w:type w:val="bbPlcHdr"/>
        </w:types>
        <w:behaviors>
          <w:behavior w:val="content"/>
        </w:behaviors>
        <w:guid w:val="{06E881C5-42A4-4306-B55E-10EEC441C04B}"/>
      </w:docPartPr>
      <w:docPartBody>
        <w:p w:rsidR="00110D93" w:rsidRDefault="00CA72D3" w:rsidP="00CA72D3">
          <w:pPr>
            <w:pStyle w:val="DA2FFE9CEF2D415F9F59B567F352ED2C"/>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096A0E"/>
    <w:rsid w:val="00110D93"/>
    <w:rsid w:val="00347D16"/>
    <w:rsid w:val="003E0149"/>
    <w:rsid w:val="00755FBF"/>
    <w:rsid w:val="009F0569"/>
    <w:rsid w:val="00AC2F62"/>
    <w:rsid w:val="00AC5F79"/>
    <w:rsid w:val="00CA72D3"/>
    <w:rsid w:val="00D176E2"/>
    <w:rsid w:val="00D21A9F"/>
    <w:rsid w:val="00E52728"/>
    <w:rsid w:val="00EB6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2D3"/>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DA2FFE9CEF2D415F9F59B567F352ED2C">
    <w:name w:val="DA2FFE9CEF2D415F9F59B567F352ED2C"/>
    <w:rsid w:val="00CA72D3"/>
  </w:style>
  <w:style w:type="paragraph" w:customStyle="1" w:styleId="9BE85719B0B14C39A8D245EB85028F98">
    <w:name w:val="9BE85719B0B14C39A8D245EB85028F98"/>
    <w:rsid w:val="00D176E2"/>
  </w:style>
  <w:style w:type="paragraph" w:customStyle="1" w:styleId="38605F19E9DE4A76995F9B00E2F16EA5">
    <w:name w:val="38605F19E9DE4A76995F9B00E2F16EA5"/>
    <w:rsid w:val="00D17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0A95-455F-47CD-8C19-70FDA10C49BE}">
  <ds:schemaRef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bf54d604-3e62-4e70-ba33-9e9084b96a66"/>
    <ds:schemaRef ds:uri="http://schemas.microsoft.com/office/2006/metadata/properties"/>
  </ds:schemaRefs>
</ds:datastoreItem>
</file>

<file path=customXml/itemProps2.xml><?xml version="1.0" encoding="utf-8"?>
<ds:datastoreItem xmlns:ds="http://schemas.openxmlformats.org/officeDocument/2006/customXml" ds:itemID="{276ED55E-82CE-4E35-93FD-E0D16A45DC89}">
  <ds:schemaRefs>
    <ds:schemaRef ds:uri="http://schemas.microsoft.com/sharepoint/v3/contenttype/forms"/>
  </ds:schemaRefs>
</ds:datastoreItem>
</file>

<file path=customXml/itemProps3.xml><?xml version="1.0" encoding="utf-8"?>
<ds:datastoreItem xmlns:ds="http://schemas.openxmlformats.org/officeDocument/2006/customXml" ds:itemID="{FF74E562-A7FA-4C1F-8AC3-90C6B8BE3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A28EE-302C-4096-9328-4A3790C4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2020-05-04T21:08:00Z</dcterms:created>
  <dcterms:modified xsi:type="dcterms:W3CDTF">2020-07-21T01:24:00Z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