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5211DEA1" w:rsidR="00BD499F" w:rsidRPr="004C23F4" w:rsidRDefault="00437E89" w:rsidP="00B40C60">
          <w:pPr>
            <w:pStyle w:val="Heading1"/>
            <w:jc w:val="center"/>
            <w:rPr>
              <w:rFonts w:ascii="Arial" w:hAnsi="Arial" w:cs="Arial"/>
            </w:rPr>
          </w:pPr>
          <w:r w:rsidRPr="00437E89">
            <w:rPr>
              <w:rFonts w:ascii="Arial" w:hAnsi="Arial" w:cs="Arial"/>
            </w:rPr>
            <w:t>Sul</w:t>
          </w:r>
          <w:r w:rsidR="00B8798E">
            <w:rPr>
              <w:rFonts w:ascii="Arial" w:hAnsi="Arial" w:cs="Arial"/>
            </w:rPr>
            <w:t>F</w:t>
          </w:r>
          <w:r w:rsidRPr="00437E89">
            <w:rPr>
              <w:rFonts w:ascii="Arial" w:hAnsi="Arial" w:cs="Arial"/>
            </w:rPr>
            <w:t>ur dioxide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8"/>
        <w:gridCol w:w="5038"/>
      </w:tblGrid>
      <w:tr w:rsidR="00F43AD5" w:rsidRPr="004C23F4" w14:paraId="189D6E38" w14:textId="77777777" w:rsidTr="00897126">
        <w:trPr>
          <w:cantSplit/>
          <w:tblHeader/>
        </w:trPr>
        <w:tc>
          <w:tcPr>
            <w:tcW w:w="3988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8" w:type="dxa"/>
          </w:tcPr>
          <w:p w14:paraId="3EDBFD9E" w14:textId="0C72ABCD" w:rsidR="00F43AD5" w:rsidRPr="00717D45" w:rsidRDefault="00437E89" w:rsidP="00B76A41">
            <w:pPr>
              <w:pStyle w:val="Tablefont"/>
            </w:pPr>
            <w:r w:rsidRPr="00437E89">
              <w:t>7446-09-5</w:t>
            </w:r>
          </w:p>
        </w:tc>
      </w:tr>
      <w:tr w:rsidR="00F43AD5" w:rsidRPr="004C23F4" w14:paraId="562A9F51" w14:textId="77777777" w:rsidTr="00897126">
        <w:trPr>
          <w:cantSplit/>
        </w:trPr>
        <w:tc>
          <w:tcPr>
            <w:tcW w:w="3988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8" w:type="dxa"/>
          </w:tcPr>
          <w:p w14:paraId="32648AB9" w14:textId="54CCF1EE" w:rsidR="00F43AD5" w:rsidRPr="00717D45" w:rsidRDefault="00437E89" w:rsidP="00B76A41">
            <w:pPr>
              <w:pStyle w:val="Tablefont"/>
            </w:pPr>
            <w:proofErr w:type="spellStart"/>
            <w:r>
              <w:t>Sulfurous</w:t>
            </w:r>
            <w:proofErr w:type="spellEnd"/>
            <w:r>
              <w:t xml:space="preserve"> acid anhydride, sulphurous anhydride, su</w:t>
            </w:r>
            <w:r w:rsidR="00AA2E5B">
              <w:t>l</w:t>
            </w:r>
            <w:r w:rsidR="00B8798E">
              <w:t>ph</w:t>
            </w:r>
            <w:r>
              <w:t xml:space="preserve">ur </w:t>
            </w:r>
            <w:r w:rsidR="00B8798E">
              <w:t>di</w:t>
            </w:r>
            <w:r>
              <w:t xml:space="preserve">oxide, </w:t>
            </w:r>
            <w:proofErr w:type="spellStart"/>
            <w:r>
              <w:t>sulfurous</w:t>
            </w:r>
            <w:proofErr w:type="spellEnd"/>
            <w:r>
              <w:t xml:space="preserve"> oxide, </w:t>
            </w:r>
            <w:proofErr w:type="spellStart"/>
            <w:r>
              <w:t>sulfur</w:t>
            </w:r>
            <w:proofErr w:type="spellEnd"/>
            <w:r>
              <w:t xml:space="preserve"> superoxide</w:t>
            </w:r>
          </w:p>
        </w:tc>
      </w:tr>
      <w:tr w:rsidR="00F43AD5" w:rsidRPr="004C23F4" w14:paraId="6EE54A08" w14:textId="77777777" w:rsidTr="00897126">
        <w:trPr>
          <w:cantSplit/>
        </w:trPr>
        <w:tc>
          <w:tcPr>
            <w:tcW w:w="3988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8" w:type="dxa"/>
          </w:tcPr>
          <w:p w14:paraId="69369B00" w14:textId="1A8AF791" w:rsidR="00F43AD5" w:rsidRPr="00717D45" w:rsidRDefault="00437E89" w:rsidP="00B76A41">
            <w:pPr>
              <w:pStyle w:val="Tablefont"/>
            </w:pPr>
            <w:r>
              <w:t>SO</w:t>
            </w:r>
            <w:r w:rsidRPr="00437E89">
              <w:rPr>
                <w:vertAlign w:val="subscript"/>
              </w:rPr>
              <w:t>2</w:t>
            </w:r>
          </w:p>
        </w:tc>
      </w:tr>
    </w:tbl>
    <w:p w14:paraId="71D72173" w14:textId="017D7D5B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A10F65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46F6E78B" w:rsidR="002C7AFE" w:rsidRPr="00B87F3A" w:rsidRDefault="0089199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002C7B10" w:rsidR="00037E52" w:rsidRPr="00B87F3A" w:rsidRDefault="0089199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0.25</w:t>
            </w:r>
            <w:r w:rsidRPr="00B87F3A">
              <w:rPr>
                <w:b/>
              </w:rPr>
              <w:t xml:space="preserve"> </w:t>
            </w:r>
            <w:r w:rsidR="00A10F65" w:rsidRPr="00B87F3A">
              <w:rPr>
                <w:b/>
              </w:rPr>
              <w:t>ppm</w:t>
            </w:r>
            <w:r w:rsidR="00B87F3A" w:rsidRPr="00B87F3A">
              <w:rPr>
                <w:b/>
              </w:rPr>
              <w:t xml:space="preserve"> </w:t>
            </w:r>
            <w:r w:rsidR="00B87F3A" w:rsidRPr="00B87F3A">
              <w:rPr>
                <w:rFonts w:cs="Arial"/>
                <w:b/>
              </w:rPr>
              <w:t>(</w:t>
            </w:r>
            <w:r>
              <w:rPr>
                <w:rFonts w:cs="Arial"/>
                <w:b/>
              </w:rPr>
              <w:t>0.65</w:t>
            </w:r>
            <w:r w:rsidR="00B87F3A" w:rsidRPr="00B87F3A">
              <w:rPr>
                <w:rFonts w:cs="Arial"/>
                <w:b/>
              </w:rPr>
              <w:t xml:space="preserve"> mg/m</w:t>
            </w:r>
            <w:r w:rsidR="00B87F3A" w:rsidRPr="00B87F3A">
              <w:rPr>
                <w:rFonts w:cs="Arial"/>
                <w:b/>
                <w:vertAlign w:val="superscript"/>
              </w:rPr>
              <w:t>3</w:t>
            </w:r>
            <w:r w:rsidR="00B87F3A" w:rsidRPr="00B87F3A">
              <w:rPr>
                <w:rFonts w:cs="Arial"/>
                <w:b/>
              </w:rPr>
              <w:t>)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3BC0803B" w:rsidR="00037E52" w:rsidRPr="00EB3D1B" w:rsidRDefault="00437E89" w:rsidP="00037E52">
            <w:pPr>
              <w:pStyle w:val="Tablefont"/>
              <w:rPr>
                <w:b/>
              </w:rPr>
            </w:pPr>
            <w:r w:rsidRPr="00437E89">
              <w:rPr>
                <w:b/>
              </w:rPr>
              <w:t>100 ppm</w:t>
            </w:r>
          </w:p>
        </w:tc>
      </w:tr>
      <w:tr w:rsidR="00155999" w:rsidRPr="004C23F4" w14:paraId="27D0E012" w14:textId="77777777" w:rsidTr="00FC037F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0F650559" w:rsidR="00155999" w:rsidRPr="00A10F65" w:rsidRDefault="00155999" w:rsidP="00037E52">
            <w:pPr>
              <w:pStyle w:val="Tablefont"/>
              <w:rPr>
                <w:b/>
              </w:rPr>
            </w:pPr>
            <w:r w:rsidRPr="00A10F65">
              <w:rPr>
                <w:b/>
              </w:rPr>
              <w:t>Sampling and analysis:</w:t>
            </w:r>
            <w:r w:rsidRPr="00A10F65">
              <w:rPr>
                <w:rStyle w:val="WESstatus"/>
                <w:b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A10F65" w:rsidRPr="00A10F65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00F1FFCC" w:rsidR="006639B4" w:rsidRDefault="008729D8" w:rsidP="008729D8">
      <w:pPr>
        <w:rPr>
          <w:rFonts w:cs="Arial"/>
        </w:rPr>
      </w:pPr>
      <w:r w:rsidRPr="008729D8">
        <w:rPr>
          <w:rFonts w:cs="Arial"/>
        </w:rPr>
        <w:t xml:space="preserve">A STEL of </w:t>
      </w:r>
      <w:r w:rsidR="00891992">
        <w:rPr>
          <w:rFonts w:cs="Arial"/>
        </w:rPr>
        <w:t>0.25</w:t>
      </w:r>
      <w:r w:rsidR="00891992" w:rsidRPr="008729D8">
        <w:rPr>
          <w:rFonts w:cs="Arial"/>
        </w:rPr>
        <w:t xml:space="preserve"> </w:t>
      </w:r>
      <w:r w:rsidRPr="008729D8">
        <w:rPr>
          <w:rFonts w:cs="Arial"/>
        </w:rPr>
        <w:t>ppm (</w:t>
      </w:r>
      <w:r w:rsidR="00891992">
        <w:rPr>
          <w:rFonts w:cs="Arial"/>
        </w:rPr>
        <w:t>0.65</w:t>
      </w:r>
      <w:r w:rsidRPr="008729D8">
        <w:rPr>
          <w:rFonts w:cs="Arial"/>
        </w:rPr>
        <w:t xml:space="preserve"> mg/m</w:t>
      </w:r>
      <w:r w:rsidRPr="008729D8">
        <w:rPr>
          <w:rFonts w:cs="Arial"/>
          <w:vertAlign w:val="superscript"/>
        </w:rPr>
        <w:t>3</w:t>
      </w:r>
      <w:r w:rsidRPr="008729D8">
        <w:rPr>
          <w:rFonts w:cs="Arial"/>
        </w:rPr>
        <w:t xml:space="preserve">) is recommended to protect </w:t>
      </w:r>
      <w:r w:rsidR="004F6303">
        <w:rPr>
          <w:rFonts w:cs="Arial"/>
        </w:rPr>
        <w:t>for acute</w:t>
      </w:r>
      <w:r w:rsidR="004F6303" w:rsidRPr="008729D8">
        <w:rPr>
          <w:rFonts w:cs="Arial"/>
        </w:rPr>
        <w:t xml:space="preserve"> </w:t>
      </w:r>
      <w:r w:rsidRPr="008729D8">
        <w:rPr>
          <w:rFonts w:cs="Arial"/>
        </w:rPr>
        <w:t>irritant effects in exposed workers</w:t>
      </w:r>
      <w:r w:rsidR="00891992">
        <w:rPr>
          <w:rFonts w:cs="Arial"/>
        </w:rPr>
        <w:t>, including those with respiratory conditions</w:t>
      </w:r>
      <w:r w:rsidRPr="008729D8">
        <w:rPr>
          <w:rFonts w:cs="Arial"/>
        </w:rPr>
        <w:t>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0907001" w14:textId="6CE5E4BC" w:rsidR="00240048" w:rsidRDefault="00240048" w:rsidP="006639B4">
      <w:pPr>
        <w:rPr>
          <w:rFonts w:cs="Arial"/>
        </w:rPr>
      </w:pPr>
      <w:proofErr w:type="spellStart"/>
      <w:r>
        <w:rPr>
          <w:rFonts w:cs="Arial"/>
        </w:rPr>
        <w:t>Sul</w:t>
      </w:r>
      <w:r w:rsidR="00B8798E">
        <w:rPr>
          <w:rFonts w:cs="Arial"/>
        </w:rPr>
        <w:t>f</w:t>
      </w:r>
      <w:r>
        <w:rPr>
          <w:rFonts w:cs="Arial"/>
        </w:rPr>
        <w:t>ur</w:t>
      </w:r>
      <w:proofErr w:type="spellEnd"/>
      <w:r>
        <w:rPr>
          <w:rFonts w:cs="Arial"/>
        </w:rPr>
        <w:t xml:space="preserve"> dioxide</w:t>
      </w:r>
      <w:r w:rsidR="00607FFC">
        <w:rPr>
          <w:rFonts w:cs="Arial"/>
        </w:rPr>
        <w:t xml:space="preserve"> (SO</w:t>
      </w:r>
      <w:r w:rsidR="00607FFC" w:rsidRPr="00607FFC">
        <w:rPr>
          <w:rFonts w:cs="Arial"/>
          <w:vertAlign w:val="subscript"/>
        </w:rPr>
        <w:t>2</w:t>
      </w:r>
      <w:r w:rsidR="00607FFC">
        <w:rPr>
          <w:rFonts w:cs="Arial"/>
        </w:rPr>
        <w:t>)</w:t>
      </w:r>
      <w:r>
        <w:rPr>
          <w:rFonts w:cs="Arial"/>
        </w:rPr>
        <w:t xml:space="preserve"> is commonly </w:t>
      </w:r>
      <w:r w:rsidR="009A2F75" w:rsidRPr="009A2F75">
        <w:rPr>
          <w:rFonts w:cs="Arial"/>
        </w:rPr>
        <w:t xml:space="preserve">produced in large quantities in major manufacturing industries </w:t>
      </w:r>
      <w:r w:rsidR="009A2F75">
        <w:rPr>
          <w:rFonts w:cs="Arial"/>
        </w:rPr>
        <w:t>and f</w:t>
      </w:r>
      <w:r w:rsidR="009A2F75" w:rsidRPr="009A2F75">
        <w:rPr>
          <w:rFonts w:cs="Arial"/>
        </w:rPr>
        <w:t>requently released in paper and pulp, metal manufacturing</w:t>
      </w:r>
      <w:r w:rsidR="00BC6CC0">
        <w:rPr>
          <w:rFonts w:cs="Arial"/>
        </w:rPr>
        <w:t xml:space="preserve"> and</w:t>
      </w:r>
      <w:r w:rsidR="009A2F75" w:rsidRPr="009A2F75">
        <w:rPr>
          <w:rFonts w:cs="Arial"/>
        </w:rPr>
        <w:t xml:space="preserve"> oil refining</w:t>
      </w:r>
      <w:r w:rsidR="0054507B">
        <w:rPr>
          <w:rFonts w:cs="Arial"/>
        </w:rPr>
        <w:t>. It is also released in</w:t>
      </w:r>
      <w:r w:rsidR="009A2F75" w:rsidRPr="009A2F75">
        <w:rPr>
          <w:rFonts w:cs="Arial"/>
        </w:rPr>
        <w:t xml:space="preserve"> food, agriculture and wastewater treatment processes.</w:t>
      </w:r>
    </w:p>
    <w:p w14:paraId="16287D52" w14:textId="19CC7683" w:rsidR="00723377" w:rsidRDefault="00D71D8C" w:rsidP="006639B4">
      <w:r>
        <w:rPr>
          <w:rFonts w:cs="Arial"/>
        </w:rPr>
        <w:t xml:space="preserve">The critical effects </w:t>
      </w:r>
      <w:r w:rsidR="00607FFC">
        <w:rPr>
          <w:rFonts w:cs="Arial"/>
        </w:rPr>
        <w:t>of exposure are</w:t>
      </w:r>
      <w:r>
        <w:rPr>
          <w:rFonts w:cs="Arial"/>
        </w:rPr>
        <w:t xml:space="preserve"> </w:t>
      </w:r>
      <w:r w:rsidR="00EA1651">
        <w:t xml:space="preserve">irritation of the </w:t>
      </w:r>
      <w:r w:rsidR="00E8142E">
        <w:t>respiratory tract and</w:t>
      </w:r>
      <w:r w:rsidR="00E8142E" w:rsidRPr="00E8142E">
        <w:rPr>
          <w:rFonts w:cs="Arial"/>
        </w:rPr>
        <w:t xml:space="preserve"> </w:t>
      </w:r>
      <w:r w:rsidR="00E8142E">
        <w:rPr>
          <w:rFonts w:cs="Arial"/>
        </w:rPr>
        <w:t xml:space="preserve">reduced lung </w:t>
      </w:r>
      <w:r w:rsidR="00E8142E">
        <w:t>function with the potential for reduction in pulmonary function in individuals with pre-existing respiratory disease (asthma).</w:t>
      </w:r>
      <w:r w:rsidR="00C258A5">
        <w:t xml:space="preserve"> </w:t>
      </w:r>
      <w:r w:rsidR="00897126">
        <w:t xml:space="preserve">Local corrosion effects are </w:t>
      </w:r>
      <w:r w:rsidR="00D64860">
        <w:t xml:space="preserve">also </w:t>
      </w:r>
      <w:r w:rsidR="00897126">
        <w:t xml:space="preserve">reported. </w:t>
      </w:r>
    </w:p>
    <w:p w14:paraId="39E6AD0F" w14:textId="0FB94FCE" w:rsidR="00764C6C" w:rsidRPr="00764C6C" w:rsidRDefault="00A82872" w:rsidP="006639B4">
      <w:r>
        <w:t xml:space="preserve">Acute symptoms and bronchoconstriction effects </w:t>
      </w:r>
      <w:r w:rsidR="00EA1651">
        <w:t>a</w:t>
      </w:r>
      <w:r>
        <w:t>re associated with exposure and exercise at 0.5</w:t>
      </w:r>
      <w:r w:rsidR="005117E7">
        <w:t> </w:t>
      </w:r>
      <w:r>
        <w:t xml:space="preserve">ppm and 0.4 ppm in </w:t>
      </w:r>
      <w:r w:rsidR="003C0FF0">
        <w:t>individuals</w:t>
      </w:r>
      <w:r w:rsidR="00BC6CC0">
        <w:t xml:space="preserve"> </w:t>
      </w:r>
      <w:r>
        <w:t>with asthma but not at 0.25 ppm (ACGIH, 2019).</w:t>
      </w:r>
      <w:r w:rsidR="00EA1651">
        <w:t xml:space="preserve"> </w:t>
      </w:r>
      <w:r w:rsidR="00764C6C">
        <w:t>The STEL of 0.25</w:t>
      </w:r>
      <w:r w:rsidR="005117E7">
        <w:t> </w:t>
      </w:r>
      <w:r w:rsidR="00764C6C">
        <w:t xml:space="preserve">ppm recommended by HCOTN (2003) is also based on mouth breathing studies with adjustments for inter-individual differences (reduced by factor of </w:t>
      </w:r>
      <w:r w:rsidR="00607FFC">
        <w:t>three</w:t>
      </w:r>
      <w:r w:rsidR="00764C6C">
        <w:t xml:space="preserve">). </w:t>
      </w:r>
      <w:r w:rsidR="00BF762F">
        <w:t xml:space="preserve">Subsequent studies </w:t>
      </w:r>
      <w:r w:rsidR="000946D8">
        <w:t xml:space="preserve">identified by DFG (2012) and SCOEL (2009) </w:t>
      </w:r>
      <w:r w:rsidR="00BF762F">
        <w:t xml:space="preserve">indicate </w:t>
      </w:r>
      <w:r w:rsidR="000946D8">
        <w:t xml:space="preserve">significant levels </w:t>
      </w:r>
      <w:r w:rsidR="007068EE">
        <w:t xml:space="preserve">(approximately 90%) </w:t>
      </w:r>
      <w:r w:rsidR="00EA1651">
        <w:t xml:space="preserve">that are </w:t>
      </w:r>
      <w:r w:rsidR="000946D8">
        <w:t xml:space="preserve">absorbed </w:t>
      </w:r>
      <w:r w:rsidR="000946D8" w:rsidRPr="00897126">
        <w:rPr>
          <w:i/>
        </w:rPr>
        <w:t>via</w:t>
      </w:r>
      <w:r w:rsidR="000946D8">
        <w:t xml:space="preserve"> the nasal mucosa in normal respiration would minimise the effects on lung function. </w:t>
      </w:r>
      <w:r w:rsidR="00764C6C">
        <w:t xml:space="preserve">The </w:t>
      </w:r>
      <w:r w:rsidR="00764C6C" w:rsidRPr="00764C6C">
        <w:t xml:space="preserve">LOAEL </w:t>
      </w:r>
      <w:r w:rsidR="001C2629">
        <w:t>for l</w:t>
      </w:r>
      <w:r w:rsidR="00764C6C" w:rsidRPr="00764C6C">
        <w:t>ung function changes</w:t>
      </w:r>
      <w:r w:rsidR="00901210">
        <w:t xml:space="preserve"> </w:t>
      </w:r>
      <w:r w:rsidR="00764C6C" w:rsidRPr="00764C6C">
        <w:t xml:space="preserve">in </w:t>
      </w:r>
      <w:r w:rsidR="001C2629">
        <w:t xml:space="preserve">healthy </w:t>
      </w:r>
      <w:r w:rsidR="00764C6C" w:rsidRPr="00764C6C">
        <w:t>human volunteer</w:t>
      </w:r>
      <w:r w:rsidR="005117E7">
        <w:t>s</w:t>
      </w:r>
      <w:r w:rsidR="00764C6C" w:rsidRPr="00764C6C">
        <w:t xml:space="preserve"> </w:t>
      </w:r>
      <w:r w:rsidR="00897126">
        <w:t>i</w:t>
      </w:r>
      <w:r w:rsidR="001C2629">
        <w:t xml:space="preserve">s </w:t>
      </w:r>
      <w:r w:rsidR="00764C6C" w:rsidRPr="00764C6C">
        <w:t>1 ppm</w:t>
      </w:r>
      <w:r w:rsidR="006E6C63">
        <w:t>,</w:t>
      </w:r>
      <w:r w:rsidR="00764C6C" w:rsidRPr="00764C6C">
        <w:t xml:space="preserve"> </w:t>
      </w:r>
      <w:r w:rsidR="001C2629">
        <w:t>with a</w:t>
      </w:r>
      <w:r w:rsidR="001C2629" w:rsidRPr="001C2629">
        <w:t>sthmatics unlikely to experience adverse effects up to 0.75 ppm under normal working conditions</w:t>
      </w:r>
      <w:r w:rsidR="001C2629">
        <w:t xml:space="preserve"> (SCOEL, 2009).</w:t>
      </w:r>
    </w:p>
    <w:p w14:paraId="47B9D1A7" w14:textId="09468E0B" w:rsidR="00240048" w:rsidRDefault="00EA1651" w:rsidP="006639B4">
      <w:pPr>
        <w:rPr>
          <w:rFonts w:cs="Arial"/>
        </w:rPr>
      </w:pPr>
      <w:r>
        <w:rPr>
          <w:rFonts w:cs="Arial"/>
        </w:rPr>
        <w:t>There are l</w:t>
      </w:r>
      <w:r w:rsidR="00240048">
        <w:rPr>
          <w:rFonts w:cs="Arial"/>
        </w:rPr>
        <w:t>imited data from human an</w:t>
      </w:r>
      <w:r w:rsidR="001517EC">
        <w:rPr>
          <w:rFonts w:cs="Arial"/>
        </w:rPr>
        <w:t>d</w:t>
      </w:r>
      <w:r w:rsidR="00240048">
        <w:rPr>
          <w:rFonts w:cs="Arial"/>
        </w:rPr>
        <w:t xml:space="preserve"> animal studies </w:t>
      </w:r>
      <w:r w:rsidR="001517EC">
        <w:rPr>
          <w:rFonts w:cs="Arial"/>
        </w:rPr>
        <w:t xml:space="preserve">to </w:t>
      </w:r>
      <w:r w:rsidR="001517EC" w:rsidRPr="001517EC">
        <w:rPr>
          <w:rFonts w:cs="Arial"/>
        </w:rPr>
        <w:t xml:space="preserve">support </w:t>
      </w:r>
      <w:r w:rsidR="00607FFC">
        <w:rPr>
          <w:rFonts w:cs="Arial"/>
        </w:rPr>
        <w:t>SO</w:t>
      </w:r>
      <w:r w:rsidR="00607FFC" w:rsidRPr="00607FFC">
        <w:rPr>
          <w:rFonts w:cs="Arial"/>
          <w:vertAlign w:val="subscript"/>
        </w:rPr>
        <w:t>2</w:t>
      </w:r>
      <w:r w:rsidR="00607FFC">
        <w:rPr>
          <w:rFonts w:cs="Arial"/>
          <w:vertAlign w:val="subscript"/>
        </w:rPr>
        <w:t xml:space="preserve"> </w:t>
      </w:r>
      <w:r w:rsidR="001517EC" w:rsidRPr="001517EC">
        <w:rPr>
          <w:rFonts w:cs="Arial"/>
        </w:rPr>
        <w:t>as a promoter of carcinogenesis</w:t>
      </w:r>
      <w:r w:rsidR="001517EC">
        <w:rPr>
          <w:rFonts w:cs="Arial"/>
        </w:rPr>
        <w:t xml:space="preserve"> (SCOEL, </w:t>
      </w:r>
      <w:r w:rsidR="009A2F75">
        <w:rPr>
          <w:rFonts w:cs="Arial"/>
        </w:rPr>
        <w:t>2009).</w:t>
      </w:r>
      <w:r w:rsidR="001517EC">
        <w:rPr>
          <w:rFonts w:cs="Arial"/>
        </w:rPr>
        <w:t xml:space="preserve"> </w:t>
      </w:r>
      <w:r w:rsidR="00B526DE">
        <w:rPr>
          <w:rFonts w:cs="Arial"/>
        </w:rPr>
        <w:t>Mutagenic effects observed (</w:t>
      </w:r>
      <w:r w:rsidR="00B526DE" w:rsidRPr="00B526DE">
        <w:rPr>
          <w:rFonts w:cs="Arial"/>
          <w:i/>
        </w:rPr>
        <w:t>in vitro</w:t>
      </w:r>
      <w:r w:rsidR="00B526DE">
        <w:rPr>
          <w:rFonts w:cs="Arial"/>
        </w:rPr>
        <w:t>) are unlikely to occur in human pathological conditions.</w:t>
      </w:r>
    </w:p>
    <w:p w14:paraId="1A3AA5B3" w14:textId="67712D01" w:rsidR="002834DD" w:rsidRPr="004C23F4" w:rsidRDefault="002834DD" w:rsidP="006639B4">
      <w:pPr>
        <w:rPr>
          <w:rFonts w:cs="Arial"/>
        </w:rPr>
      </w:pPr>
      <w:r>
        <w:rPr>
          <w:rFonts w:cs="Arial"/>
        </w:rPr>
        <w:t>Based on the evidence provided a</w:t>
      </w:r>
      <w:r w:rsidR="00623DA9">
        <w:rPr>
          <w:rFonts w:cs="Arial"/>
        </w:rPr>
        <w:t>nd the lack of robust data on chronic effects</w:t>
      </w:r>
      <w:r w:rsidR="00897126">
        <w:rPr>
          <w:rFonts w:cs="Arial"/>
        </w:rPr>
        <w:t>,</w:t>
      </w:r>
      <w:r w:rsidR="00623DA9">
        <w:rPr>
          <w:rFonts w:cs="Arial"/>
        </w:rPr>
        <w:t xml:space="preserve"> a</w:t>
      </w:r>
      <w:r>
        <w:rPr>
          <w:rFonts w:cs="Arial"/>
        </w:rPr>
        <w:t xml:space="preserve"> TWA cannot be recommended with good confidence</w:t>
      </w:r>
      <w:r w:rsidR="00623DA9">
        <w:rPr>
          <w:rFonts w:cs="Arial"/>
        </w:rPr>
        <w:t xml:space="preserve"> and is recommended to be withdrawn. </w:t>
      </w:r>
      <w:r w:rsidR="00A82872">
        <w:rPr>
          <w:rFonts w:cs="Arial"/>
        </w:rPr>
        <w:t xml:space="preserve">Based on the evidence of </w:t>
      </w:r>
      <w:r w:rsidR="00A82872">
        <w:rPr>
          <w:rFonts w:cs="Arial"/>
        </w:rPr>
        <w:lastRenderedPageBreak/>
        <w:t xml:space="preserve">no effects in asthmatics acutely exposed at 0.25 ppm but effects </w:t>
      </w:r>
      <w:r w:rsidR="003C0FF0">
        <w:rPr>
          <w:rFonts w:cs="Arial"/>
        </w:rPr>
        <w:t xml:space="preserve">observed </w:t>
      </w:r>
      <w:r w:rsidR="00A82872">
        <w:rPr>
          <w:rFonts w:cs="Arial"/>
        </w:rPr>
        <w:t xml:space="preserve">at 0.4 ppm, </w:t>
      </w:r>
      <w:r w:rsidR="003801B8">
        <w:rPr>
          <w:rFonts w:cs="Arial"/>
        </w:rPr>
        <w:t>t</w:t>
      </w:r>
      <w:r w:rsidR="00723377">
        <w:rPr>
          <w:rFonts w:cs="Arial"/>
        </w:rPr>
        <w:t>he S</w:t>
      </w:r>
      <w:r w:rsidR="00A82872">
        <w:rPr>
          <w:rFonts w:cs="Arial"/>
        </w:rPr>
        <w:t>TEL of 0.25</w:t>
      </w:r>
      <w:r w:rsidR="00723377">
        <w:rPr>
          <w:rFonts w:cs="Arial"/>
        </w:rPr>
        <w:t> </w:t>
      </w:r>
      <w:r w:rsidR="00A82872">
        <w:rPr>
          <w:rFonts w:cs="Arial"/>
        </w:rPr>
        <w:t xml:space="preserve">ppm </w:t>
      </w:r>
      <w:r w:rsidR="00723377">
        <w:rPr>
          <w:rFonts w:cs="Arial"/>
        </w:rPr>
        <w:t xml:space="preserve">by ACGIH (2018) </w:t>
      </w:r>
      <w:r w:rsidR="00A82872">
        <w:rPr>
          <w:rFonts w:cs="Arial"/>
        </w:rPr>
        <w:t xml:space="preserve">is recommended. 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77777777" w:rsidR="008E4F1F" w:rsidRPr="00A10F65" w:rsidRDefault="008E4F1F" w:rsidP="008E4F1F">
      <w:pPr>
        <w:rPr>
          <w:rFonts w:cs="Arial"/>
        </w:rPr>
      </w:pPr>
      <w:r w:rsidRPr="00A10F65">
        <w:rPr>
          <w:rFonts w:cs="Arial"/>
        </w:rPr>
        <w:t>Not classified as a carcinogen according to the Globally Harmonized System of</w:t>
      </w:r>
      <w:r w:rsidR="00155999" w:rsidRPr="00A10F65">
        <w:rPr>
          <w:rFonts w:cs="Arial"/>
        </w:rPr>
        <w:t xml:space="preserve"> Classification and Labelling of</w:t>
      </w:r>
      <w:r w:rsidRPr="00A10F65">
        <w:rPr>
          <w:rFonts w:cs="Arial"/>
        </w:rPr>
        <w:t xml:space="preserve"> Chemicals (GHS). </w:t>
      </w:r>
    </w:p>
    <w:p w14:paraId="03916CCC" w14:textId="77777777" w:rsidR="008E4F1F" w:rsidRPr="00A10F65" w:rsidRDefault="008E4F1F" w:rsidP="008E4F1F">
      <w:pPr>
        <w:rPr>
          <w:rFonts w:cs="Arial"/>
        </w:rPr>
      </w:pPr>
      <w:r w:rsidRPr="00A10F65">
        <w:rPr>
          <w:rFonts w:cs="Arial"/>
        </w:rPr>
        <w:t xml:space="preserve">Not classified as a skin </w:t>
      </w:r>
      <w:r w:rsidR="00155999" w:rsidRPr="00A10F65">
        <w:rPr>
          <w:rFonts w:cs="Arial"/>
        </w:rPr>
        <w:t xml:space="preserve">sensitiser </w:t>
      </w:r>
      <w:r w:rsidRPr="00A10F65">
        <w:rPr>
          <w:rFonts w:cs="Arial"/>
        </w:rPr>
        <w:t>or respiratory sensitiser according to the GHS.</w:t>
      </w:r>
    </w:p>
    <w:p w14:paraId="7D0772D2" w14:textId="10D153AA" w:rsidR="004529F0" w:rsidRPr="004C23F4" w:rsidRDefault="00B8798E" w:rsidP="008E4F1F">
      <w:pPr>
        <w:rPr>
          <w:rFonts w:cs="Arial"/>
        </w:rPr>
      </w:pPr>
      <w:r>
        <w:rPr>
          <w:rFonts w:cs="Arial"/>
        </w:rPr>
        <w:t>There are i</w:t>
      </w:r>
      <w:r w:rsidR="008E4F1F" w:rsidRPr="00A10F65">
        <w:rPr>
          <w:rFonts w:cs="Arial"/>
        </w:rPr>
        <w:t xml:space="preserve">nsufficient </w:t>
      </w:r>
      <w:r>
        <w:rPr>
          <w:rFonts w:cs="Arial"/>
        </w:rPr>
        <w:t>data</w:t>
      </w:r>
      <w:r w:rsidR="008E4F1F" w:rsidRPr="00A10F65">
        <w:rPr>
          <w:rFonts w:cs="Arial"/>
        </w:rPr>
        <w:t xml:space="preserve"> to recommend a skin notation.</w:t>
      </w:r>
    </w:p>
    <w:p w14:paraId="21CCE2A5" w14:textId="77777777" w:rsidR="0025734A" w:rsidRPr="004C23F4" w:rsidRDefault="0025734A">
      <w:pPr>
        <w:rPr>
          <w:rFonts w:cs="Arial"/>
        </w:rPr>
      </w:pP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AF067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AF0672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61C54D70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437E89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37E89">
                  <w:t>TWA: 2 ppm (5.2 mg/m</w:t>
                </w:r>
                <w:r w:rsidR="00437E89" w:rsidRPr="00437E89">
                  <w:rPr>
                    <w:vertAlign w:val="superscript"/>
                  </w:rPr>
                  <w:t>3</w:t>
                </w:r>
                <w:r w:rsidR="00437E89">
                  <w:t>); STEL: 5 ppm (13 mg/m</w:t>
                </w:r>
                <w:r w:rsidR="00437E89" w:rsidRPr="00437E89">
                  <w:rPr>
                    <w:vertAlign w:val="superscript"/>
                  </w:rPr>
                  <w:t>3</w:t>
                </w:r>
                <w:r w:rsidR="00437E89">
                  <w:t>)</w:t>
                </w:r>
              </w:sdtContent>
            </w:sdt>
          </w:p>
        </w:tc>
      </w:tr>
      <w:tr w:rsidR="00C978F0" w:rsidRPr="00DA352E" w14:paraId="26087DDB" w14:textId="77777777" w:rsidTr="00AF0672">
        <w:trPr>
          <w:gridAfter w:val="1"/>
          <w:wAfter w:w="8" w:type="pct"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AF067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1F35A4B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37E89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437E89">
                  <w:t>TLV-</w:t>
                </w:r>
                <w:r w:rsidR="007F4F77">
                  <w:t>STEL</w:t>
                </w:r>
                <w:r w:rsidR="00437E89">
                  <w:t>: 0.25 ppm (0.65 mg/m</w:t>
                </w:r>
                <w:r w:rsidR="00437E89" w:rsidRPr="00437E89">
                  <w:rPr>
                    <w:vertAlign w:val="superscript"/>
                  </w:rPr>
                  <w:t>3</w:t>
                </w:r>
                <w:r w:rsidR="00437E89">
                  <w:t>)</w:t>
                </w:r>
              </w:sdtContent>
            </w:sdt>
          </w:p>
        </w:tc>
      </w:tr>
      <w:tr w:rsidR="00C978F0" w:rsidRPr="00DA352E" w14:paraId="418D532D" w14:textId="77777777" w:rsidTr="00AF0672">
        <w:trPr>
          <w:gridAfter w:val="1"/>
          <w:wAfter w:w="8" w:type="pct"/>
        </w:trPr>
        <w:tc>
          <w:tcPr>
            <w:tcW w:w="4992" w:type="pct"/>
          </w:tcPr>
          <w:p w14:paraId="61330A76" w14:textId="499BE498" w:rsidR="00B552F1" w:rsidRDefault="00F37CAB" w:rsidP="003365A5">
            <w:pPr>
              <w:pStyle w:val="Tabletextprimarysource"/>
            </w:pPr>
            <w:r>
              <w:t xml:space="preserve">TLV-STEL </w:t>
            </w:r>
            <w:r w:rsidR="00DF390F">
              <w:t xml:space="preserve">recommended as being protective for both acute and chronic lung function and </w:t>
            </w:r>
            <w:r w:rsidR="00DF7378">
              <w:t xml:space="preserve">irritant </w:t>
            </w:r>
            <w:r w:rsidR="0039676B">
              <w:t xml:space="preserve">respiratory tract </w:t>
            </w:r>
            <w:r w:rsidR="00DF390F">
              <w:t>effects</w:t>
            </w:r>
            <w:r w:rsidR="00592228">
              <w:t xml:space="preserve"> (and prevent inducing effects in asthmatic individuals during exercise)</w:t>
            </w:r>
            <w:r w:rsidR="00B87F3A">
              <w:t>.</w:t>
            </w:r>
          </w:p>
          <w:p w14:paraId="51F68E55" w14:textId="019D5112" w:rsidR="00627CBF" w:rsidRDefault="00627CBF" w:rsidP="003365A5">
            <w:pPr>
              <w:pStyle w:val="Tabletextprimarysource"/>
            </w:pPr>
            <w:r w:rsidRPr="00627CBF">
              <w:t xml:space="preserve">Insufficient data to establish TLV-TWA for chronic exposures and relies on TLV-STEL to protect against </w:t>
            </w:r>
            <w:r>
              <w:t xml:space="preserve">respiratory </w:t>
            </w:r>
            <w:r w:rsidRPr="00627CBF">
              <w:t>effects</w:t>
            </w:r>
            <w:r>
              <w:t>.</w:t>
            </w:r>
          </w:p>
          <w:p w14:paraId="3B456ABA" w14:textId="5A713B23" w:rsidR="001517EC" w:rsidRDefault="000275C5" w:rsidP="003365A5">
            <w:pPr>
              <w:pStyle w:val="Tabletextprimarysource"/>
            </w:pPr>
            <w:r>
              <w:t xml:space="preserve">Not classified as carcinogenic based on inconclusive findings </w:t>
            </w:r>
            <w:r w:rsidR="00DF7B8D">
              <w:t xml:space="preserve">of exposed </w:t>
            </w:r>
            <w:r>
              <w:t>rats and mice</w:t>
            </w:r>
            <w:r w:rsidRPr="000275C5">
              <w:t>.</w:t>
            </w:r>
          </w:p>
          <w:p w14:paraId="065A422F" w14:textId="5BE2DF73" w:rsidR="000275C5" w:rsidRPr="00C8441D" w:rsidRDefault="00C8441D" w:rsidP="003365A5">
            <w:pPr>
              <w:pStyle w:val="Tabletextprimarysource"/>
            </w:pPr>
            <w:r>
              <w:t xml:space="preserve">Insufficient evidence to </w:t>
            </w:r>
            <w:r w:rsidR="00B87F3A">
              <w:t>assign a</w:t>
            </w:r>
            <w:r>
              <w:t xml:space="preserve"> skin notation.</w:t>
            </w:r>
          </w:p>
          <w:p w14:paraId="106730C1" w14:textId="77777777" w:rsidR="008D068A" w:rsidRPr="005117E7" w:rsidRDefault="008D068A" w:rsidP="008D068A">
            <w:pPr>
              <w:pStyle w:val="Tabletextprimarysource"/>
            </w:pPr>
            <w:r w:rsidRPr="005117E7">
              <w:t>Summary of data:</w:t>
            </w:r>
          </w:p>
          <w:p w14:paraId="61C619A1" w14:textId="124CC25C" w:rsidR="008D068A" w:rsidRDefault="008D068A" w:rsidP="008D068A">
            <w:pPr>
              <w:pStyle w:val="Tabletextprimarysource"/>
            </w:pPr>
            <w:r>
              <w:t xml:space="preserve">Evidence basis for the </w:t>
            </w:r>
            <w:r w:rsidR="00723377">
              <w:t>TLV-</w:t>
            </w:r>
            <w:r w:rsidR="00DF390F">
              <w:t>STEL</w:t>
            </w:r>
            <w:r>
              <w:t>:</w:t>
            </w:r>
          </w:p>
          <w:p w14:paraId="6F53CE46" w14:textId="44A31FF3" w:rsidR="00DF390F" w:rsidRDefault="00DF390F" w:rsidP="00897126">
            <w:pPr>
              <w:pStyle w:val="ListBullet"/>
              <w:spacing w:before="60" w:after="60"/>
              <w:ind w:left="731" w:hanging="357"/>
              <w:contextualSpacing w:val="0"/>
            </w:pPr>
            <w:r>
              <w:t>Based on acute lung effects (respiratory tract) observed in human subjects under controlled conditions in studies conducted between 1975</w:t>
            </w:r>
            <w:r w:rsidR="00A64839">
              <w:t>–</w:t>
            </w:r>
            <w:r>
              <w:t xml:space="preserve">1995 </w:t>
            </w:r>
          </w:p>
          <w:p w14:paraId="763D6EE3" w14:textId="1B0D9AE7" w:rsidR="00DF7378" w:rsidRDefault="00DF7378" w:rsidP="00897126">
            <w:pPr>
              <w:pStyle w:val="ListBullet"/>
              <w:spacing w:before="60" w:after="60"/>
              <w:ind w:left="731" w:hanging="357"/>
              <w:contextualSpacing w:val="0"/>
            </w:pPr>
            <w:r>
              <w:t xml:space="preserve">Acute bronchoconstriction effects </w:t>
            </w:r>
            <w:r w:rsidR="00460DBF">
              <w:t xml:space="preserve">in subjects </w:t>
            </w:r>
            <w:r>
              <w:t>with exposure during exercise at 0.5 ppm</w:t>
            </w:r>
            <w:r w:rsidR="00460DBF">
              <w:t xml:space="preserve"> (and 0.4 ppm in </w:t>
            </w:r>
            <w:r w:rsidR="00187332">
              <w:t xml:space="preserve">most </w:t>
            </w:r>
            <w:r w:rsidR="00460DBF">
              <w:t>asthmatic subjects)</w:t>
            </w:r>
          </w:p>
          <w:p w14:paraId="7FBD78D4" w14:textId="720DFDCB" w:rsidR="00DF7378" w:rsidRDefault="00460DBF" w:rsidP="00897126">
            <w:pPr>
              <w:pStyle w:val="ListBullet"/>
              <w:spacing w:before="60" w:after="60"/>
              <w:ind w:left="731" w:hanging="357"/>
              <w:contextualSpacing w:val="0"/>
            </w:pPr>
            <w:r>
              <w:t xml:space="preserve">NOEL 0.25 ppm </w:t>
            </w:r>
            <w:r w:rsidR="00DF7B8D">
              <w:t>noted</w:t>
            </w:r>
            <w:r>
              <w:t xml:space="preserve"> in two studies</w:t>
            </w:r>
            <w:r w:rsidR="00187332">
              <w:t xml:space="preserve"> with </w:t>
            </w:r>
            <w:r w:rsidR="00592228">
              <w:t>asthmatic subjects</w:t>
            </w:r>
            <w:r w:rsidR="00575BD3">
              <w:t xml:space="preserve"> (short term exposures)</w:t>
            </w:r>
            <w:r w:rsidR="00607FFC">
              <w:t>.</w:t>
            </w:r>
          </w:p>
          <w:p w14:paraId="2A0D1BFB" w14:textId="4D0A96D7" w:rsidR="00F37CAB" w:rsidRDefault="009B6CCF" w:rsidP="008D068A">
            <w:pPr>
              <w:pStyle w:val="Tabletextprimarysource"/>
            </w:pPr>
            <w:r>
              <w:t>Human data:</w:t>
            </w:r>
          </w:p>
          <w:p w14:paraId="408C856B" w14:textId="74E78C4A" w:rsidR="00B552F1" w:rsidRDefault="00B552F1" w:rsidP="00897126">
            <w:pPr>
              <w:pStyle w:val="ListBullet"/>
              <w:spacing w:before="60" w:after="60"/>
              <w:ind w:left="720" w:hanging="357"/>
              <w:contextualSpacing w:val="0"/>
            </w:pPr>
            <w:r>
              <w:t>Readily absorbed by mucous membranes of respiratory tract</w:t>
            </w:r>
            <w:r w:rsidR="008E1B21">
              <w:t xml:space="preserve">; </w:t>
            </w:r>
            <w:r>
              <w:t>90%</w:t>
            </w:r>
            <w:r w:rsidR="008E1B21">
              <w:t xml:space="preserve"> </w:t>
            </w:r>
            <w:r>
              <w:t>absorbed in the nose</w:t>
            </w:r>
          </w:p>
          <w:p w14:paraId="2D2799D8" w14:textId="71FDEF90" w:rsidR="001555FC" w:rsidRDefault="007B190C" w:rsidP="00897126">
            <w:pPr>
              <w:pStyle w:val="ListBullet"/>
              <w:spacing w:before="60" w:after="60"/>
              <w:ind w:left="720" w:hanging="357"/>
              <w:contextualSpacing w:val="0"/>
            </w:pPr>
            <w:r>
              <w:t xml:space="preserve">Frequently reported exposure symptoms include cough, shortness of breath, </w:t>
            </w:r>
            <w:r w:rsidR="001555FC">
              <w:t>burning nose eyes and mouth, substernal pain and tearing eyes</w:t>
            </w:r>
          </w:p>
          <w:p w14:paraId="315B1B66" w14:textId="4976BD44" w:rsidR="00C8441D" w:rsidRDefault="00D26F43" w:rsidP="00897126">
            <w:pPr>
              <w:pStyle w:val="ListBullet"/>
              <w:spacing w:before="60" w:after="60"/>
              <w:ind w:left="720" w:hanging="357"/>
              <w:contextualSpacing w:val="0"/>
            </w:pPr>
            <w:r>
              <w:t>Bronchoconstriction measured by increase</w:t>
            </w:r>
            <w:r w:rsidR="00C8441D">
              <w:t>d</w:t>
            </w:r>
            <w:r>
              <w:t xml:space="preserve"> flow resistance or reduction in forced expiratory volumes</w:t>
            </w:r>
            <w:r w:rsidR="00C8441D">
              <w:t xml:space="preserve"> in once second</w:t>
            </w:r>
            <w:r>
              <w:t xml:space="preserve"> (FEV</w:t>
            </w:r>
            <w:r w:rsidRPr="00897126">
              <w:rPr>
                <w:vertAlign w:val="subscript"/>
              </w:rPr>
              <w:t>1</w:t>
            </w:r>
            <w:r w:rsidR="00C8441D" w:rsidRPr="00C8441D">
              <w:t>)</w:t>
            </w:r>
          </w:p>
          <w:p w14:paraId="6B47B856" w14:textId="1957A13B" w:rsidR="00A82872" w:rsidRDefault="00A82872" w:rsidP="00897126">
            <w:pPr>
              <w:pStyle w:val="ListBullet"/>
              <w:spacing w:before="60" w:after="60"/>
              <w:ind w:left="720" w:hanging="357"/>
              <w:contextualSpacing w:val="0"/>
            </w:pPr>
            <w:r>
              <w:t xml:space="preserve">Acute symptoms and bronchoconstriction effects demonstrated to be associated with exposure and exercise at 0.5 ppm and 0.4 ppm in subjects with asthma but not at 0.25 ppm </w:t>
            </w:r>
          </w:p>
          <w:p w14:paraId="0FFDC0EF" w14:textId="59740CB2" w:rsidR="00187332" w:rsidRDefault="00187332" w:rsidP="00897126">
            <w:pPr>
              <w:pStyle w:val="ListBullet"/>
              <w:spacing w:before="60" w:after="60"/>
              <w:ind w:left="720" w:hanging="357"/>
              <w:contextualSpacing w:val="0"/>
            </w:pPr>
            <w:r>
              <w:t xml:space="preserve">Epidemiological studies indicate chronic respiratory lung symptoms with </w:t>
            </w:r>
            <w:r w:rsidR="009C53F4">
              <w:t>long-term exposure between 20</w:t>
            </w:r>
            <w:r w:rsidR="00BC6CC0">
              <w:t>–</w:t>
            </w:r>
            <w:r w:rsidR="009C53F4">
              <w:t>30 ppm</w:t>
            </w:r>
            <w:r>
              <w:t xml:space="preserve"> </w:t>
            </w:r>
          </w:p>
          <w:p w14:paraId="5F702C50" w14:textId="57CD61F0" w:rsidR="00314060" w:rsidRDefault="00314060" w:rsidP="00897126">
            <w:pPr>
              <w:pStyle w:val="ListBullet"/>
              <w:spacing w:before="60" w:after="60"/>
              <w:ind w:left="720" w:hanging="357"/>
              <w:contextualSpacing w:val="0"/>
            </w:pPr>
            <w:r>
              <w:t xml:space="preserve">Loss of smell and taste, fatigue, chronic rhinitis, coughs and increased mucous expectoration noted in refrigeration workers </w:t>
            </w:r>
            <w:r w:rsidR="00627CBF">
              <w:t xml:space="preserve">regularly exposed </w:t>
            </w:r>
            <w:r w:rsidR="00901210">
              <w:t>at</w:t>
            </w:r>
            <w:r w:rsidR="00627CBF">
              <w:t xml:space="preserve"> &gt;5 ppm (with excursion levels </w:t>
            </w:r>
            <w:r w:rsidR="00575BD3">
              <w:t>&gt;</w:t>
            </w:r>
            <w:r w:rsidR="00627CBF">
              <w:t>60 ppm)</w:t>
            </w:r>
          </w:p>
          <w:p w14:paraId="2D04FBBD" w14:textId="5417DE02" w:rsidR="000275C5" w:rsidRDefault="00D26F43" w:rsidP="00897126">
            <w:pPr>
              <w:pStyle w:val="ListBullet"/>
              <w:spacing w:before="60" w:after="60"/>
              <w:ind w:left="720" w:hanging="357"/>
              <w:contextualSpacing w:val="0"/>
            </w:pPr>
            <w:r>
              <w:t xml:space="preserve">Acute exposures &gt;40 ppm </w:t>
            </w:r>
            <w:r w:rsidR="007B190C">
              <w:t xml:space="preserve">for 3.5 h led to fatalities and partially reversible </w:t>
            </w:r>
            <w:r w:rsidR="00BC6CC0">
              <w:t xml:space="preserve">chronic obstructive pulmonary disease </w:t>
            </w:r>
          </w:p>
          <w:p w14:paraId="3EA7D42F" w14:textId="3B8020E3" w:rsidR="007B190C" w:rsidRDefault="00D33C4F" w:rsidP="00897126">
            <w:pPr>
              <w:pStyle w:val="ListBullet"/>
              <w:spacing w:before="60" w:after="60"/>
              <w:ind w:left="720" w:hanging="357"/>
              <w:contextualSpacing w:val="0"/>
            </w:pPr>
            <w:r>
              <w:t>Transient increase in lysozyme positive macrophages noted in bronchoalveolar lavage fluids after exposure to 4 ppm for 20 min</w:t>
            </w:r>
          </w:p>
          <w:p w14:paraId="3D7A8187" w14:textId="7D33197D" w:rsidR="00D8491A" w:rsidRDefault="00D8491A" w:rsidP="00897126">
            <w:pPr>
              <w:pStyle w:val="ListBullet"/>
              <w:spacing w:before="60" w:after="60"/>
              <w:ind w:left="720" w:hanging="357"/>
              <w:contextualSpacing w:val="0"/>
            </w:pPr>
            <w:r>
              <w:t xml:space="preserve">No difference in frequency of white blood cell structure changes in </w:t>
            </w:r>
            <w:r w:rsidR="008E1B21">
              <w:t>8</w:t>
            </w:r>
            <w:r>
              <w:t xml:space="preserve"> foundry workers exposed </w:t>
            </w:r>
            <w:r w:rsidR="00901210">
              <w:t xml:space="preserve">at </w:t>
            </w:r>
            <w:r>
              <w:t>average 1 ppm</w:t>
            </w:r>
            <w:r w:rsidR="008E1B21">
              <w:t xml:space="preserve"> /d</w:t>
            </w:r>
            <w:r>
              <w:t xml:space="preserve"> compared with </w:t>
            </w:r>
            <w:r w:rsidR="008E1B21">
              <w:t>8</w:t>
            </w:r>
            <w:r>
              <w:t xml:space="preserve"> controls.</w:t>
            </w:r>
          </w:p>
          <w:p w14:paraId="0E64EC21" w14:textId="0D191240" w:rsidR="000572DF" w:rsidRPr="00D8491A" w:rsidRDefault="000572DF" w:rsidP="00085BF2">
            <w:pPr>
              <w:pStyle w:val="Tabletextprimarysource"/>
            </w:pPr>
            <w:r w:rsidRPr="00D8491A">
              <w:t>Animal data:</w:t>
            </w:r>
          </w:p>
          <w:p w14:paraId="4B16CA01" w14:textId="761D225A" w:rsidR="000572DF" w:rsidRPr="00D8491A" w:rsidRDefault="00442BFF" w:rsidP="00897126">
            <w:pPr>
              <w:pStyle w:val="ListBullet"/>
              <w:spacing w:before="60" w:after="60"/>
              <w:ind w:left="720" w:hanging="357"/>
              <w:contextualSpacing w:val="0"/>
            </w:pPr>
            <w:r w:rsidRPr="00D8491A">
              <w:t>LC</w:t>
            </w:r>
            <w:r w:rsidRPr="00D8491A">
              <w:rPr>
                <w:vertAlign w:val="subscript"/>
              </w:rPr>
              <w:t>50</w:t>
            </w:r>
            <w:r w:rsidR="00B8798E">
              <w:t>:</w:t>
            </w:r>
            <w:r w:rsidRPr="00D8491A">
              <w:t xml:space="preserve"> 150 ppm (mice, 847 h) </w:t>
            </w:r>
          </w:p>
          <w:p w14:paraId="531439C0" w14:textId="519A9400" w:rsidR="00442BFF" w:rsidRPr="00723377" w:rsidRDefault="00442BFF" w:rsidP="00897126">
            <w:pPr>
              <w:pStyle w:val="ListBullet"/>
              <w:spacing w:before="60" w:after="60"/>
              <w:ind w:left="720" w:hanging="357"/>
              <w:contextualSpacing w:val="0"/>
            </w:pPr>
            <w:r w:rsidRPr="00723377">
              <w:t>LC</w:t>
            </w:r>
            <w:r w:rsidRPr="00723377">
              <w:rPr>
                <w:vertAlign w:val="subscript"/>
              </w:rPr>
              <w:t>50</w:t>
            </w:r>
            <w:r w:rsidR="00B8798E" w:rsidRPr="00723377">
              <w:t>:</w:t>
            </w:r>
            <w:r w:rsidRPr="00723377">
              <w:t xml:space="preserve"> 130 ppm (guinea pigs, 154 h) </w:t>
            </w:r>
          </w:p>
          <w:p w14:paraId="5E8AD004" w14:textId="0B4C4F9D" w:rsidR="00442BFF" w:rsidRPr="00D8491A" w:rsidRDefault="00442BFF" w:rsidP="00897126">
            <w:pPr>
              <w:pStyle w:val="ListBullet"/>
              <w:spacing w:before="60" w:after="60"/>
              <w:ind w:left="720" w:hanging="357"/>
              <w:contextualSpacing w:val="0"/>
            </w:pPr>
            <w:r w:rsidRPr="00D8491A">
              <w:t xml:space="preserve">Toxicity noted to be </w:t>
            </w:r>
            <w:r w:rsidR="00895ED2" w:rsidRPr="00D8491A">
              <w:t>dependent</w:t>
            </w:r>
            <w:r w:rsidRPr="00D8491A">
              <w:t xml:space="preserve"> on humidity</w:t>
            </w:r>
          </w:p>
          <w:p w14:paraId="44CB17D9" w14:textId="56BBBDCC" w:rsidR="00895ED2" w:rsidRPr="00D8491A" w:rsidRDefault="00895ED2" w:rsidP="00897126">
            <w:pPr>
              <w:pStyle w:val="ListBullet"/>
              <w:spacing w:before="60" w:after="60"/>
              <w:ind w:left="720" w:hanging="357"/>
              <w:contextualSpacing w:val="0"/>
            </w:pPr>
            <w:r w:rsidRPr="00D8491A">
              <w:t>Mucosal damage observed at 20 ppm (mice, 60 min)</w:t>
            </w:r>
          </w:p>
          <w:p w14:paraId="5CF0082F" w14:textId="42DCDFC0" w:rsidR="00895ED2" w:rsidRPr="00D8491A" w:rsidRDefault="00895ED2" w:rsidP="00897126">
            <w:pPr>
              <w:pStyle w:val="ListBullet"/>
              <w:spacing w:before="60" w:after="60"/>
              <w:ind w:left="720" w:hanging="357"/>
              <w:contextualSpacing w:val="0"/>
            </w:pPr>
            <w:r w:rsidRPr="00D8491A">
              <w:lastRenderedPageBreak/>
              <w:t>Repeated exposures</w:t>
            </w:r>
            <w:r w:rsidR="002279B5" w:rsidRPr="00D8491A">
              <w:t>,</w:t>
            </w:r>
            <w:r w:rsidRPr="00D8491A">
              <w:t xml:space="preserve"> in various tests</w:t>
            </w:r>
            <w:r w:rsidR="002279B5" w:rsidRPr="00D8491A">
              <w:t>,</w:t>
            </w:r>
            <w:r w:rsidRPr="00D8491A">
              <w:t xml:space="preserve"> produced thickening of mucosal layers of trachea </w:t>
            </w:r>
            <w:proofErr w:type="gramStart"/>
            <w:r w:rsidRPr="00D8491A">
              <w:t>similar to</w:t>
            </w:r>
            <w:proofErr w:type="gramEnd"/>
            <w:r w:rsidRPr="00D8491A">
              <w:t xml:space="preserve"> human chronic bronchitis</w:t>
            </w:r>
            <w:r w:rsidR="002279B5" w:rsidRPr="00D8491A">
              <w:t xml:space="preserve"> pathological changes</w:t>
            </w:r>
          </w:p>
          <w:p w14:paraId="718C2929" w14:textId="559F8EF9" w:rsidR="002279B5" w:rsidRPr="00D8491A" w:rsidRDefault="002279B5" w:rsidP="00897126">
            <w:pPr>
              <w:pStyle w:val="ListBullet"/>
              <w:spacing w:before="60" w:after="60"/>
              <w:ind w:left="720" w:hanging="357"/>
              <w:contextualSpacing w:val="0"/>
            </w:pPr>
            <w:r w:rsidRPr="00D8491A">
              <w:t>Alterations in mRNA expression of apoptosis related genes in livers at 5 ppm (rats, 6</w:t>
            </w:r>
            <w:r w:rsidR="00723377">
              <w:t xml:space="preserve"> </w:t>
            </w:r>
            <w:r w:rsidRPr="00D8491A">
              <w:t xml:space="preserve">h/d </w:t>
            </w:r>
            <w:r w:rsidR="00607FFC">
              <w:t>for</w:t>
            </w:r>
            <w:r w:rsidRPr="00D8491A">
              <w:t xml:space="preserve"> 7d)</w:t>
            </w:r>
          </w:p>
          <w:p w14:paraId="3E8F158E" w14:textId="76DA36E7" w:rsidR="00F37CAB" w:rsidRDefault="00345CD0" w:rsidP="00897126">
            <w:pPr>
              <w:pStyle w:val="ListBullet"/>
              <w:spacing w:before="60" w:after="60"/>
              <w:ind w:left="720" w:hanging="357"/>
              <w:contextualSpacing w:val="0"/>
            </w:pPr>
            <w:r w:rsidRPr="00D8491A">
              <w:t>Increased pulmonary flow resistance and lung compliance with continuous exposures to 5</w:t>
            </w:r>
            <w:r w:rsidR="00B8798E">
              <w:t> </w:t>
            </w:r>
            <w:r w:rsidRPr="00D8491A">
              <w:t>ppm (dogs, 225 d)</w:t>
            </w:r>
            <w:r w:rsidR="001C2629">
              <w:t>.</w:t>
            </w:r>
          </w:p>
          <w:p w14:paraId="0CE4D35D" w14:textId="2D48025B" w:rsidR="00D8491A" w:rsidRPr="00DA352E" w:rsidRDefault="00D8491A" w:rsidP="00607FF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C978F0" w:rsidRPr="00DA352E" w14:paraId="174F8B79" w14:textId="77777777" w:rsidTr="00AF067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4EAD16D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37E89">
                  <w:t>2012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437E89">
                  <w:t>MAK: 1 ppm (2.7 mg/m</w:t>
                </w:r>
                <w:r w:rsidR="00437E89" w:rsidRPr="00437E89">
                  <w:rPr>
                    <w:vertAlign w:val="superscript"/>
                  </w:rPr>
                  <w:t>3</w:t>
                </w:r>
                <w:r w:rsidR="00437E89">
                  <w:t>)</w:t>
                </w:r>
              </w:sdtContent>
            </w:sdt>
          </w:p>
        </w:tc>
      </w:tr>
      <w:tr w:rsidR="00C978F0" w:rsidRPr="00DA352E" w14:paraId="4433014F" w14:textId="77777777" w:rsidTr="00AF0672">
        <w:trPr>
          <w:gridAfter w:val="1"/>
          <w:wAfter w:w="8" w:type="pct"/>
        </w:trPr>
        <w:tc>
          <w:tcPr>
            <w:tcW w:w="4992" w:type="pct"/>
          </w:tcPr>
          <w:p w14:paraId="197EE67F" w14:textId="0F670A74" w:rsidR="00EE570B" w:rsidRDefault="00EE570B" w:rsidP="002C590C">
            <w:pPr>
              <w:pStyle w:val="Tabletextprimarysource"/>
            </w:pPr>
            <w:r>
              <w:t>MAK updated in 2012 based on additional human volunteer studies conducted in 2010</w:t>
            </w:r>
            <w:r w:rsidR="008E1B21">
              <w:t xml:space="preserve"> </w:t>
            </w:r>
            <w:r>
              <w:t xml:space="preserve">from previous </w:t>
            </w:r>
            <w:r w:rsidR="000227C4">
              <w:t xml:space="preserve">value (0.5 ppm, 1998) </w:t>
            </w:r>
            <w:r>
              <w:t xml:space="preserve">due to </w:t>
            </w:r>
            <w:r w:rsidR="00237891">
              <w:t xml:space="preserve">exposure </w:t>
            </w:r>
            <w:r>
              <w:t xml:space="preserve">conclusions </w:t>
            </w:r>
            <w:r w:rsidR="000227C4">
              <w:t xml:space="preserve">being </w:t>
            </w:r>
            <w:r>
              <w:t xml:space="preserve">based on mouth breathing </w:t>
            </w:r>
            <w:r w:rsidR="00237891">
              <w:t>studies</w:t>
            </w:r>
            <w:r>
              <w:t xml:space="preserve"> (same as ACGIH) </w:t>
            </w:r>
            <w:r w:rsidR="00237891">
              <w:t xml:space="preserve">determined to be less representative of actual exposures </w:t>
            </w:r>
            <w:r w:rsidR="000227C4">
              <w:t xml:space="preserve">with </w:t>
            </w:r>
            <w:r w:rsidR="00237891">
              <w:t xml:space="preserve">identified nasal absorption </w:t>
            </w:r>
            <w:r w:rsidR="000227C4">
              <w:t xml:space="preserve">reduction in health </w:t>
            </w:r>
            <w:r w:rsidR="00237891">
              <w:t>effects.</w:t>
            </w:r>
            <w:r w:rsidR="00F375E9">
              <w:t xml:space="preserve"> </w:t>
            </w:r>
          </w:p>
          <w:p w14:paraId="0C539BC1" w14:textId="63198F43" w:rsidR="005117E7" w:rsidRPr="005117E7" w:rsidRDefault="005117E7" w:rsidP="005117E7">
            <w:pPr>
              <w:pStyle w:val="Tabletextprimarysource"/>
            </w:pPr>
            <w:r w:rsidRPr="005117E7">
              <w:t xml:space="preserve">Summary of </w:t>
            </w:r>
            <w:r>
              <w:t xml:space="preserve">additional </w:t>
            </w:r>
            <w:r w:rsidRPr="005117E7">
              <w:t>data:</w:t>
            </w:r>
          </w:p>
          <w:p w14:paraId="4B79C714" w14:textId="3A297F81" w:rsidR="002C590C" w:rsidRDefault="002C590C" w:rsidP="002C590C">
            <w:pPr>
              <w:pStyle w:val="Tabletextprimarysource"/>
            </w:pPr>
            <w:r>
              <w:t>Human data:</w:t>
            </w:r>
          </w:p>
          <w:p w14:paraId="539D6AF1" w14:textId="5C27B1F7" w:rsidR="00D07BFE" w:rsidRDefault="00D07BFE" w:rsidP="00897126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Breathing restriction in </w:t>
            </w:r>
            <w:r w:rsidRPr="00F375E9">
              <w:t>asthmatic</w:t>
            </w:r>
            <w:r>
              <w:t xml:space="preserve"> individuals is impacted by depth and volume of respiration and less related to concentration</w:t>
            </w:r>
          </w:p>
          <w:p w14:paraId="19465142" w14:textId="000F24C3" w:rsidR="00D07BFE" w:rsidRDefault="00D07BFE" w:rsidP="00897126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Studies indicate 90% </w:t>
            </w:r>
            <w:r w:rsidR="00607FFC">
              <w:t>SO</w:t>
            </w:r>
            <w:r w:rsidR="00607FFC" w:rsidRPr="00607FFC">
              <w:rPr>
                <w:vertAlign w:val="subscript"/>
              </w:rPr>
              <w:t>2</w:t>
            </w:r>
            <w:r>
              <w:t xml:space="preserve"> is removed during nasal breathing</w:t>
            </w:r>
          </w:p>
          <w:p w14:paraId="3FA1638C" w14:textId="298CCFB9" w:rsidR="000227C4" w:rsidRDefault="00723377" w:rsidP="00897126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</w:t>
            </w:r>
            <w:r w:rsidR="00B1026C">
              <w:t xml:space="preserve">sensory irritation (nose or eyes), impaired lung function or increased nasal resistance reported in </w:t>
            </w:r>
            <w:r w:rsidR="000227C4">
              <w:t xml:space="preserve">16 volunteers exposed </w:t>
            </w:r>
            <w:r w:rsidR="00901210">
              <w:t xml:space="preserve">at </w:t>
            </w:r>
            <w:r w:rsidR="00B1026C">
              <w:t>0, 0.5 or 2</w:t>
            </w:r>
            <w:r>
              <w:t xml:space="preserve"> </w:t>
            </w:r>
            <w:r w:rsidR="00B1026C">
              <w:t>ppm for 4 h (induced exertion)</w:t>
            </w:r>
            <w:r w:rsidR="009F6FC3">
              <w:t>.</w:t>
            </w:r>
          </w:p>
          <w:p w14:paraId="0377134A" w14:textId="77777777" w:rsidR="002C590C" w:rsidRDefault="002C590C" w:rsidP="00085BF2">
            <w:pPr>
              <w:pStyle w:val="Tabletextprimarysource"/>
            </w:pPr>
            <w:r>
              <w:t>Animal data:</w:t>
            </w:r>
          </w:p>
          <w:p w14:paraId="0A2BAA8B" w14:textId="7824A8AA" w:rsidR="002C590C" w:rsidRDefault="008E1B21" w:rsidP="0089712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</w:t>
            </w:r>
            <w:r w:rsidR="00EF58D1">
              <w:t xml:space="preserve">ore effectively </w:t>
            </w:r>
            <w:r w:rsidR="00237891">
              <w:t xml:space="preserve">removed </w:t>
            </w:r>
            <w:r w:rsidR="00EF58D1">
              <w:t>via nose than mouth alone</w:t>
            </w:r>
            <w:r w:rsidR="00237891">
              <w:t xml:space="preserve"> confirmed in dogs </w:t>
            </w:r>
          </w:p>
          <w:p w14:paraId="178759F3" w14:textId="5D1C01C2" w:rsidR="00237891" w:rsidRDefault="00082A17" w:rsidP="00897126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embryotoxic or teratogenic effects in CF-1 mice </w:t>
            </w:r>
            <w:r w:rsidR="00D55069">
              <w:t>exposed</w:t>
            </w:r>
            <w:r w:rsidR="00901210">
              <w:t xml:space="preserve"> at</w:t>
            </w:r>
            <w:r w:rsidR="00D55069">
              <w:t xml:space="preserve"> 25 ppm, on </w:t>
            </w:r>
            <w:r w:rsidR="008E1B21">
              <w:t>GD</w:t>
            </w:r>
            <w:r w:rsidR="00D55069">
              <w:t xml:space="preserve"> 6</w:t>
            </w:r>
            <w:r w:rsidR="00A64839">
              <w:t>–</w:t>
            </w:r>
            <w:r w:rsidR="00D55069">
              <w:t xml:space="preserve">15 </w:t>
            </w:r>
          </w:p>
          <w:p w14:paraId="121AF73A" w14:textId="4887E223" w:rsidR="008A60FA" w:rsidRDefault="008A60FA" w:rsidP="00897126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embryotoxic or teratogenic effects in rabbits exposed </w:t>
            </w:r>
            <w:r w:rsidR="00897126">
              <w:t>at</w:t>
            </w:r>
            <w:r>
              <w:t xml:space="preserve"> 70 ppm on </w:t>
            </w:r>
            <w:r w:rsidR="008E1B21">
              <w:t>GD</w:t>
            </w:r>
            <w:r>
              <w:t xml:space="preserve"> 6-18 (7 h/d)</w:t>
            </w:r>
          </w:p>
          <w:p w14:paraId="5C6A82B2" w14:textId="7E85B40A" w:rsidR="00897126" w:rsidRDefault="00D55069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Average foetal </w:t>
            </w:r>
            <w:r w:rsidR="000D4273">
              <w:t xml:space="preserve">body weight </w:t>
            </w:r>
            <w:r>
              <w:t>reduced in mice (1.05</w:t>
            </w:r>
            <w:r w:rsidR="00417C93">
              <w:t xml:space="preserve"> </w:t>
            </w:r>
            <w:r>
              <w:t>g</w:t>
            </w:r>
            <w:r w:rsidR="00417C93">
              <w:t>–</w:t>
            </w:r>
            <w:r>
              <w:t>1.00</w:t>
            </w:r>
            <w:r w:rsidR="00417C93">
              <w:t xml:space="preserve"> </w:t>
            </w:r>
            <w:r>
              <w:t>g)</w:t>
            </w:r>
            <w:r w:rsidR="00BC6CC0">
              <w:t>:</w:t>
            </w:r>
          </w:p>
          <w:p w14:paraId="201241D9" w14:textId="2129D203" w:rsidR="00C978F0" w:rsidRDefault="008A60FA" w:rsidP="00897126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>no changes in rabbit offspring</w:t>
            </w:r>
            <w:r w:rsidR="001C2629">
              <w:t>.</w:t>
            </w:r>
          </w:p>
          <w:p w14:paraId="61A64F09" w14:textId="361A0A84" w:rsidR="00897126" w:rsidRPr="00DA352E" w:rsidRDefault="00897126" w:rsidP="00897126">
            <w:pPr>
              <w:pStyle w:val="ListBullet"/>
              <w:numPr>
                <w:ilvl w:val="0"/>
                <w:numId w:val="0"/>
              </w:numPr>
              <w:spacing w:before="60" w:after="60"/>
              <w:ind w:left="4330" w:hanging="360"/>
              <w:contextualSpacing w:val="0"/>
            </w:pPr>
          </w:p>
        </w:tc>
      </w:tr>
      <w:tr w:rsidR="00C978F0" w:rsidRPr="00DA352E" w14:paraId="0E6A0B2C" w14:textId="77777777" w:rsidTr="00AF067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7F5FF9BE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37E89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437E89" w:rsidRPr="00437E89">
                  <w:t>TWA</w:t>
                </w:r>
                <w:r w:rsidR="00437E89">
                  <w:t>: 0.5 ppm (1.3 mg/m</w:t>
                </w:r>
                <w:r w:rsidR="00437E89" w:rsidRPr="00437E89">
                  <w:rPr>
                    <w:vertAlign w:val="superscript"/>
                  </w:rPr>
                  <w:t>3</w:t>
                </w:r>
                <w:r w:rsidR="00437E89">
                  <w:t xml:space="preserve">); </w:t>
                </w:r>
                <w:r w:rsidR="00437E89" w:rsidRPr="00437E89">
                  <w:t>STEL</w:t>
                </w:r>
                <w:r w:rsidR="00437E89">
                  <w:t>: 1.0 ppm (2.7 mg/m</w:t>
                </w:r>
                <w:r w:rsidR="00437E89" w:rsidRPr="00437E89">
                  <w:rPr>
                    <w:vertAlign w:val="superscript"/>
                  </w:rPr>
                  <w:t>3</w:t>
                </w:r>
                <w:r w:rsidR="00437E89">
                  <w:t>)</w:t>
                </w:r>
              </w:sdtContent>
            </w:sdt>
          </w:p>
        </w:tc>
      </w:tr>
      <w:tr w:rsidR="00C978F0" w:rsidRPr="00DA352E" w14:paraId="2008D281" w14:textId="77777777" w:rsidTr="00AF0672">
        <w:trPr>
          <w:gridAfter w:val="1"/>
          <w:wAfter w:w="8" w:type="pct"/>
        </w:trPr>
        <w:tc>
          <w:tcPr>
            <w:tcW w:w="4992" w:type="pct"/>
          </w:tcPr>
          <w:p w14:paraId="270C298A" w14:textId="7B378A72" w:rsidR="00200C80" w:rsidRDefault="00252873" w:rsidP="00A10F65">
            <w:pPr>
              <w:pStyle w:val="Tabletextprimarysource"/>
            </w:pPr>
            <w:r>
              <w:t xml:space="preserve">TWA recommended based on </w:t>
            </w:r>
            <w:r w:rsidR="00240048">
              <w:t xml:space="preserve">observed </w:t>
            </w:r>
            <w:r w:rsidR="00200C80">
              <w:t xml:space="preserve">effects on lung function in healthy people with additional reduction </w:t>
            </w:r>
            <w:r w:rsidR="00F5476D">
              <w:t>for</w:t>
            </w:r>
            <w:r w:rsidR="00240048">
              <w:t xml:space="preserve"> </w:t>
            </w:r>
            <w:r w:rsidR="00200C80">
              <w:t xml:space="preserve">individuals with compromised lung function. </w:t>
            </w:r>
          </w:p>
          <w:p w14:paraId="0CC23552" w14:textId="3F5AB695" w:rsidR="00200C80" w:rsidRDefault="00200C80" w:rsidP="00A10F65">
            <w:pPr>
              <w:pStyle w:val="Tabletextprimarysource"/>
            </w:pPr>
            <w:r>
              <w:t>STEL recommended to limit peak exposures causing irritation.</w:t>
            </w:r>
          </w:p>
          <w:p w14:paraId="0FF277F3" w14:textId="161B4FCB" w:rsidR="00A10F65" w:rsidRDefault="006C2BD8" w:rsidP="00A10F65">
            <w:pPr>
              <w:pStyle w:val="Tabletextprimarysource"/>
            </w:pPr>
            <w:r>
              <w:t xml:space="preserve">No epidemiological evidence </w:t>
            </w:r>
            <w:r w:rsidR="00252873">
              <w:t xml:space="preserve">as a promoter of </w:t>
            </w:r>
            <w:r>
              <w:t>carcinogenes</w:t>
            </w:r>
            <w:r w:rsidR="00252873">
              <w:t>is.</w:t>
            </w:r>
          </w:p>
          <w:p w14:paraId="6F05DAD1" w14:textId="1A46247C" w:rsidR="00A10F65" w:rsidRDefault="00A10F65" w:rsidP="00A10F65">
            <w:pPr>
              <w:pStyle w:val="Tabletextprimarysource"/>
            </w:pPr>
            <w:r>
              <w:t>No skin notation considered necessary.</w:t>
            </w:r>
          </w:p>
          <w:p w14:paraId="1803AADD" w14:textId="77777777" w:rsidR="005117E7" w:rsidRPr="005117E7" w:rsidRDefault="005117E7" w:rsidP="005117E7">
            <w:pPr>
              <w:pStyle w:val="Tabletextprimarysource"/>
            </w:pPr>
            <w:r w:rsidRPr="005117E7">
              <w:t xml:space="preserve">Summary of </w:t>
            </w:r>
            <w:r>
              <w:t xml:space="preserve">additional </w:t>
            </w:r>
            <w:r w:rsidRPr="005117E7">
              <w:t>data:</w:t>
            </w:r>
          </w:p>
          <w:p w14:paraId="0F56AEAA" w14:textId="599D6CA0" w:rsidR="00A10F65" w:rsidRPr="00A10F65" w:rsidRDefault="00A10F65" w:rsidP="00A10F65">
            <w:pPr>
              <w:pStyle w:val="Tabletextprimarysource"/>
            </w:pPr>
            <w:r w:rsidRPr="00A10F65">
              <w:t>Human data:</w:t>
            </w:r>
          </w:p>
          <w:p w14:paraId="12B24996" w14:textId="353903FD" w:rsidR="00B01B6D" w:rsidRDefault="00B01B6D" w:rsidP="0089712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Inhalation causes react</w:t>
            </w:r>
            <w:r w:rsidR="00F5476D">
              <w:t>ion</w:t>
            </w:r>
            <w:r>
              <w:t xml:space="preserve"> with mucosa to form sulphurous acids</w:t>
            </w:r>
          </w:p>
          <w:p w14:paraId="63D9F439" w14:textId="6A58EDB9" w:rsidR="00897126" w:rsidRDefault="006C2B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Lung function changes in human volunteer studies exposed </w:t>
            </w:r>
            <w:r w:rsidR="00897126">
              <w:t>at</w:t>
            </w:r>
            <w:r>
              <w:t xml:space="preserve"> 1 ppm</w:t>
            </w:r>
            <w:r w:rsidR="00BC6CC0">
              <w:t>:</w:t>
            </w:r>
            <w:r>
              <w:t xml:space="preserve"> </w:t>
            </w:r>
          </w:p>
          <w:p w14:paraId="35211994" w14:textId="3A54D772" w:rsidR="006C2BD8" w:rsidRDefault="006C2BD8" w:rsidP="00897126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 xml:space="preserve">considered LOAEL </w:t>
            </w:r>
          </w:p>
          <w:p w14:paraId="15E7EA40" w14:textId="7A88E6FD" w:rsidR="00D94582" w:rsidRDefault="00D94582" w:rsidP="00897126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Asthmatics unlikely to experience adverse effects </w:t>
            </w:r>
            <w:r w:rsidR="00F5476D">
              <w:rPr>
                <w:rFonts w:cs="Arial"/>
              </w:rPr>
              <w:t>≤</w:t>
            </w:r>
            <w:r>
              <w:t>0.75 ppm under normal working conditions</w:t>
            </w:r>
            <w:r w:rsidR="00575BD3">
              <w:t xml:space="preserve"> (studies ranged from 1</w:t>
            </w:r>
            <w:r w:rsidR="00901210">
              <w:t>–</w:t>
            </w:r>
            <w:r w:rsidR="00575BD3">
              <w:t>6 h).</w:t>
            </w:r>
          </w:p>
          <w:p w14:paraId="1D710304" w14:textId="77777777" w:rsidR="00252873" w:rsidRDefault="00252873" w:rsidP="00085BF2">
            <w:pPr>
              <w:pStyle w:val="Tabletextprimarysource"/>
            </w:pPr>
            <w:r>
              <w:t>Animal data:</w:t>
            </w:r>
          </w:p>
          <w:p w14:paraId="275207B8" w14:textId="77777777" w:rsidR="00C978F0" w:rsidRDefault="00252873" w:rsidP="0089712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Mutagenicity tests in bacteria have positive results in non-human physiological conditions (DNA damage with pH changes)</w:t>
            </w:r>
            <w:r w:rsidR="001C2629">
              <w:t>.</w:t>
            </w:r>
          </w:p>
          <w:p w14:paraId="153B53C1" w14:textId="27B008E5" w:rsidR="001C2629" w:rsidRPr="00DA352E" w:rsidRDefault="001C2629" w:rsidP="008E1B21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DA352E" w:rsidRPr="00DA352E" w14:paraId="12BAB90D" w14:textId="77777777" w:rsidTr="00AF067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11B28AE0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437E8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437E89">
                  <w:t>NA</w:t>
                </w:r>
                <w:proofErr w:type="spellEnd"/>
              </w:sdtContent>
            </w:sdt>
          </w:p>
        </w:tc>
      </w:tr>
      <w:tr w:rsidR="00DA352E" w:rsidRPr="00DA352E" w14:paraId="33AAF4A6" w14:textId="77777777" w:rsidTr="00AF0672">
        <w:trPr>
          <w:gridAfter w:val="1"/>
          <w:wAfter w:w="8" w:type="pct"/>
        </w:trPr>
        <w:tc>
          <w:tcPr>
            <w:tcW w:w="4992" w:type="pct"/>
          </w:tcPr>
          <w:p w14:paraId="2059E4CB" w14:textId="4D52B745" w:rsidR="00DA352E" w:rsidRPr="00DA352E" w:rsidRDefault="00437E89" w:rsidP="003365A5">
            <w:pPr>
              <w:pStyle w:val="Tabletextprimarysource"/>
            </w:pPr>
            <w:r>
              <w:t>No report</w:t>
            </w:r>
            <w:r w:rsidR="00F5476D">
              <w:t>.</w:t>
            </w:r>
          </w:p>
        </w:tc>
      </w:tr>
      <w:tr w:rsidR="00DA352E" w:rsidRPr="00DA352E" w14:paraId="605F758C" w14:textId="77777777" w:rsidTr="00AF067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5FBE94E2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D31468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D31468">
                  <w:t xml:space="preserve">STEL: </w:t>
                </w:r>
                <w:r w:rsidR="00D31468" w:rsidRPr="00D31468">
                  <w:t>≈</w:t>
                </w:r>
                <w:r w:rsidR="00D31468">
                  <w:t>0.25 ppm (0.7 mg/m</w:t>
                </w:r>
                <w:r w:rsidR="00D31468" w:rsidRPr="00D31468">
                  <w:rPr>
                    <w:vertAlign w:val="superscript"/>
                  </w:rPr>
                  <w:t>3</w:t>
                </w:r>
                <w:r w:rsidR="00D31468">
                  <w:t>)</w:t>
                </w:r>
              </w:sdtContent>
            </w:sdt>
          </w:p>
        </w:tc>
      </w:tr>
      <w:tr w:rsidR="00DA352E" w:rsidRPr="00DA352E" w14:paraId="7050CB3E" w14:textId="77777777" w:rsidTr="00AF0672">
        <w:trPr>
          <w:gridAfter w:val="1"/>
          <w:wAfter w:w="8" w:type="pct"/>
        </w:trPr>
        <w:tc>
          <w:tcPr>
            <w:tcW w:w="4992" w:type="pct"/>
          </w:tcPr>
          <w:p w14:paraId="6F055391" w14:textId="0B333463" w:rsidR="00085BF2" w:rsidRDefault="00085BF2" w:rsidP="00C14328">
            <w:pPr>
              <w:pStyle w:val="Tabletextprimarysource"/>
            </w:pPr>
            <w:r>
              <w:t>STEL applied to prevent effects on respiratory tract</w:t>
            </w:r>
            <w:r w:rsidR="00BC6CC0">
              <w:t xml:space="preserve"> (</w:t>
            </w:r>
            <w:r>
              <w:t>nose and throat irritation and depressed lung function and increased airway resistance</w:t>
            </w:r>
            <w:r w:rsidR="00BC6CC0">
              <w:t>)</w:t>
            </w:r>
            <w:r>
              <w:t xml:space="preserve">. </w:t>
            </w:r>
          </w:p>
          <w:p w14:paraId="5B571BA1" w14:textId="611FC4DE" w:rsidR="00390F61" w:rsidRDefault="00390F61" w:rsidP="00C14328">
            <w:pPr>
              <w:pStyle w:val="Tabletextprimarysource"/>
            </w:pPr>
            <w:r>
              <w:t>Insuffi</w:t>
            </w:r>
            <w:r w:rsidR="00E412DA">
              <w:t>c</w:t>
            </w:r>
            <w:r>
              <w:t xml:space="preserve">ient evidence to support concentration-response </w:t>
            </w:r>
            <w:r w:rsidR="00E412DA">
              <w:t>relationship to determine TWA.</w:t>
            </w:r>
          </w:p>
          <w:p w14:paraId="7758F546" w14:textId="114B5D4E" w:rsidR="00C14328" w:rsidRDefault="00E412DA" w:rsidP="00C14328">
            <w:pPr>
              <w:pStyle w:val="Tabletextprimarysource"/>
            </w:pPr>
            <w:r>
              <w:t>Insufficient evidence to support carcinogenicity or skin notation</w:t>
            </w:r>
            <w:r w:rsidR="00C14328">
              <w:t>.</w:t>
            </w:r>
          </w:p>
          <w:p w14:paraId="2AC6703F" w14:textId="77777777" w:rsidR="00C14328" w:rsidRPr="00A10F65" w:rsidRDefault="00C14328" w:rsidP="00C14328">
            <w:pPr>
              <w:pStyle w:val="Tabletextprimarysource"/>
            </w:pPr>
            <w:r w:rsidRPr="00A10F65">
              <w:t>Human data:</w:t>
            </w:r>
          </w:p>
          <w:p w14:paraId="1085B5D0" w14:textId="1F66DE6B" w:rsidR="00DA352E" w:rsidRDefault="00C14328" w:rsidP="0089712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 identified as 2.0 mg/m</w:t>
            </w:r>
            <w:r w:rsidRPr="00B33D5D">
              <w:rPr>
                <w:vertAlign w:val="superscript"/>
              </w:rPr>
              <w:t>3</w:t>
            </w:r>
            <w:r>
              <w:t xml:space="preserve"> </w:t>
            </w:r>
            <w:r w:rsidR="005A1D9E">
              <w:t xml:space="preserve">(0.7 ppm) </w:t>
            </w:r>
            <w:r>
              <w:t>based</w:t>
            </w:r>
            <w:r w:rsidR="00832E65">
              <w:t xml:space="preserve"> on healthy volunteer studies with lung functions remaining normal</w:t>
            </w:r>
          </w:p>
          <w:p w14:paraId="486F7275" w14:textId="5113050F" w:rsidR="00390F61" w:rsidRDefault="00390F61" w:rsidP="00897126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NOAEL adjusted </w:t>
            </w:r>
            <w:r w:rsidR="00F5476D">
              <w:t>by 3 for</w:t>
            </w:r>
            <w:r>
              <w:t xml:space="preserve"> inter-individual differences.</w:t>
            </w:r>
          </w:p>
          <w:p w14:paraId="2FEAAB98" w14:textId="77777777" w:rsidR="00832E65" w:rsidRDefault="00832E65" w:rsidP="00832E65">
            <w:pPr>
              <w:pStyle w:val="Tabletextprimarysource"/>
            </w:pPr>
            <w:r>
              <w:t>Animal data:</w:t>
            </w:r>
          </w:p>
          <w:p w14:paraId="3178B662" w14:textId="5E3A8347" w:rsidR="00832E65" w:rsidRDefault="00F71DBB" w:rsidP="0089712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Enzyme changes noted in liver and blood studies</w:t>
            </w:r>
            <w:r w:rsidR="00A64839">
              <w:t>.</w:t>
            </w:r>
            <w:r>
              <w:t xml:space="preserve"> </w:t>
            </w:r>
            <w:r w:rsidR="00A64839">
              <w:t>H</w:t>
            </w:r>
            <w:r>
              <w:t>owever</w:t>
            </w:r>
            <w:r w:rsidR="00A64839">
              <w:t>,</w:t>
            </w:r>
            <w:r>
              <w:t xml:space="preserve"> q</w:t>
            </w:r>
            <w:r w:rsidR="00832E65">
              <w:t xml:space="preserve">uality of animal study records </w:t>
            </w:r>
            <w:r>
              <w:t>noted to be</w:t>
            </w:r>
            <w:r w:rsidR="00832E65">
              <w:t xml:space="preserve"> insufficient</w:t>
            </w:r>
            <w:r>
              <w:t xml:space="preserve"> </w:t>
            </w:r>
          </w:p>
          <w:p w14:paraId="249059EE" w14:textId="4E2BA277" w:rsidR="00F71DBB" w:rsidRDefault="00F71DBB" w:rsidP="0089712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concentration-response relationships could be established</w:t>
            </w:r>
          </w:p>
          <w:p w14:paraId="41C79DA0" w14:textId="77777777" w:rsidR="00832E65" w:rsidRDefault="00832E65" w:rsidP="0089712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Notes most animal studies are at significantly higher exposures</w:t>
            </w:r>
            <w:r w:rsidR="00F71DBB">
              <w:t xml:space="preserve"> (&gt;1,000 mg/m</w:t>
            </w:r>
            <w:r w:rsidR="00F71DBB" w:rsidRPr="00F71DBB">
              <w:rPr>
                <w:vertAlign w:val="superscript"/>
              </w:rPr>
              <w:t>3</w:t>
            </w:r>
            <w:r w:rsidR="00F71DBB">
              <w:t>)</w:t>
            </w:r>
          </w:p>
          <w:p w14:paraId="227A30A1" w14:textId="77777777" w:rsidR="00B33D5D" w:rsidRPr="00B33D5D" w:rsidRDefault="00B33D5D" w:rsidP="00897126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Chromosomal aberrations noted </w:t>
            </w:r>
            <w:r w:rsidRPr="00B33D5D">
              <w:rPr>
                <w:i/>
              </w:rPr>
              <w:t>in vitro</w:t>
            </w:r>
            <w:r>
              <w:rPr>
                <w:i/>
              </w:rPr>
              <w:t>,</w:t>
            </w:r>
            <w:r w:rsidRPr="00B33D5D">
              <w:t xml:space="preserve"> positive genotoxicity and mutagenicity results in bacteria in conditions not relevant to humans</w:t>
            </w:r>
            <w:r>
              <w:rPr>
                <w:i/>
              </w:rPr>
              <w:t>.</w:t>
            </w:r>
          </w:p>
          <w:p w14:paraId="492D7791" w14:textId="4C84ECB8" w:rsidR="00B33D5D" w:rsidRPr="00085BF2" w:rsidRDefault="00B33D5D" w:rsidP="00F5476D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6AE89AB3" w14:textId="77777777" w:rsidTr="00AF0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7214C13" w14:textId="77777777" w:rsidTr="00AF0672">
        <w:tc>
          <w:tcPr>
            <w:tcW w:w="1497" w:type="dxa"/>
          </w:tcPr>
          <w:p w14:paraId="4B3B2A83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4" w:type="dxa"/>
          </w:tcPr>
          <w:p w14:paraId="37DAB09E" w14:textId="577E67A2" w:rsidR="004966BF" w:rsidRPr="00CE617F" w:rsidRDefault="00AF067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8624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BB66CBF" w14:textId="65874590" w:rsidR="004966BF" w:rsidRPr="004C23F4" w:rsidRDefault="0098624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2015</w:t>
            </w:r>
          </w:p>
        </w:tc>
        <w:tc>
          <w:tcPr>
            <w:tcW w:w="6444" w:type="dxa"/>
          </w:tcPr>
          <w:p w14:paraId="277DFAE0" w14:textId="7FAB8A09" w:rsidR="001467A8" w:rsidRDefault="001467A8" w:rsidP="00897126">
            <w:pPr>
              <w:pStyle w:val="ListBullet"/>
              <w:tabs>
                <w:tab w:val="clear" w:pos="4330"/>
              </w:tabs>
              <w:spacing w:before="60" w:after="60"/>
              <w:ind w:left="572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Critical health effects identified as local corrosive effects on eyes, skin and respiratory tract</w:t>
            </w:r>
          </w:p>
          <w:p w14:paraId="7F6B327A" w14:textId="7F26708E" w:rsidR="00986242" w:rsidRDefault="00986242" w:rsidP="00897126">
            <w:pPr>
              <w:pStyle w:val="ListBullet"/>
              <w:spacing w:before="60" w:after="60"/>
              <w:ind w:left="572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Highly water-soluble gas, </w:t>
            </w:r>
            <w:r w:rsidRPr="00986242">
              <w:rPr>
                <w:rStyle w:val="checkbox"/>
                <w:rFonts w:ascii="Arial" w:hAnsi="Arial" w:cs="Arial"/>
              </w:rPr>
              <w:t>rapidly absorbed in the</w:t>
            </w:r>
            <w:r w:rsidR="00A64839">
              <w:rPr>
                <w:rStyle w:val="checkbox"/>
                <w:rFonts w:ascii="Arial" w:hAnsi="Arial" w:cs="Arial"/>
              </w:rPr>
              <w:t xml:space="preserve"> upper respiratory tract</w:t>
            </w:r>
            <w:r w:rsidRPr="00986242">
              <w:rPr>
                <w:rStyle w:val="checkbox"/>
                <w:rFonts w:ascii="Arial" w:hAnsi="Arial" w:cs="Arial"/>
              </w:rPr>
              <w:t xml:space="preserve">, with negligible quantities </w:t>
            </w:r>
            <w:r>
              <w:rPr>
                <w:rStyle w:val="checkbox"/>
                <w:rFonts w:ascii="Arial" w:hAnsi="Arial" w:cs="Arial"/>
              </w:rPr>
              <w:t>reaching deeper airways</w:t>
            </w:r>
          </w:p>
          <w:p w14:paraId="7B8D82DB" w14:textId="6E306916" w:rsidR="00986242" w:rsidRDefault="00986242" w:rsidP="00897126">
            <w:pPr>
              <w:pStyle w:val="ListBullet"/>
              <w:spacing w:before="60" w:after="60"/>
              <w:ind w:left="572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E</w:t>
            </w:r>
            <w:r w:rsidR="00FC037F">
              <w:rPr>
                <w:rStyle w:val="checkbox"/>
                <w:rFonts w:ascii="Arial" w:hAnsi="Arial" w:cs="Arial"/>
              </w:rPr>
              <w:t xml:space="preserve">ndogenous accumulation of </w:t>
            </w:r>
            <w:proofErr w:type="spellStart"/>
            <w:r w:rsidR="00FC037F">
              <w:rPr>
                <w:rStyle w:val="checkbox"/>
                <w:rFonts w:ascii="Arial" w:hAnsi="Arial" w:cs="Arial"/>
              </w:rPr>
              <w:t>sul</w:t>
            </w:r>
            <w:r w:rsidR="00F5476D">
              <w:rPr>
                <w:rStyle w:val="checkbox"/>
                <w:rFonts w:ascii="Arial" w:hAnsi="Arial" w:cs="Arial"/>
              </w:rPr>
              <w:t>f</w:t>
            </w:r>
            <w:r w:rsidRPr="00986242">
              <w:rPr>
                <w:rStyle w:val="checkbox"/>
                <w:rFonts w:ascii="Arial" w:hAnsi="Arial" w:cs="Arial"/>
              </w:rPr>
              <w:t>ite</w:t>
            </w:r>
            <w:proofErr w:type="spellEnd"/>
            <w:r w:rsidRPr="00986242">
              <w:rPr>
                <w:rStyle w:val="checkbox"/>
                <w:rFonts w:ascii="Arial" w:hAnsi="Arial" w:cs="Arial"/>
              </w:rPr>
              <w:t xml:space="preserve"> metabolites in the respiratory tract and in plasma of rats found to be less hazardous than the </w:t>
            </w:r>
            <w:r w:rsidR="00F5476D" w:rsidRPr="00986242">
              <w:rPr>
                <w:rStyle w:val="checkbox"/>
                <w:rFonts w:ascii="Arial" w:hAnsi="Arial" w:cs="Arial"/>
              </w:rPr>
              <w:t xml:space="preserve">inhaled </w:t>
            </w:r>
            <w:r w:rsidRPr="00986242">
              <w:rPr>
                <w:rStyle w:val="checkbox"/>
                <w:rFonts w:ascii="Arial" w:hAnsi="Arial" w:cs="Arial"/>
              </w:rPr>
              <w:t>effect</w:t>
            </w:r>
          </w:p>
          <w:p w14:paraId="542060FD" w14:textId="0FD5C248" w:rsidR="00FC037F" w:rsidRDefault="00FC037F" w:rsidP="00897126">
            <w:pPr>
              <w:pStyle w:val="ListBullet"/>
              <w:spacing w:before="60" w:after="60"/>
              <w:ind w:left="572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FC037F">
              <w:rPr>
                <w:rStyle w:val="checkbox"/>
                <w:rFonts w:ascii="Arial" w:hAnsi="Arial" w:cs="Arial"/>
              </w:rPr>
              <w:t xml:space="preserve">Multiple non-guideline </w:t>
            </w:r>
            <w:r>
              <w:rPr>
                <w:rStyle w:val="checkbox"/>
                <w:rFonts w:ascii="Arial" w:hAnsi="Arial" w:cs="Arial"/>
              </w:rPr>
              <w:t xml:space="preserve">animal </w:t>
            </w:r>
            <w:r w:rsidRPr="00FC037F">
              <w:rPr>
                <w:rStyle w:val="checkbox"/>
                <w:rFonts w:ascii="Arial" w:hAnsi="Arial" w:cs="Arial"/>
              </w:rPr>
              <w:t xml:space="preserve">studies exposed to various durations and concentrations </w:t>
            </w:r>
            <w:r w:rsidRPr="005117E7">
              <w:rPr>
                <w:rStyle w:val="checkbox"/>
                <w:rFonts w:ascii="Arial" w:hAnsi="Arial" w:cs="Arial"/>
                <w:i/>
              </w:rPr>
              <w:t>via</w:t>
            </w:r>
            <w:r w:rsidRPr="00FC037F">
              <w:rPr>
                <w:rStyle w:val="checkbox"/>
                <w:rFonts w:ascii="Arial" w:hAnsi="Arial" w:cs="Arial"/>
              </w:rPr>
              <w:t xml:space="preserve"> inhalation demonstrated a high retention (&gt;95%) in upper airways (nose, mouth and pharynx), w</w:t>
            </w:r>
            <w:r>
              <w:rPr>
                <w:rStyle w:val="checkbox"/>
                <w:rFonts w:ascii="Arial" w:hAnsi="Arial" w:cs="Arial"/>
              </w:rPr>
              <w:t>ith</w:t>
            </w:r>
            <w:r w:rsidRPr="00FC037F">
              <w:rPr>
                <w:rStyle w:val="checkbox"/>
                <w:rFonts w:ascii="Arial" w:hAnsi="Arial" w:cs="Arial"/>
              </w:rPr>
              <w:t xml:space="preserve"> </w:t>
            </w:r>
            <w:r w:rsidR="004F6303">
              <w:rPr>
                <w:rStyle w:val="checkbox"/>
                <w:rFonts w:ascii="Arial" w:hAnsi="Arial" w:cs="Arial"/>
              </w:rPr>
              <w:t>≈</w:t>
            </w:r>
            <w:r w:rsidRPr="00FC037F">
              <w:rPr>
                <w:rStyle w:val="checkbox"/>
                <w:rFonts w:ascii="Arial" w:hAnsi="Arial" w:cs="Arial"/>
              </w:rPr>
              <w:t>1</w:t>
            </w:r>
            <w:r w:rsidR="004F6303">
              <w:rPr>
                <w:rStyle w:val="checkbox"/>
                <w:rFonts w:ascii="Arial" w:hAnsi="Arial" w:cs="Arial"/>
              </w:rPr>
              <w:t>–</w:t>
            </w:r>
            <w:r w:rsidRPr="00FC037F">
              <w:rPr>
                <w:rStyle w:val="checkbox"/>
                <w:rFonts w:ascii="Arial" w:hAnsi="Arial" w:cs="Arial"/>
              </w:rPr>
              <w:t xml:space="preserve">5% of the initially inhaled </w:t>
            </w:r>
            <w:r>
              <w:rPr>
                <w:rStyle w:val="checkbox"/>
                <w:rFonts w:ascii="Arial" w:hAnsi="Arial" w:cs="Arial"/>
              </w:rPr>
              <w:t>volumes</w:t>
            </w:r>
            <w:r w:rsidRPr="00FC037F">
              <w:rPr>
                <w:rStyle w:val="checkbox"/>
                <w:rFonts w:ascii="Arial" w:hAnsi="Arial" w:cs="Arial"/>
              </w:rPr>
              <w:t xml:space="preserve"> reach</w:t>
            </w:r>
            <w:r>
              <w:rPr>
                <w:rStyle w:val="checkbox"/>
                <w:rFonts w:ascii="Arial" w:hAnsi="Arial" w:cs="Arial"/>
              </w:rPr>
              <w:t>ing</w:t>
            </w:r>
            <w:r w:rsidRPr="00FC037F">
              <w:rPr>
                <w:rStyle w:val="checkbox"/>
                <w:rFonts w:ascii="Arial" w:hAnsi="Arial" w:cs="Arial"/>
              </w:rPr>
              <w:t xml:space="preserve"> the tracheal region</w:t>
            </w:r>
            <w:r>
              <w:rPr>
                <w:rStyle w:val="checkbox"/>
                <w:rFonts w:ascii="Arial" w:hAnsi="Arial" w:cs="Arial"/>
              </w:rPr>
              <w:t>s</w:t>
            </w:r>
          </w:p>
          <w:p w14:paraId="2608C49A" w14:textId="77777777" w:rsidR="001467A8" w:rsidRDefault="001467A8" w:rsidP="00897126">
            <w:pPr>
              <w:pStyle w:val="ListBullet"/>
              <w:tabs>
                <w:tab w:val="clear" w:pos="4330"/>
              </w:tabs>
              <w:spacing w:before="60" w:after="60"/>
              <w:ind w:left="572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Insufficient data for respiratory sensitisation classification</w:t>
            </w:r>
          </w:p>
          <w:p w14:paraId="0076C2F1" w14:textId="7C037B4A" w:rsidR="001467A8" w:rsidRPr="004C23F4" w:rsidRDefault="001467A8" w:rsidP="00897126">
            <w:pPr>
              <w:pStyle w:val="ListBullet"/>
              <w:tabs>
                <w:tab w:val="clear" w:pos="4330"/>
              </w:tabs>
              <w:spacing w:before="60" w:after="60"/>
              <w:ind w:left="572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Potential genotoxic effects, however insufficient data to warrant classification</w:t>
            </w:r>
            <w:r w:rsidR="00F5476D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5B6AED63" w14:textId="77777777" w:rsidTr="00AF0672">
        <w:tc>
          <w:tcPr>
            <w:tcW w:w="1497" w:type="dxa"/>
          </w:tcPr>
          <w:p w14:paraId="01321F42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4" w:type="dxa"/>
          </w:tcPr>
          <w:p w14:paraId="7AE5C94A" w14:textId="29F88410" w:rsidR="004966BF" w:rsidRPr="00CE617F" w:rsidRDefault="00AF067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846E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C68236E" w14:textId="5AB64ED9" w:rsidR="004966BF" w:rsidRPr="004C23F4" w:rsidRDefault="004846E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2001</w:t>
            </w:r>
          </w:p>
        </w:tc>
        <w:tc>
          <w:tcPr>
            <w:tcW w:w="6444" w:type="dxa"/>
          </w:tcPr>
          <w:p w14:paraId="6E99C54D" w14:textId="2C9DBBBF" w:rsidR="000D6467" w:rsidRDefault="000D6467" w:rsidP="00897126">
            <w:pPr>
              <w:pStyle w:val="ListBullet"/>
              <w:tabs>
                <w:tab w:val="clear" w:pos="4330"/>
              </w:tabs>
              <w:spacing w:before="60" w:after="60"/>
              <w:ind w:left="572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Data suggests cold dry air in the presence of other particulates </w:t>
            </w:r>
            <w:r w:rsidR="00BD70DA">
              <w:rPr>
                <w:rStyle w:val="checkbox"/>
                <w:rFonts w:ascii="Arial" w:hAnsi="Arial" w:cs="Arial"/>
              </w:rPr>
              <w:t xml:space="preserve">with oral breathing (over nasal) may enhance the toxic effects </w:t>
            </w:r>
          </w:p>
          <w:p w14:paraId="2224089B" w14:textId="2350159F" w:rsidR="004846EA" w:rsidRPr="00F5476D" w:rsidRDefault="00BD70DA" w:rsidP="00897126">
            <w:pPr>
              <w:pStyle w:val="ListBullet"/>
              <w:tabs>
                <w:tab w:val="clear" w:pos="4330"/>
              </w:tabs>
              <w:spacing w:before="60" w:after="60"/>
              <w:ind w:left="572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0.25 ppm anticipated to be likely threshold for bronchoconstriction in asthmatics with exposure to 0.5 ppm likely to require medication or cessation of activities</w:t>
            </w:r>
            <w:r w:rsidR="00A04378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61B5CF9D" w14:textId="77777777" w:rsidTr="00AF0672">
        <w:tc>
          <w:tcPr>
            <w:tcW w:w="1497" w:type="dxa"/>
          </w:tcPr>
          <w:p w14:paraId="3021C8F4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4" w:type="dxa"/>
          </w:tcPr>
          <w:p w14:paraId="1B271840" w14:textId="22DAB885" w:rsidR="004966BF" w:rsidRPr="00CE617F" w:rsidRDefault="00AF067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11F21">
                  <w:rPr>
                    <w:rStyle w:val="checkbox"/>
                  </w:rPr>
                  <w:t></w:t>
                </w:r>
              </w:sdtContent>
            </w:sdt>
          </w:p>
        </w:tc>
        <w:tc>
          <w:tcPr>
            <w:tcW w:w="661" w:type="dxa"/>
          </w:tcPr>
          <w:p w14:paraId="45DA2066" w14:textId="6F6E36C1" w:rsidR="004966BF" w:rsidRPr="004C23F4" w:rsidRDefault="00D11F2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2020</w:t>
            </w:r>
          </w:p>
        </w:tc>
        <w:tc>
          <w:tcPr>
            <w:tcW w:w="6444" w:type="dxa"/>
          </w:tcPr>
          <w:p w14:paraId="5C19B807" w14:textId="2BCB0E6C" w:rsidR="004966BF" w:rsidRPr="004C23F4" w:rsidRDefault="00D11F2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</w:t>
            </w:r>
            <w:r w:rsidR="00B8798E">
              <w:rPr>
                <w:rStyle w:val="checkbox"/>
                <w:rFonts w:ascii="Arial" w:hAnsi="Arial" w:cs="Arial"/>
              </w:rPr>
              <w:t>o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="00F5476D">
              <w:rPr>
                <w:rStyle w:val="checkbox"/>
                <w:rFonts w:ascii="Arial" w:hAnsi="Arial" w:cs="Arial"/>
              </w:rPr>
              <w:t>further</w:t>
            </w:r>
            <w:r>
              <w:rPr>
                <w:rStyle w:val="checkbox"/>
                <w:rFonts w:ascii="Arial" w:hAnsi="Arial" w:cs="Arial"/>
              </w:rPr>
              <w:t xml:space="preserve"> information</w:t>
            </w:r>
            <w:r w:rsidR="00575BD3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1EE94A37" w14:textId="77777777" w:rsidTr="00AF0672">
        <w:tc>
          <w:tcPr>
            <w:tcW w:w="1497" w:type="dxa"/>
          </w:tcPr>
          <w:p w14:paraId="16EAA988" w14:textId="77777777" w:rsidR="004966BF" w:rsidRPr="004C23F4" w:rsidRDefault="004966BF" w:rsidP="00224EE2">
            <w:pPr>
              <w:pStyle w:val="Tablefont"/>
            </w:pPr>
            <w:r>
              <w:lastRenderedPageBreak/>
              <w:t>OECD</w:t>
            </w:r>
          </w:p>
        </w:tc>
        <w:tc>
          <w:tcPr>
            <w:tcW w:w="424" w:type="dxa"/>
          </w:tcPr>
          <w:p w14:paraId="437684AC" w14:textId="51D628A7" w:rsidR="004966BF" w:rsidRPr="00CE617F" w:rsidRDefault="00AF067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11F21">
                  <w:rPr>
                    <w:rStyle w:val="checkbox"/>
                  </w:rPr>
                  <w:t></w:t>
                </w:r>
              </w:sdtContent>
            </w:sdt>
          </w:p>
        </w:tc>
        <w:tc>
          <w:tcPr>
            <w:tcW w:w="661" w:type="dxa"/>
          </w:tcPr>
          <w:p w14:paraId="34CC9227" w14:textId="7B9320DC" w:rsidR="004966BF" w:rsidRPr="004C23F4" w:rsidRDefault="00D11F2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44" w:type="dxa"/>
          </w:tcPr>
          <w:p w14:paraId="270FA994" w14:textId="27F513B0" w:rsidR="004966BF" w:rsidRPr="004C23F4" w:rsidRDefault="00B8798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</w:t>
            </w:r>
            <w:r w:rsidR="00D11F21">
              <w:rPr>
                <w:rStyle w:val="checkbox"/>
                <w:rFonts w:ascii="Arial" w:hAnsi="Arial" w:cs="Arial"/>
              </w:rPr>
              <w:t xml:space="preserve"> </w:t>
            </w:r>
            <w:r w:rsidR="00F5476D">
              <w:rPr>
                <w:rStyle w:val="checkbox"/>
                <w:rFonts w:ascii="Arial" w:hAnsi="Arial" w:cs="Arial"/>
              </w:rPr>
              <w:t>further</w:t>
            </w:r>
            <w:r w:rsidR="00D11F21">
              <w:rPr>
                <w:rStyle w:val="checkbox"/>
                <w:rFonts w:ascii="Arial" w:hAnsi="Arial" w:cs="Arial"/>
              </w:rPr>
              <w:t xml:space="preserve"> information</w:t>
            </w:r>
            <w:r w:rsidR="00575BD3">
              <w:rPr>
                <w:rStyle w:val="checkbox"/>
                <w:rFonts w:ascii="Arial" w:hAnsi="Arial" w:cs="Arial"/>
              </w:rPr>
              <w:t>.</w:t>
            </w:r>
          </w:p>
        </w:tc>
      </w:tr>
    </w:tbl>
    <w:p w14:paraId="21C7ACE5" w14:textId="77777777" w:rsidR="007E2A4B" w:rsidRDefault="007E2A4B"/>
    <w:bookmarkEnd w:id="0"/>
    <w:p w14:paraId="04408E29" w14:textId="77777777" w:rsidR="007E2A4B" w:rsidRDefault="007E2A4B" w:rsidP="00897126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28EBB70" w14:textId="77777777" w:rsidTr="00D6379C">
        <w:trPr>
          <w:trHeight w:val="454"/>
          <w:tblHeader/>
        </w:trPr>
        <w:tc>
          <w:tcPr>
            <w:tcW w:w="6603" w:type="dxa"/>
            <w:vAlign w:val="center"/>
          </w:tcPr>
          <w:p w14:paraId="3B9A5A84" w14:textId="77777777" w:rsidR="002E0D61" w:rsidRDefault="00B1422A" w:rsidP="00897126">
            <w:pPr>
              <w:pStyle w:val="Tablefont"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B8F4675" w14:textId="7C33A30C" w:rsidR="002E0D61" w:rsidRDefault="00D11F21" w:rsidP="00897126">
                <w:pPr>
                  <w:pStyle w:val="Tablefont"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618A4C0" w14:textId="77777777" w:rsidTr="00D6379C">
        <w:trPr>
          <w:trHeight w:val="454"/>
        </w:trPr>
        <w:tc>
          <w:tcPr>
            <w:tcW w:w="6603" w:type="dxa"/>
            <w:vAlign w:val="center"/>
          </w:tcPr>
          <w:p w14:paraId="28B995B9" w14:textId="77777777" w:rsidR="008A36CF" w:rsidRDefault="008A36CF" w:rsidP="00897126">
            <w:pPr>
              <w:pStyle w:val="Tablefont"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72B1B278" w14:textId="4BDD3E58" w:rsidR="008A36CF" w:rsidRDefault="00DB5635" w:rsidP="00897126">
                <w:pPr>
                  <w:pStyle w:val="Tablefont"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97126" w14:paraId="4D6DDFA3" w14:textId="77777777" w:rsidTr="00434E15">
        <w:trPr>
          <w:trHeight w:val="454"/>
        </w:trPr>
        <w:sdt>
          <w:sdtPr>
            <w:rPr>
              <w:b/>
            </w:rPr>
            <w:id w:val="1830936485"/>
            <w:placeholder>
              <w:docPart w:val="165FEC67D9E9430FAE3CB553A3B2856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18F36B73" w14:textId="535723DE" w:rsidR="00897126" w:rsidRDefault="00897126" w:rsidP="00897126">
                <w:pPr>
                  <w:pStyle w:val="Tablefont"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AF0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AF0672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5AC910F1" w:rsidR="00687890" w:rsidRPr="00DD2F9B" w:rsidRDefault="00437E89" w:rsidP="00DD2F9B">
            <w:pPr>
              <w:pStyle w:val="Tablefont"/>
            </w:pPr>
            <w:r w:rsidRPr="00437E89">
              <w:t>—</w:t>
            </w:r>
          </w:p>
        </w:tc>
      </w:tr>
      <w:tr w:rsidR="007925F0" w:rsidRPr="004C23F4" w14:paraId="2A0C13EF" w14:textId="77777777" w:rsidTr="00AF0672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04550C36" w:rsidR="007925F0" w:rsidRPr="00DD2F9B" w:rsidRDefault="00437E89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C1044B3" w14:textId="77777777" w:rsidTr="00AF0672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5F03DDA0" w:rsidR="00AF483F" w:rsidRPr="00DD2F9B" w:rsidRDefault="00437E89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AF0672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6C298985" w:rsidR="00687890" w:rsidRPr="00DD2F9B" w:rsidRDefault="00437E89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AF0672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65F50161" w:rsidR="00E41A26" w:rsidRPr="00DD2F9B" w:rsidRDefault="00437E8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A490EF" w14:textId="77777777" w:rsidTr="00AF0672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1AA5DE4A" w:rsidR="002E0D61" w:rsidRPr="00DD2F9B" w:rsidRDefault="00437E89" w:rsidP="00DD2F9B">
            <w:pPr>
              <w:pStyle w:val="Tablefont"/>
            </w:pPr>
            <w:r w:rsidRPr="00437E89">
              <w:t>Carcinogenicity – A4</w:t>
            </w:r>
          </w:p>
        </w:tc>
      </w:tr>
      <w:tr w:rsidR="002E0D61" w:rsidRPr="004C23F4" w14:paraId="43FA3590" w14:textId="77777777" w:rsidTr="00AF0672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0B819DE7" w:rsidR="002E0D61" w:rsidRPr="00DD2F9B" w:rsidRDefault="00437E89" w:rsidP="00DD2F9B">
            <w:pPr>
              <w:pStyle w:val="Tablefont"/>
            </w:pPr>
            <w:r w:rsidRPr="00437E89">
              <w:t>—</w:t>
            </w:r>
          </w:p>
        </w:tc>
      </w:tr>
      <w:tr w:rsidR="002E0D61" w:rsidRPr="004C23F4" w14:paraId="2AC7B866" w14:textId="77777777" w:rsidTr="00AF0672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02C67E15" w:rsidR="002E0D61" w:rsidRPr="00DD2F9B" w:rsidRDefault="00437E89" w:rsidP="00DD2F9B">
            <w:pPr>
              <w:pStyle w:val="Tablefont"/>
            </w:pPr>
            <w:r w:rsidRPr="00437E89">
              <w:t>—</w:t>
            </w:r>
          </w:p>
        </w:tc>
      </w:tr>
      <w:tr w:rsidR="002E0D61" w:rsidRPr="004C23F4" w14:paraId="1BE6EC07" w14:textId="77777777" w:rsidTr="00AF0672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14779B22" w:rsidR="002E0D61" w:rsidRPr="00DD2F9B" w:rsidRDefault="00D31468" w:rsidP="00DD2F9B">
            <w:pPr>
              <w:pStyle w:val="Tablefont"/>
            </w:pPr>
            <w:r w:rsidRPr="00D31468">
              <w:t>Carcinogenicity – category 3</w:t>
            </w:r>
          </w:p>
        </w:tc>
      </w:tr>
      <w:tr w:rsidR="00386093" w:rsidRPr="004C23F4" w14:paraId="5F6A6A8E" w14:textId="77777777" w:rsidTr="00AF0672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594CC274" w:rsidR="00386093" w:rsidRPr="00DD2F9B" w:rsidRDefault="00D3146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AF0672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07ABF425" w:rsidR="00386093" w:rsidRPr="00DD2F9B" w:rsidRDefault="00D31468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bookmarkStart w:id="4" w:name="_GoBack"/>
            <w:bookmarkEnd w:id="4"/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329D664C" w14:textId="2C1E5FC3" w:rsidR="00932DCE" w:rsidRPr="004C23F4" w:rsidRDefault="00DB5635" w:rsidP="00F9496B">
            <w:pPr>
              <w:pStyle w:val="Tablefont"/>
            </w:pPr>
            <w:r w:rsidRPr="00EA0DA8">
              <w:t>Insufficient data to assign a skin notation</w:t>
            </w:r>
            <w:r w:rsidR="00897126">
              <w:t>.</w:t>
            </w:r>
          </w:p>
        </w:tc>
      </w:tr>
    </w:tbl>
    <w:bookmarkEnd w:id="3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718C5386" w:rsidR="00EB3D1B" w:rsidRDefault="00D31468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16D4EF07" w:rsidR="001B79E5" w:rsidRDefault="00D31468" w:rsidP="001B79E5">
                <w:pPr>
                  <w:pStyle w:val="Tablefont"/>
                </w:pPr>
                <w:r w:rsidRPr="00D31468">
                  <w:t>64.06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2AC11D0B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D31468">
                  <w:t>2.62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D31468">
                  <w:t>0.38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6E346D29" w:rsidR="00687890" w:rsidRPr="004C23F4" w:rsidRDefault="00D6379C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AF0672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0A0CDD37" w:rsidR="008E4F1F" w:rsidRDefault="008E4F1F" w:rsidP="008E4F1F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D31468">
        <w:t>2013</w:t>
      </w:r>
      <w:r>
        <w:t xml:space="preserve">) </w:t>
      </w:r>
      <w:proofErr w:type="spellStart"/>
      <w:r w:rsidR="00D31468" w:rsidRPr="00D31468">
        <w:t>Sulfur</w:t>
      </w:r>
      <w:proofErr w:type="spellEnd"/>
      <w:r w:rsidR="00D31468" w:rsidRPr="00D31468">
        <w:t xml:space="preserve"> dioxide</w:t>
      </w:r>
      <w:r>
        <w:t xml:space="preserve"> – MAK value documentation.</w:t>
      </w:r>
    </w:p>
    <w:p w14:paraId="3A4FF805" w14:textId="3F4D7CCF" w:rsidR="008E4F1F" w:rsidRDefault="008E4F1F" w:rsidP="008E4F1F">
      <w:pPr>
        <w:rPr>
          <w:b/>
        </w:rPr>
      </w:pPr>
      <w:r w:rsidRPr="002022B6">
        <w:t>EU Scientific Committee on Occupational Exposure Limits (SCOEL)</w:t>
      </w:r>
      <w:r>
        <w:t xml:space="preserve"> (</w:t>
      </w:r>
      <w:r w:rsidR="00D31468" w:rsidRPr="00D31468">
        <w:t>2009</w:t>
      </w:r>
      <w:r>
        <w:t xml:space="preserve">) Recommendation from the Scientific Committee on Occupational Exposure Limits for </w:t>
      </w:r>
      <w:r w:rsidR="00D31468" w:rsidRPr="00D31468">
        <w:t>Sulphur Dioxide</w:t>
      </w:r>
      <w:r>
        <w:t>. SCOEL/</w:t>
      </w:r>
      <w:r w:rsidR="00D31468" w:rsidRPr="00D31468">
        <w:t>SUM/27</w:t>
      </w:r>
      <w:r>
        <w:t>.</w:t>
      </w:r>
    </w:p>
    <w:p w14:paraId="62D22E8D" w14:textId="77777777" w:rsidR="00575BD3" w:rsidRPr="00E461B8" w:rsidRDefault="00575BD3" w:rsidP="00575BD3">
      <w:r w:rsidRPr="00E461B8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28EAA9C1" w14:textId="3D973C71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D31468">
        <w:t>2003</w:t>
      </w:r>
      <w:r>
        <w:t xml:space="preserve">) </w:t>
      </w:r>
      <w:r w:rsidR="00D31468" w:rsidRPr="00D31468">
        <w:t>Sulphur dioxide</w:t>
      </w:r>
      <w:r w:rsidRPr="005F7416">
        <w:t xml:space="preserve">. Health-based calculated occupational cancer risk values. The Hague: Health Council of the Netherlands; publication no. </w:t>
      </w:r>
      <w:r w:rsidR="00D31468" w:rsidRPr="00D31468">
        <w:t>2003/08OSH</w:t>
      </w:r>
      <w:r>
        <w:t>.</w:t>
      </w:r>
    </w:p>
    <w:p w14:paraId="417B0753" w14:textId="6E5AFD26" w:rsidR="008E4F1F" w:rsidRDefault="00DB5635" w:rsidP="00084859">
      <w:r w:rsidRPr="00DB5635">
        <w:t>National Industrial Chemicals Notification and Assessment Scheme (NICNAS) (201</w:t>
      </w:r>
      <w:r>
        <w:t>5</w:t>
      </w:r>
      <w:r w:rsidRPr="00DB5635">
        <w:t xml:space="preserve">) </w:t>
      </w:r>
      <w:proofErr w:type="spellStart"/>
      <w:r>
        <w:t>Sulfur</w:t>
      </w:r>
      <w:proofErr w:type="spellEnd"/>
      <w:r>
        <w:t xml:space="preserve"> dioxide</w:t>
      </w:r>
      <w:r w:rsidRPr="00DB5635">
        <w:t>: Human health tier II assessment – IMAP report.</w:t>
      </w:r>
    </w:p>
    <w:p w14:paraId="33AE9F81" w14:textId="57567B75" w:rsidR="00575BD3" w:rsidRDefault="00575BD3" w:rsidP="00084859">
      <w:r w:rsidRPr="00E819F5">
        <w:t>Organisation for Economic Cooperation and Development (OECD) (</w:t>
      </w:r>
      <w:r>
        <w:t>2019</w:t>
      </w:r>
      <w:r w:rsidRPr="00E819F5">
        <w:t xml:space="preserve">) SIDS initial assessment profile – </w:t>
      </w:r>
      <w:proofErr w:type="spellStart"/>
      <w:r>
        <w:t>Sulfur</w:t>
      </w:r>
      <w:proofErr w:type="spellEnd"/>
      <w:r>
        <w:t xml:space="preserve"> dioxide.</w:t>
      </w:r>
    </w:p>
    <w:p w14:paraId="6110D0FA" w14:textId="77777777" w:rsidR="00B8798E" w:rsidRDefault="00DB5635" w:rsidP="00B8798E">
      <w:r w:rsidRPr="00DB5635">
        <w:t>US Environmental Protection Authority (US EPA) (</w:t>
      </w:r>
      <w:r w:rsidR="005353F0">
        <w:t>2010</w:t>
      </w:r>
      <w:r w:rsidRPr="00DB5635">
        <w:t xml:space="preserve">) </w:t>
      </w:r>
      <w:proofErr w:type="spellStart"/>
      <w:r w:rsidR="005353F0">
        <w:t>Sulfur</w:t>
      </w:r>
      <w:proofErr w:type="spellEnd"/>
      <w:r w:rsidR="005353F0">
        <w:t xml:space="preserve"> Dioxide - Acute Exposure Guideline Levels for Selected Airborne Chemicals: Volume 8</w:t>
      </w:r>
      <w:r w:rsidRPr="00DB5635">
        <w:t>.</w:t>
      </w:r>
      <w:r w:rsidR="00B8798E" w:rsidRPr="00B8798E">
        <w:t xml:space="preserve"> </w:t>
      </w:r>
    </w:p>
    <w:p w14:paraId="14C69540" w14:textId="5949034F" w:rsidR="00B8798E" w:rsidRDefault="00B8798E" w:rsidP="00B8798E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r w:rsidRPr="00D31468">
        <w:t>1994</w:t>
      </w:r>
      <w:r>
        <w:t xml:space="preserve">) Immediately dangerous to life or health concentrations – </w:t>
      </w:r>
      <w:proofErr w:type="spellStart"/>
      <w:r w:rsidRPr="00D31468">
        <w:t>Sulfur</w:t>
      </w:r>
      <w:proofErr w:type="spellEnd"/>
      <w:r w:rsidRPr="00D31468">
        <w:t xml:space="preserve"> dioxide</w:t>
      </w:r>
      <w:r>
        <w:t>.</w:t>
      </w:r>
    </w:p>
    <w:p w14:paraId="3BD9697C" w14:textId="1368F221" w:rsidR="00DB5635" w:rsidRPr="00351FE0" w:rsidRDefault="00DB5635" w:rsidP="005353F0"/>
    <w:sectPr w:rsidR="00DB5635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49D97" w16cex:dateUtc="2020-03-24T06:54:00Z"/>
  <w16cex:commentExtensible w16cex:durableId="22249ED8" w16cex:dateUtc="2020-03-24T06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EC79F" w14:textId="77777777" w:rsidR="008D0943" w:rsidRDefault="008D0943" w:rsidP="00F43AD5">
      <w:pPr>
        <w:spacing w:after="0" w:line="240" w:lineRule="auto"/>
      </w:pPr>
      <w:r>
        <w:separator/>
      </w:r>
    </w:p>
  </w:endnote>
  <w:endnote w:type="continuationSeparator" w:id="0">
    <w:p w14:paraId="6FD0F05A" w14:textId="77777777" w:rsidR="008D0943" w:rsidRDefault="008D0943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B223" w14:textId="77777777" w:rsidR="00AF0672" w:rsidRDefault="00AF0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7DF786B3" w:rsidR="00FC037F" w:rsidRDefault="00FC037F" w:rsidP="0034744C">
        <w:pPr>
          <w:pStyle w:val="Footer"/>
          <w:rPr>
            <w:sz w:val="18"/>
            <w:szCs w:val="18"/>
          </w:rPr>
        </w:pPr>
        <w:proofErr w:type="spellStart"/>
        <w:r w:rsidRPr="00437E89">
          <w:rPr>
            <w:b/>
            <w:sz w:val="18"/>
            <w:szCs w:val="18"/>
          </w:rPr>
          <w:t>Sul</w:t>
        </w:r>
        <w:r w:rsidR="00B8798E">
          <w:rPr>
            <w:b/>
            <w:sz w:val="18"/>
            <w:szCs w:val="18"/>
          </w:rPr>
          <w:t>f</w:t>
        </w:r>
        <w:r w:rsidRPr="00437E89">
          <w:rPr>
            <w:b/>
            <w:sz w:val="18"/>
            <w:szCs w:val="18"/>
          </w:rPr>
          <w:t>ur</w:t>
        </w:r>
        <w:proofErr w:type="spellEnd"/>
        <w:r w:rsidRPr="00437E89">
          <w:rPr>
            <w:b/>
            <w:sz w:val="18"/>
            <w:szCs w:val="18"/>
          </w:rPr>
          <w:t xml:space="preserve"> dioxide</w:t>
        </w:r>
        <w:r>
          <w:rPr>
            <w:b/>
            <w:sz w:val="18"/>
            <w:szCs w:val="18"/>
          </w:rPr>
          <w:t xml:space="preserve"> (</w:t>
        </w:r>
        <w:r w:rsidRPr="00437E89">
          <w:rPr>
            <w:b/>
            <w:sz w:val="18"/>
            <w:szCs w:val="18"/>
          </w:rPr>
          <w:t>7446-09-5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 w:rsidR="00B8798E">
          <w:rPr>
            <w:sz w:val="18"/>
            <w:szCs w:val="18"/>
          </w:rPr>
          <w:t>20</w:t>
        </w:r>
      </w:p>
      <w:p w14:paraId="2D517F5E" w14:textId="20C24ED6" w:rsidR="00FC037F" w:rsidRPr="00F43AD5" w:rsidRDefault="00FC037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A82872">
          <w:rPr>
            <w:noProof/>
            <w:sz w:val="18"/>
            <w:szCs w:val="18"/>
          </w:rPr>
          <w:t>7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0793" w14:textId="77777777" w:rsidR="00AF0672" w:rsidRDefault="00AF0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D48EB" w14:textId="77777777" w:rsidR="008D0943" w:rsidRDefault="008D0943" w:rsidP="00F43AD5">
      <w:pPr>
        <w:spacing w:after="0" w:line="240" w:lineRule="auto"/>
      </w:pPr>
      <w:r>
        <w:separator/>
      </w:r>
    </w:p>
  </w:footnote>
  <w:footnote w:type="continuationSeparator" w:id="0">
    <w:p w14:paraId="4856F10F" w14:textId="77777777" w:rsidR="008D0943" w:rsidRDefault="008D0943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B43E" w14:textId="77777777" w:rsidR="00AF0672" w:rsidRDefault="00AF0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62C4F" w14:textId="63F2B672" w:rsidR="00AF0672" w:rsidRDefault="00AF0672" w:rsidP="00AF0672">
    <w:pPr>
      <w:pStyle w:val="Header"/>
      <w:jc w:val="right"/>
    </w:pPr>
    <w:r>
      <w:pict w14:anchorId="47F44F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2938EB3" wp14:editId="1D731B80">
          <wp:extent cx="2948305" cy="598805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079DB34D" w:rsidR="00FC037F" w:rsidRPr="00AF0672" w:rsidRDefault="00FC037F" w:rsidP="00AF06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97B89" w14:textId="77777777" w:rsidR="00AF0672" w:rsidRDefault="00AF067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25B4" w14:textId="76256DB1" w:rsidR="00AF0672" w:rsidRDefault="00AF0672" w:rsidP="00AF0672">
    <w:pPr>
      <w:pStyle w:val="Header"/>
      <w:jc w:val="right"/>
    </w:pPr>
    <w:r>
      <w:pict w14:anchorId="1FFB6A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B1EFB37" wp14:editId="15158895">
          <wp:extent cx="2948305" cy="598805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FC037F" w:rsidRDefault="00FC037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CB05D3A"/>
    <w:lvl w:ilvl="0">
      <w:start w:val="1"/>
      <w:numFmt w:val="bullet"/>
      <w:pStyle w:val="List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</w:abstractNum>
  <w:abstractNum w:abstractNumId="1" w15:restartNumberingAfterBreak="0">
    <w:nsid w:val="24DC4E09"/>
    <w:multiLevelType w:val="hybridMultilevel"/>
    <w:tmpl w:val="602869F8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27C4"/>
    <w:rsid w:val="000275C5"/>
    <w:rsid w:val="00032B88"/>
    <w:rsid w:val="00037E52"/>
    <w:rsid w:val="00046DF5"/>
    <w:rsid w:val="00052060"/>
    <w:rsid w:val="0005574A"/>
    <w:rsid w:val="00055FE1"/>
    <w:rsid w:val="00056EC2"/>
    <w:rsid w:val="000572DF"/>
    <w:rsid w:val="00060B48"/>
    <w:rsid w:val="00067F32"/>
    <w:rsid w:val="00071807"/>
    <w:rsid w:val="000803E1"/>
    <w:rsid w:val="00082A17"/>
    <w:rsid w:val="00084513"/>
    <w:rsid w:val="00084859"/>
    <w:rsid w:val="00085BF2"/>
    <w:rsid w:val="00092D94"/>
    <w:rsid w:val="000946D8"/>
    <w:rsid w:val="000B0868"/>
    <w:rsid w:val="000B3E12"/>
    <w:rsid w:val="000B3E78"/>
    <w:rsid w:val="000B7B48"/>
    <w:rsid w:val="000C096D"/>
    <w:rsid w:val="000C139A"/>
    <w:rsid w:val="000C1E15"/>
    <w:rsid w:val="000C2053"/>
    <w:rsid w:val="000C248C"/>
    <w:rsid w:val="000D0643"/>
    <w:rsid w:val="000D291C"/>
    <w:rsid w:val="000D4273"/>
    <w:rsid w:val="000D6467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7A8"/>
    <w:rsid w:val="00146B75"/>
    <w:rsid w:val="001517EC"/>
    <w:rsid w:val="0015266D"/>
    <w:rsid w:val="0015288A"/>
    <w:rsid w:val="001555FC"/>
    <w:rsid w:val="00155999"/>
    <w:rsid w:val="00160F47"/>
    <w:rsid w:val="00177CA1"/>
    <w:rsid w:val="00183823"/>
    <w:rsid w:val="00183942"/>
    <w:rsid w:val="00187332"/>
    <w:rsid w:val="001915F6"/>
    <w:rsid w:val="001A009E"/>
    <w:rsid w:val="001A1287"/>
    <w:rsid w:val="001A3859"/>
    <w:rsid w:val="001A3C9D"/>
    <w:rsid w:val="001A43F8"/>
    <w:rsid w:val="001B79E5"/>
    <w:rsid w:val="001C2629"/>
    <w:rsid w:val="001C570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0C80"/>
    <w:rsid w:val="002046A6"/>
    <w:rsid w:val="00204956"/>
    <w:rsid w:val="00213640"/>
    <w:rsid w:val="00221547"/>
    <w:rsid w:val="002216FC"/>
    <w:rsid w:val="00222533"/>
    <w:rsid w:val="00222F30"/>
    <w:rsid w:val="00224EE2"/>
    <w:rsid w:val="002279B5"/>
    <w:rsid w:val="00227EC7"/>
    <w:rsid w:val="00237891"/>
    <w:rsid w:val="00240048"/>
    <w:rsid w:val="00244AD1"/>
    <w:rsid w:val="002463BC"/>
    <w:rsid w:val="002465CE"/>
    <w:rsid w:val="00247A4D"/>
    <w:rsid w:val="00252873"/>
    <w:rsid w:val="0025734A"/>
    <w:rsid w:val="00263255"/>
    <w:rsid w:val="00276494"/>
    <w:rsid w:val="00277B0C"/>
    <w:rsid w:val="002834DD"/>
    <w:rsid w:val="00284869"/>
    <w:rsid w:val="002A42A1"/>
    <w:rsid w:val="002B1A2C"/>
    <w:rsid w:val="002B4FF5"/>
    <w:rsid w:val="002C34F2"/>
    <w:rsid w:val="002C58FF"/>
    <w:rsid w:val="002C590C"/>
    <w:rsid w:val="002C7AFE"/>
    <w:rsid w:val="002D05D2"/>
    <w:rsid w:val="002E0D61"/>
    <w:rsid w:val="002E4C7B"/>
    <w:rsid w:val="0030740C"/>
    <w:rsid w:val="00314060"/>
    <w:rsid w:val="00315833"/>
    <w:rsid w:val="003215EE"/>
    <w:rsid w:val="003224BF"/>
    <w:rsid w:val="00323AEB"/>
    <w:rsid w:val="003241A8"/>
    <w:rsid w:val="003253F0"/>
    <w:rsid w:val="003337DA"/>
    <w:rsid w:val="00334EFB"/>
    <w:rsid w:val="00335CDE"/>
    <w:rsid w:val="003365A5"/>
    <w:rsid w:val="00345CD0"/>
    <w:rsid w:val="00347192"/>
    <w:rsid w:val="0034744C"/>
    <w:rsid w:val="00351FE0"/>
    <w:rsid w:val="00352615"/>
    <w:rsid w:val="0035412B"/>
    <w:rsid w:val="003567A8"/>
    <w:rsid w:val="00362895"/>
    <w:rsid w:val="00370DBF"/>
    <w:rsid w:val="003801B8"/>
    <w:rsid w:val="00386093"/>
    <w:rsid w:val="003904A4"/>
    <w:rsid w:val="00390F61"/>
    <w:rsid w:val="00391841"/>
    <w:rsid w:val="00391B6D"/>
    <w:rsid w:val="00394922"/>
    <w:rsid w:val="0039676B"/>
    <w:rsid w:val="003A0E32"/>
    <w:rsid w:val="003A2B94"/>
    <w:rsid w:val="003B387D"/>
    <w:rsid w:val="003C0D58"/>
    <w:rsid w:val="003C0FF0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17C93"/>
    <w:rsid w:val="00420957"/>
    <w:rsid w:val="00422A10"/>
    <w:rsid w:val="00430179"/>
    <w:rsid w:val="00437E89"/>
    <w:rsid w:val="004414B5"/>
    <w:rsid w:val="00442BFF"/>
    <w:rsid w:val="00444482"/>
    <w:rsid w:val="00444B42"/>
    <w:rsid w:val="00445E44"/>
    <w:rsid w:val="004509E2"/>
    <w:rsid w:val="004515EE"/>
    <w:rsid w:val="004529F0"/>
    <w:rsid w:val="00460A03"/>
    <w:rsid w:val="00460DBF"/>
    <w:rsid w:val="00472A11"/>
    <w:rsid w:val="00472AAD"/>
    <w:rsid w:val="00474E33"/>
    <w:rsid w:val="00476803"/>
    <w:rsid w:val="004846EA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303"/>
    <w:rsid w:val="004F65E8"/>
    <w:rsid w:val="0050005E"/>
    <w:rsid w:val="00502B88"/>
    <w:rsid w:val="005117E7"/>
    <w:rsid w:val="005142C4"/>
    <w:rsid w:val="0051509C"/>
    <w:rsid w:val="005272E2"/>
    <w:rsid w:val="0053108F"/>
    <w:rsid w:val="00532B56"/>
    <w:rsid w:val="00534B10"/>
    <w:rsid w:val="005353F0"/>
    <w:rsid w:val="005446A2"/>
    <w:rsid w:val="00544D2F"/>
    <w:rsid w:val="0054507B"/>
    <w:rsid w:val="00551BD8"/>
    <w:rsid w:val="00564A41"/>
    <w:rsid w:val="00575BD3"/>
    <w:rsid w:val="00581055"/>
    <w:rsid w:val="005834E1"/>
    <w:rsid w:val="00591E38"/>
    <w:rsid w:val="00592228"/>
    <w:rsid w:val="005A19C5"/>
    <w:rsid w:val="005A1D9E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07FFC"/>
    <w:rsid w:val="00610F2E"/>
    <w:rsid w:val="00611399"/>
    <w:rsid w:val="00623DA9"/>
    <w:rsid w:val="00624C4E"/>
    <w:rsid w:val="00625200"/>
    <w:rsid w:val="00627CBF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2BD8"/>
    <w:rsid w:val="006D79EA"/>
    <w:rsid w:val="006E5D05"/>
    <w:rsid w:val="006E6C63"/>
    <w:rsid w:val="00701053"/>
    <w:rsid w:val="00701507"/>
    <w:rsid w:val="007068EE"/>
    <w:rsid w:val="00714021"/>
    <w:rsid w:val="00716A0F"/>
    <w:rsid w:val="00717D45"/>
    <w:rsid w:val="007208F7"/>
    <w:rsid w:val="007218AF"/>
    <w:rsid w:val="00723377"/>
    <w:rsid w:val="007365D1"/>
    <w:rsid w:val="00740E0E"/>
    <w:rsid w:val="00750212"/>
    <w:rsid w:val="00754779"/>
    <w:rsid w:val="0075716D"/>
    <w:rsid w:val="0076142D"/>
    <w:rsid w:val="00764C6C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90C"/>
    <w:rsid w:val="007B1B42"/>
    <w:rsid w:val="007B69F8"/>
    <w:rsid w:val="007C30EB"/>
    <w:rsid w:val="007E063C"/>
    <w:rsid w:val="007E2A4B"/>
    <w:rsid w:val="007E307D"/>
    <w:rsid w:val="007E5927"/>
    <w:rsid w:val="007E6A4E"/>
    <w:rsid w:val="007E6C94"/>
    <w:rsid w:val="007F1005"/>
    <w:rsid w:val="007F25E0"/>
    <w:rsid w:val="007F4F77"/>
    <w:rsid w:val="007F5328"/>
    <w:rsid w:val="00804F5A"/>
    <w:rsid w:val="00810C6D"/>
    <w:rsid w:val="00812887"/>
    <w:rsid w:val="00826F21"/>
    <w:rsid w:val="00832E65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64FD3"/>
    <w:rsid w:val="00871CD5"/>
    <w:rsid w:val="008729D8"/>
    <w:rsid w:val="00873453"/>
    <w:rsid w:val="008745A2"/>
    <w:rsid w:val="008768A8"/>
    <w:rsid w:val="0088798F"/>
    <w:rsid w:val="00887E4B"/>
    <w:rsid w:val="008915C8"/>
    <w:rsid w:val="00891992"/>
    <w:rsid w:val="00895ED2"/>
    <w:rsid w:val="00897126"/>
    <w:rsid w:val="008A36CF"/>
    <w:rsid w:val="008A3BC4"/>
    <w:rsid w:val="008A60FA"/>
    <w:rsid w:val="008B403C"/>
    <w:rsid w:val="008B7983"/>
    <w:rsid w:val="008C2511"/>
    <w:rsid w:val="008D026D"/>
    <w:rsid w:val="008D068A"/>
    <w:rsid w:val="008D0943"/>
    <w:rsid w:val="008D23AB"/>
    <w:rsid w:val="008D4B8B"/>
    <w:rsid w:val="008D5A78"/>
    <w:rsid w:val="008E1B21"/>
    <w:rsid w:val="008E4F1F"/>
    <w:rsid w:val="008E7B64"/>
    <w:rsid w:val="008F5DCD"/>
    <w:rsid w:val="00900951"/>
    <w:rsid w:val="00901210"/>
    <w:rsid w:val="009118A6"/>
    <w:rsid w:val="00913EE2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1F83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86242"/>
    <w:rsid w:val="0099303A"/>
    <w:rsid w:val="009971C2"/>
    <w:rsid w:val="009A1254"/>
    <w:rsid w:val="009A2F75"/>
    <w:rsid w:val="009B2FF2"/>
    <w:rsid w:val="009B380C"/>
    <w:rsid w:val="009B4843"/>
    <w:rsid w:val="009B6543"/>
    <w:rsid w:val="009B6CCF"/>
    <w:rsid w:val="009C199D"/>
    <w:rsid w:val="009C278F"/>
    <w:rsid w:val="009C2B94"/>
    <w:rsid w:val="009C53F4"/>
    <w:rsid w:val="009C5874"/>
    <w:rsid w:val="009D3B5A"/>
    <w:rsid w:val="009E0C05"/>
    <w:rsid w:val="009E0D1C"/>
    <w:rsid w:val="009E2214"/>
    <w:rsid w:val="009E355A"/>
    <w:rsid w:val="009E62BF"/>
    <w:rsid w:val="009E63E2"/>
    <w:rsid w:val="009F04D2"/>
    <w:rsid w:val="009F05CF"/>
    <w:rsid w:val="009F0F3A"/>
    <w:rsid w:val="009F6FC3"/>
    <w:rsid w:val="00A01D0C"/>
    <w:rsid w:val="00A04378"/>
    <w:rsid w:val="00A0643F"/>
    <w:rsid w:val="00A067EE"/>
    <w:rsid w:val="00A10F65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64839"/>
    <w:rsid w:val="00A82872"/>
    <w:rsid w:val="00A84504"/>
    <w:rsid w:val="00A8672F"/>
    <w:rsid w:val="00A93057"/>
    <w:rsid w:val="00A968B0"/>
    <w:rsid w:val="00AA2E5B"/>
    <w:rsid w:val="00AB2672"/>
    <w:rsid w:val="00AB2817"/>
    <w:rsid w:val="00AB43C4"/>
    <w:rsid w:val="00AC32E7"/>
    <w:rsid w:val="00AC3A9F"/>
    <w:rsid w:val="00AC6D2F"/>
    <w:rsid w:val="00AE2745"/>
    <w:rsid w:val="00AE2F64"/>
    <w:rsid w:val="00AF0672"/>
    <w:rsid w:val="00AF42CB"/>
    <w:rsid w:val="00AF483F"/>
    <w:rsid w:val="00AF5E07"/>
    <w:rsid w:val="00AF5F06"/>
    <w:rsid w:val="00B00A25"/>
    <w:rsid w:val="00B01B6D"/>
    <w:rsid w:val="00B1026C"/>
    <w:rsid w:val="00B1422A"/>
    <w:rsid w:val="00B1765C"/>
    <w:rsid w:val="00B213C4"/>
    <w:rsid w:val="00B33D5D"/>
    <w:rsid w:val="00B40C60"/>
    <w:rsid w:val="00B479A9"/>
    <w:rsid w:val="00B526DE"/>
    <w:rsid w:val="00B52EDF"/>
    <w:rsid w:val="00B552F1"/>
    <w:rsid w:val="00B71188"/>
    <w:rsid w:val="00B76A41"/>
    <w:rsid w:val="00B8798E"/>
    <w:rsid w:val="00B87D4C"/>
    <w:rsid w:val="00B87F3A"/>
    <w:rsid w:val="00B9103E"/>
    <w:rsid w:val="00B93646"/>
    <w:rsid w:val="00BA0B38"/>
    <w:rsid w:val="00BA1DBB"/>
    <w:rsid w:val="00BA4510"/>
    <w:rsid w:val="00BA529A"/>
    <w:rsid w:val="00BB612A"/>
    <w:rsid w:val="00BC6CC0"/>
    <w:rsid w:val="00BD499F"/>
    <w:rsid w:val="00BD56DE"/>
    <w:rsid w:val="00BD70DA"/>
    <w:rsid w:val="00BE03F7"/>
    <w:rsid w:val="00BF2406"/>
    <w:rsid w:val="00BF762F"/>
    <w:rsid w:val="00C03C70"/>
    <w:rsid w:val="00C06E43"/>
    <w:rsid w:val="00C14328"/>
    <w:rsid w:val="00C16315"/>
    <w:rsid w:val="00C258A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6ACE"/>
    <w:rsid w:val="00C8441D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07BFE"/>
    <w:rsid w:val="00D11F21"/>
    <w:rsid w:val="00D140FC"/>
    <w:rsid w:val="00D21351"/>
    <w:rsid w:val="00D21D8C"/>
    <w:rsid w:val="00D26F43"/>
    <w:rsid w:val="00D31357"/>
    <w:rsid w:val="00D31468"/>
    <w:rsid w:val="00D33220"/>
    <w:rsid w:val="00D334D1"/>
    <w:rsid w:val="00D33C4F"/>
    <w:rsid w:val="00D44C89"/>
    <w:rsid w:val="00D516CD"/>
    <w:rsid w:val="00D52CB9"/>
    <w:rsid w:val="00D55069"/>
    <w:rsid w:val="00D6379C"/>
    <w:rsid w:val="00D64860"/>
    <w:rsid w:val="00D668E6"/>
    <w:rsid w:val="00D70670"/>
    <w:rsid w:val="00D71D8C"/>
    <w:rsid w:val="00D74D80"/>
    <w:rsid w:val="00D76624"/>
    <w:rsid w:val="00D8491A"/>
    <w:rsid w:val="00D87570"/>
    <w:rsid w:val="00D91CB9"/>
    <w:rsid w:val="00D94582"/>
    <w:rsid w:val="00D97989"/>
    <w:rsid w:val="00D97D8D"/>
    <w:rsid w:val="00DA28D1"/>
    <w:rsid w:val="00DA352E"/>
    <w:rsid w:val="00DB5635"/>
    <w:rsid w:val="00DC7694"/>
    <w:rsid w:val="00DD1BF6"/>
    <w:rsid w:val="00DD2F9B"/>
    <w:rsid w:val="00DE2513"/>
    <w:rsid w:val="00DE26E8"/>
    <w:rsid w:val="00DF390F"/>
    <w:rsid w:val="00DF6F36"/>
    <w:rsid w:val="00DF7378"/>
    <w:rsid w:val="00DF7B8D"/>
    <w:rsid w:val="00E0084C"/>
    <w:rsid w:val="00E025AB"/>
    <w:rsid w:val="00E02B23"/>
    <w:rsid w:val="00E06F40"/>
    <w:rsid w:val="00E07CE8"/>
    <w:rsid w:val="00E26A07"/>
    <w:rsid w:val="00E32595"/>
    <w:rsid w:val="00E37CFD"/>
    <w:rsid w:val="00E412DA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142E"/>
    <w:rsid w:val="00E82337"/>
    <w:rsid w:val="00E92499"/>
    <w:rsid w:val="00E949AF"/>
    <w:rsid w:val="00E96077"/>
    <w:rsid w:val="00EA0A06"/>
    <w:rsid w:val="00EA1651"/>
    <w:rsid w:val="00EA6243"/>
    <w:rsid w:val="00EA74AB"/>
    <w:rsid w:val="00EB2519"/>
    <w:rsid w:val="00EB3D1B"/>
    <w:rsid w:val="00ED1D89"/>
    <w:rsid w:val="00ED57DA"/>
    <w:rsid w:val="00ED66BC"/>
    <w:rsid w:val="00EE570B"/>
    <w:rsid w:val="00EF233A"/>
    <w:rsid w:val="00EF303E"/>
    <w:rsid w:val="00EF3A40"/>
    <w:rsid w:val="00EF58D1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75E9"/>
    <w:rsid w:val="00F37CAB"/>
    <w:rsid w:val="00F43AD5"/>
    <w:rsid w:val="00F4402E"/>
    <w:rsid w:val="00F5476D"/>
    <w:rsid w:val="00F56DD0"/>
    <w:rsid w:val="00F6491C"/>
    <w:rsid w:val="00F67BBB"/>
    <w:rsid w:val="00F71DBB"/>
    <w:rsid w:val="00F83548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037F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8D068A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3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4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4E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4E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165FEC67D9E9430FAE3CB553A3B28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AE51-EB28-4C84-8664-0A741AD58504}"/>
      </w:docPartPr>
      <w:docPartBody>
        <w:p w:rsidR="002B326A" w:rsidRDefault="0000389C" w:rsidP="0000389C">
          <w:pPr>
            <w:pStyle w:val="165FEC67D9E9430FAE3CB553A3B2856E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0389C"/>
    <w:rsid w:val="000D0064"/>
    <w:rsid w:val="00110D93"/>
    <w:rsid w:val="002B326A"/>
    <w:rsid w:val="00347D16"/>
    <w:rsid w:val="003E0149"/>
    <w:rsid w:val="004F15D8"/>
    <w:rsid w:val="00755FBF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89C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165FEC67D9E9430FAE3CB553A3B2856E">
    <w:name w:val="165FEC67D9E9430FAE3CB553A3B2856E"/>
    <w:rsid w:val="00003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FBF9-664E-4F21-B964-C0AE47513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bf54d604-3e62-4e70-ba33-9e9084b96a6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2B1957-0A99-4437-BC11-4FCBB291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5</cp:revision>
  <cp:lastPrinted>2018-10-22T22:41:00Z</cp:lastPrinted>
  <dcterms:created xsi:type="dcterms:W3CDTF">2020-03-29T22:52:00Z</dcterms:created>
  <dcterms:modified xsi:type="dcterms:W3CDTF">2020-07-21T01:25:00Z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