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2CEC" w14:textId="1F855E33" w:rsidR="00BD499F" w:rsidRPr="004C23F4" w:rsidRDefault="0089568F" w:rsidP="00E203BD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E203BD" w:rsidRPr="00E203BD">
            <w:rPr>
              <w:rFonts w:ascii="Arial" w:hAnsi="Arial" w:cs="Arial"/>
            </w:rPr>
            <w:t>Sulprofos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557F9BA4" w:rsidR="00F43AD5" w:rsidRPr="00717D45" w:rsidRDefault="00E203BD" w:rsidP="00B76A41">
            <w:pPr>
              <w:pStyle w:val="Tablefont"/>
            </w:pPr>
            <w:r w:rsidRPr="00E203BD">
              <w:t>35400-43-2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35D082B2" w:rsidR="00F43AD5" w:rsidRPr="00717D45" w:rsidRDefault="00B352D4" w:rsidP="00B76A41">
            <w:pPr>
              <w:pStyle w:val="Tablefont"/>
            </w:pPr>
            <w:r>
              <w:t>O-ethyl O-(4-</w:t>
            </w:r>
            <w:r w:rsidR="003E274A">
              <w:t>(</w:t>
            </w:r>
            <w:proofErr w:type="spellStart"/>
            <w:proofErr w:type="gramStart"/>
            <w:r>
              <w:t>methylthio</w:t>
            </w:r>
            <w:proofErr w:type="spellEnd"/>
            <w:r>
              <w:t>)</w:t>
            </w:r>
            <w:r w:rsidR="003E274A">
              <w:t>phenyl</w:t>
            </w:r>
            <w:proofErr w:type="gramEnd"/>
            <w:r w:rsidR="003E274A">
              <w:t xml:space="preserve">)-S-propyl </w:t>
            </w:r>
            <w:proofErr w:type="spellStart"/>
            <w:r w:rsidR="003E274A">
              <w:t>phosphorodithioate</w:t>
            </w:r>
            <w:proofErr w:type="spellEnd"/>
            <w:r w:rsidR="003E274A">
              <w:t xml:space="preserve">, </w:t>
            </w:r>
            <w:proofErr w:type="spellStart"/>
            <w:r w:rsidR="003E274A">
              <w:t>phosphorodithioic</w:t>
            </w:r>
            <w:proofErr w:type="spellEnd"/>
            <w:r w:rsidR="003E274A">
              <w:t xml:space="preserve"> acid, </w:t>
            </w:r>
            <w:r w:rsidR="00E811B5">
              <w:br/>
            </w:r>
            <w:r w:rsidR="003E274A">
              <w:t>O-ethyl O-(4-(</w:t>
            </w:r>
            <w:proofErr w:type="spellStart"/>
            <w:r w:rsidR="003E274A">
              <w:t>methylthio</w:t>
            </w:r>
            <w:proofErr w:type="spellEnd"/>
            <w:r w:rsidR="003E274A">
              <w:t xml:space="preserve">)phenyl) S-propyl ester, </w:t>
            </w:r>
            <w:r w:rsidR="00E811B5">
              <w:br/>
            </w:r>
            <w:r w:rsidR="003E274A">
              <w:t>BAY NTN 9306</w:t>
            </w:r>
            <w:r w:rsidR="003E274A" w:rsidRPr="003E274A">
              <w:rPr>
                <w:vertAlign w:val="superscript"/>
              </w:rPr>
              <w:t>®</w:t>
            </w:r>
            <w:r w:rsidR="003E274A">
              <w:t xml:space="preserve">, </w:t>
            </w:r>
            <w:proofErr w:type="spellStart"/>
            <w:r w:rsidR="003E274A">
              <w:t>Bolstar</w:t>
            </w:r>
            <w:proofErr w:type="spellEnd"/>
            <w:r w:rsidR="003E274A" w:rsidRPr="003E274A">
              <w:rPr>
                <w:vertAlign w:val="superscript"/>
              </w:rPr>
              <w:t>®</w:t>
            </w:r>
            <w:r w:rsidR="003E274A">
              <w:t xml:space="preserve">, </w:t>
            </w:r>
            <w:proofErr w:type="spellStart"/>
            <w:r w:rsidR="003E274A">
              <w:t>Helothion</w:t>
            </w:r>
            <w:proofErr w:type="spellEnd"/>
            <w:r w:rsidR="003E274A" w:rsidRPr="003E274A">
              <w:rPr>
                <w:vertAlign w:val="superscript"/>
              </w:rPr>
              <w:t>®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7DBFC8D5" w:rsidR="00F43AD5" w:rsidRPr="00717D45" w:rsidRDefault="003E274A" w:rsidP="00B76A41">
            <w:pPr>
              <w:pStyle w:val="Tablefont"/>
            </w:pPr>
            <w:r>
              <w:t>C</w:t>
            </w:r>
            <w:r w:rsidRPr="003E274A">
              <w:rPr>
                <w:vertAlign w:val="subscript"/>
              </w:rPr>
              <w:t>12</w:t>
            </w:r>
            <w:r>
              <w:t>H</w:t>
            </w:r>
            <w:r w:rsidRPr="003E274A">
              <w:rPr>
                <w:vertAlign w:val="subscript"/>
              </w:rPr>
              <w:t>19</w:t>
            </w:r>
            <w:r>
              <w:t>O</w:t>
            </w:r>
            <w:r w:rsidRPr="003E274A">
              <w:rPr>
                <w:vertAlign w:val="subscript"/>
              </w:rPr>
              <w:t>2</w:t>
            </w:r>
            <w:r>
              <w:t>PS</w:t>
            </w:r>
            <w:r w:rsidRPr="003E274A">
              <w:rPr>
                <w:vertAlign w:val="subscript"/>
              </w:rPr>
              <w:t>3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2E69E43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5246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488528E" w:rsidR="002C7AFE" w:rsidRPr="00EB3D1B" w:rsidRDefault="00216366" w:rsidP="00017C82">
            <w:pPr>
              <w:pStyle w:val="Tablefont"/>
              <w:rPr>
                <w:b/>
              </w:rPr>
            </w:pPr>
            <w:r w:rsidRPr="00216366">
              <w:rPr>
                <w:b/>
              </w:rPr>
              <w:t>0.008 ppm (0.1 mg/m</w:t>
            </w:r>
            <w:r w:rsidRPr="00216366">
              <w:rPr>
                <w:b/>
                <w:vertAlign w:val="superscript"/>
              </w:rPr>
              <w:t>3</w:t>
            </w:r>
            <w:r w:rsidRPr="00216366"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6CD3F22B" w:rsidR="00037E52" w:rsidRPr="00EB3D1B" w:rsidRDefault="00216366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142BB2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55E92EFA" w:rsidR="00155999" w:rsidRPr="00EB3D1B" w:rsidRDefault="00155999" w:rsidP="00037E52">
            <w:pPr>
              <w:pStyle w:val="Tablefont"/>
              <w:rPr>
                <w:b/>
              </w:rPr>
            </w:pPr>
            <w:r w:rsidRPr="00A3162C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16366" w:rsidRPr="00A3162C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225D812" w:rsidR="006639B4" w:rsidRPr="004C23F4" w:rsidRDefault="00216366" w:rsidP="000C139A">
      <w:pPr>
        <w:rPr>
          <w:rFonts w:cs="Arial"/>
        </w:rPr>
      </w:pPr>
      <w:r w:rsidRPr="00216366">
        <w:rPr>
          <w:rFonts w:cs="Arial"/>
        </w:rPr>
        <w:t xml:space="preserve">A TWA of </w:t>
      </w:r>
      <w:r>
        <w:rPr>
          <w:rFonts w:cs="Arial"/>
        </w:rPr>
        <w:t>0.008</w:t>
      </w:r>
      <w:r w:rsidRPr="00216366">
        <w:rPr>
          <w:rFonts w:cs="Arial"/>
        </w:rPr>
        <w:t xml:space="preserve"> ppm (</w:t>
      </w:r>
      <w:r>
        <w:rPr>
          <w:rFonts w:cs="Arial"/>
        </w:rPr>
        <w:t>0.1</w:t>
      </w:r>
      <w:r w:rsidRPr="00216366">
        <w:rPr>
          <w:rFonts w:cs="Arial"/>
        </w:rPr>
        <w:t xml:space="preserve"> mg/m</w:t>
      </w:r>
      <w:r w:rsidRPr="00216366">
        <w:rPr>
          <w:rFonts w:cs="Arial"/>
          <w:vertAlign w:val="superscript"/>
        </w:rPr>
        <w:t>3</w:t>
      </w:r>
      <w:r w:rsidRPr="00216366">
        <w:rPr>
          <w:rFonts w:cs="Arial"/>
        </w:rPr>
        <w:t xml:space="preserve">) is recommended to protect for </w:t>
      </w:r>
      <w:r>
        <w:rPr>
          <w:rFonts w:cs="Arial"/>
        </w:rPr>
        <w:t>cholinergic effects</w:t>
      </w:r>
      <w:r w:rsidRPr="00216366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65A77AB" w14:textId="77777777" w:rsidR="00E811B5" w:rsidRDefault="00234D1F" w:rsidP="006639B4">
      <w:pPr>
        <w:rPr>
          <w:rFonts w:cs="Arial"/>
        </w:rPr>
      </w:pPr>
      <w:proofErr w:type="spellStart"/>
      <w:r>
        <w:rPr>
          <w:rFonts w:cs="Arial"/>
        </w:rPr>
        <w:t>Sulprofos</w:t>
      </w:r>
      <w:proofErr w:type="spellEnd"/>
      <w:r>
        <w:rPr>
          <w:rFonts w:cs="Arial"/>
        </w:rPr>
        <w:t xml:space="preserve"> is a contact insecticide. </w:t>
      </w:r>
    </w:p>
    <w:p w14:paraId="1FBC0001" w14:textId="77777777" w:rsidR="00B6700F" w:rsidRDefault="00234D1F" w:rsidP="006639B4">
      <w:pPr>
        <w:rPr>
          <w:rFonts w:cs="Arial"/>
        </w:rPr>
      </w:pPr>
      <w:r>
        <w:rPr>
          <w:rFonts w:cs="Arial"/>
        </w:rPr>
        <w:t>The critical effect</w:t>
      </w:r>
      <w:r w:rsidR="00E811B5">
        <w:rPr>
          <w:rFonts w:cs="Arial"/>
        </w:rPr>
        <w:t xml:space="preserve"> of exposure</w:t>
      </w:r>
      <w:r>
        <w:rPr>
          <w:rFonts w:cs="Arial"/>
        </w:rPr>
        <w:t xml:space="preserve"> is red blood cell (RBC) cholinesterase (ChE) inhibition and subsequent cholinergic effects.</w:t>
      </w:r>
      <w:r w:rsidR="00E811B5">
        <w:rPr>
          <w:rFonts w:cs="Arial"/>
        </w:rPr>
        <w:t xml:space="preserve"> </w:t>
      </w:r>
    </w:p>
    <w:p w14:paraId="57B33915" w14:textId="77777777" w:rsidR="005E1036" w:rsidRDefault="00234D1F" w:rsidP="006639B4">
      <w:pPr>
        <w:rPr>
          <w:rFonts w:cs="Arial"/>
        </w:rPr>
      </w:pPr>
      <w:r>
        <w:rPr>
          <w:rFonts w:cs="Arial"/>
        </w:rPr>
        <w:t xml:space="preserve">No human exposure data are available. In </w:t>
      </w:r>
      <w:r w:rsidR="00922C7B">
        <w:rPr>
          <w:rFonts w:cs="Arial"/>
        </w:rPr>
        <w:t xml:space="preserve">chronically and </w:t>
      </w:r>
      <w:r>
        <w:rPr>
          <w:rFonts w:cs="Arial"/>
        </w:rPr>
        <w:t>sub</w:t>
      </w:r>
      <w:r w:rsidR="00B6700F">
        <w:rPr>
          <w:rFonts w:cs="Arial"/>
        </w:rPr>
        <w:t>-</w:t>
      </w:r>
      <w:r>
        <w:rPr>
          <w:rFonts w:cs="Arial"/>
        </w:rPr>
        <w:t>chronically exposed</w:t>
      </w:r>
      <w:r w:rsidR="00142BB2" w:rsidRPr="00142BB2">
        <w:rPr>
          <w:rFonts w:cs="Arial"/>
        </w:rPr>
        <w:t xml:space="preserve"> </w:t>
      </w:r>
      <w:r w:rsidR="00142BB2">
        <w:rPr>
          <w:rFonts w:cs="Arial"/>
        </w:rPr>
        <w:t>animals</w:t>
      </w:r>
      <w:r>
        <w:rPr>
          <w:rFonts w:cs="Arial"/>
        </w:rPr>
        <w:t xml:space="preserve">, NOAEL for RBC </w:t>
      </w:r>
      <w:proofErr w:type="spellStart"/>
      <w:r>
        <w:rPr>
          <w:rFonts w:cs="Arial"/>
        </w:rPr>
        <w:t>ChE</w:t>
      </w:r>
      <w:proofErr w:type="spellEnd"/>
      <w:r>
        <w:rPr>
          <w:rFonts w:cs="Arial"/>
        </w:rPr>
        <w:t xml:space="preserve"> inhibition from oral administration range</w:t>
      </w:r>
      <w:r w:rsidR="00142BB2">
        <w:rPr>
          <w:rFonts w:cs="Arial"/>
        </w:rPr>
        <w:t>s</w:t>
      </w:r>
      <w:r>
        <w:rPr>
          <w:rFonts w:cs="Arial"/>
        </w:rPr>
        <w:t xml:space="preserve"> between 0.2 and </w:t>
      </w:r>
      <w:r w:rsidR="00142BB2">
        <w:rPr>
          <w:rFonts w:cs="Arial"/>
        </w:rPr>
        <w:t>1</w:t>
      </w:r>
      <w:r>
        <w:rPr>
          <w:rFonts w:cs="Arial"/>
        </w:rPr>
        <w:t xml:space="preserve"> mg/kg</w:t>
      </w:r>
      <w:r w:rsidR="00962F27">
        <w:rPr>
          <w:rFonts w:cs="Arial"/>
        </w:rPr>
        <w:t>/day</w:t>
      </w:r>
      <w:r w:rsidR="00142BB2">
        <w:rPr>
          <w:rFonts w:cs="Arial"/>
        </w:rPr>
        <w:t>, which is equivalent to 1.4 and 7 mg/m</w:t>
      </w:r>
      <w:r w:rsidR="00142BB2">
        <w:rPr>
          <w:rFonts w:cs="Arial"/>
          <w:vertAlign w:val="superscript"/>
        </w:rPr>
        <w:t>3</w:t>
      </w:r>
      <w:r w:rsidR="00142BB2">
        <w:rPr>
          <w:rFonts w:cs="Arial"/>
        </w:rPr>
        <w:t xml:space="preserve">. </w:t>
      </w:r>
      <w:r w:rsidR="00812B40">
        <w:rPr>
          <w:rFonts w:cs="Arial"/>
        </w:rPr>
        <w:t>This is consistent with the</w:t>
      </w:r>
      <w:r>
        <w:rPr>
          <w:rFonts w:cs="Arial"/>
        </w:rPr>
        <w:t xml:space="preserve"> NOAEC of 6 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="004924C5">
        <w:rPr>
          <w:rFonts w:cs="Arial"/>
        </w:rPr>
        <w:t>and corresponding LOAEC of 14 mg/m</w:t>
      </w:r>
      <w:r w:rsidR="004924C5">
        <w:rPr>
          <w:rFonts w:cs="Arial"/>
          <w:vertAlign w:val="superscript"/>
        </w:rPr>
        <w:t>3</w:t>
      </w:r>
      <w:r w:rsidR="004924C5">
        <w:rPr>
          <w:rFonts w:cs="Arial"/>
        </w:rPr>
        <w:t xml:space="preserve"> </w:t>
      </w:r>
      <w:r w:rsidR="00142BB2">
        <w:rPr>
          <w:rFonts w:cs="Arial"/>
        </w:rPr>
        <w:t>reported</w:t>
      </w:r>
      <w:r w:rsidR="00376536">
        <w:rPr>
          <w:rFonts w:cs="Arial"/>
        </w:rPr>
        <w:t xml:space="preserve"> in a </w:t>
      </w:r>
      <w:r w:rsidR="00535465">
        <w:rPr>
          <w:rFonts w:cs="Arial"/>
        </w:rPr>
        <w:t>three-week</w:t>
      </w:r>
      <w:r w:rsidR="00376536">
        <w:rPr>
          <w:rFonts w:cs="Arial"/>
        </w:rPr>
        <w:t xml:space="preserve"> inhalation study in rats</w:t>
      </w:r>
      <w:r w:rsidR="00653DE2">
        <w:rPr>
          <w:rFonts w:cs="Arial"/>
        </w:rPr>
        <w:t xml:space="preserve"> (ACGIH, 2018)</w:t>
      </w:r>
      <w:r w:rsidR="00376536">
        <w:rPr>
          <w:rFonts w:cs="Arial"/>
        </w:rPr>
        <w:t xml:space="preserve">. However, </w:t>
      </w:r>
      <w:r w:rsidR="00535465">
        <w:rPr>
          <w:rFonts w:cs="Arial"/>
        </w:rPr>
        <w:t>duration of this study is short</w:t>
      </w:r>
      <w:r>
        <w:rPr>
          <w:rFonts w:cs="Arial"/>
        </w:rPr>
        <w:t xml:space="preserve">. </w:t>
      </w:r>
      <w:r w:rsidR="005E1036">
        <w:rPr>
          <w:rFonts w:cs="Arial"/>
        </w:rPr>
        <w:t>Data on dermal toxicity are limited to median lethal dose studies in animals and no quantitative absorption data are presented (ACGIH, 2018).</w:t>
      </w:r>
    </w:p>
    <w:p w14:paraId="6DE7382D" w14:textId="073F995F" w:rsidR="003219EF" w:rsidRDefault="005E1036" w:rsidP="006639B4">
      <w:pPr>
        <w:rPr>
          <w:rFonts w:cs="Arial"/>
        </w:rPr>
      </w:pPr>
      <w:r>
        <w:t xml:space="preserve">Only primary agencies that recommend occupation exposure limits are ACGIH and SWA. </w:t>
      </w:r>
      <w:r w:rsidR="00535465">
        <w:rPr>
          <w:rFonts w:cs="Arial"/>
        </w:rPr>
        <w:t xml:space="preserve">ACGIH (2018) </w:t>
      </w:r>
      <w:r w:rsidR="00376536" w:rsidRPr="00376536">
        <w:rPr>
          <w:rFonts w:cs="Arial"/>
        </w:rPr>
        <w:t>derived</w:t>
      </w:r>
      <w:r w:rsidR="00376536">
        <w:rPr>
          <w:rFonts w:cs="Arial"/>
        </w:rPr>
        <w:t xml:space="preserve"> TLV-TWA of </w:t>
      </w:r>
      <w:r w:rsidR="00376536">
        <w:t>0.008</w:t>
      </w:r>
      <w:r w:rsidR="00535465">
        <w:t> </w:t>
      </w:r>
      <w:r w:rsidR="00376536">
        <w:t>ppm (</w:t>
      </w:r>
      <w:r w:rsidR="00376536">
        <w:rPr>
          <w:rFonts w:cs="Arial"/>
        </w:rPr>
        <w:t>0.1 mg/m</w:t>
      </w:r>
      <w:r w:rsidR="00376536">
        <w:rPr>
          <w:rFonts w:cs="Arial"/>
          <w:vertAlign w:val="superscript"/>
        </w:rPr>
        <w:t>3</w:t>
      </w:r>
      <w:r w:rsidR="00376536">
        <w:rPr>
          <w:rFonts w:cs="Arial"/>
        </w:rPr>
        <w:t>) using</w:t>
      </w:r>
      <w:r w:rsidR="00376536" w:rsidRPr="00376536">
        <w:rPr>
          <w:rFonts w:cs="Arial"/>
        </w:rPr>
        <w:t xml:space="preserve"> the lowest oral NOAEL for RBC </w:t>
      </w:r>
      <w:proofErr w:type="spellStart"/>
      <w:r w:rsidR="00376536" w:rsidRPr="00376536">
        <w:rPr>
          <w:rFonts w:cs="Arial"/>
        </w:rPr>
        <w:t>ChE</w:t>
      </w:r>
      <w:proofErr w:type="spellEnd"/>
      <w:r w:rsidR="00376536" w:rsidRPr="00376536">
        <w:rPr>
          <w:rFonts w:cs="Arial"/>
        </w:rPr>
        <w:t xml:space="preserve"> inhibition in chronically exposed dogs</w:t>
      </w:r>
      <w:r w:rsidR="00535465">
        <w:rPr>
          <w:rFonts w:cs="Arial"/>
        </w:rPr>
        <w:t>.</w:t>
      </w:r>
      <w:r w:rsidR="00376536" w:rsidRPr="00376536">
        <w:rPr>
          <w:rFonts w:cs="Arial"/>
        </w:rPr>
        <w:t xml:space="preserve"> </w:t>
      </w:r>
    </w:p>
    <w:p w14:paraId="5B710595" w14:textId="0FB4B359" w:rsidR="003219EF" w:rsidRDefault="00922C7B" w:rsidP="006639B4">
      <w:pPr>
        <w:rPr>
          <w:rFonts w:cs="Arial"/>
        </w:rPr>
      </w:pPr>
      <w:r>
        <w:rPr>
          <w:rFonts w:cs="Arial"/>
        </w:rPr>
        <w:t>In the absence of human exposure data</w:t>
      </w:r>
      <w:r w:rsidR="004924C5">
        <w:rPr>
          <w:rFonts w:cs="Arial"/>
        </w:rPr>
        <w:t xml:space="preserve"> and further inhalational studies</w:t>
      </w:r>
      <w:r>
        <w:rPr>
          <w:rFonts w:cs="Arial"/>
        </w:rPr>
        <w:t xml:space="preserve">, </w:t>
      </w:r>
      <w:r w:rsidR="00ED0D05">
        <w:rPr>
          <w:rFonts w:cs="Arial"/>
        </w:rPr>
        <w:t>a</w:t>
      </w:r>
      <w:r>
        <w:rPr>
          <w:rFonts w:cs="Arial"/>
        </w:rPr>
        <w:t xml:space="preserve"> TWA of </w:t>
      </w:r>
      <w:r w:rsidR="00EA2909">
        <w:t>0.008 ppm (</w:t>
      </w:r>
      <w:r>
        <w:rPr>
          <w:rFonts w:cs="Arial"/>
        </w:rPr>
        <w:t>0.1</w:t>
      </w:r>
      <w:r w:rsidR="00ED0D05">
        <w:rPr>
          <w:rFonts w:cs="Arial"/>
        </w:rPr>
        <w:t> </w:t>
      </w:r>
      <w:r>
        <w:rPr>
          <w:rFonts w:cs="Arial"/>
        </w:rPr>
        <w:t>mg/m</w:t>
      </w:r>
      <w:r>
        <w:rPr>
          <w:rFonts w:cs="Arial"/>
          <w:vertAlign w:val="superscript"/>
        </w:rPr>
        <w:t>3</w:t>
      </w:r>
      <w:r w:rsidR="00EA2909">
        <w:rPr>
          <w:rFonts w:cs="Arial"/>
        </w:rPr>
        <w:t>)</w:t>
      </w:r>
      <w:r>
        <w:rPr>
          <w:rFonts w:cs="Arial"/>
        </w:rPr>
        <w:t xml:space="preserve"> </w:t>
      </w:r>
      <w:r w:rsidR="00E972A4">
        <w:rPr>
          <w:rFonts w:cs="Arial"/>
        </w:rPr>
        <w:t>by ACGIH (2018) is recommended</w:t>
      </w:r>
      <w:r w:rsidR="00535465">
        <w:rPr>
          <w:rFonts w:cs="Arial"/>
        </w:rPr>
        <w:t xml:space="preserve"> to be adopted to protect</w:t>
      </w:r>
      <w:r w:rsidR="00ED0D05">
        <w:rPr>
          <w:rFonts w:cs="Arial"/>
        </w:rPr>
        <w:t xml:space="preserve"> for cholinergic effects in exposed workers. </w:t>
      </w:r>
      <w:r>
        <w:rPr>
          <w:rFonts w:cs="Arial"/>
        </w:rPr>
        <w:t>To account for potential volatile losses during sampling, the value is intended to be measured as both inhalable faction and vapour.</w:t>
      </w:r>
    </w:p>
    <w:p w14:paraId="273B44AD" w14:textId="77777777" w:rsidR="004529F0" w:rsidRPr="004C23F4" w:rsidRDefault="004529F0" w:rsidP="0076706E">
      <w:pPr>
        <w:pStyle w:val="Heading2"/>
        <w:pageBreakBefore/>
      </w:pPr>
      <w:r>
        <w:lastRenderedPageBreak/>
        <w:t>Recommendation for notations</w:t>
      </w:r>
    </w:p>
    <w:p w14:paraId="27C6755E" w14:textId="7DD343B5" w:rsidR="008E4F1F" w:rsidRPr="0064459E" w:rsidRDefault="008E4F1F" w:rsidP="008E4F1F">
      <w:pPr>
        <w:rPr>
          <w:rFonts w:cs="Arial"/>
        </w:rPr>
      </w:pPr>
      <w:r w:rsidRPr="0064459E">
        <w:rPr>
          <w:rFonts w:cs="Arial"/>
        </w:rPr>
        <w:t>Not classified as a carcinogen according to the Globally Harmonized System of</w:t>
      </w:r>
      <w:r w:rsidR="00155999" w:rsidRPr="0064459E">
        <w:rPr>
          <w:rFonts w:cs="Arial"/>
        </w:rPr>
        <w:t xml:space="preserve"> Classification and Labelling of</w:t>
      </w:r>
      <w:r w:rsidRPr="0064459E">
        <w:rPr>
          <w:rFonts w:cs="Arial"/>
        </w:rPr>
        <w:t xml:space="preserve"> Chemicals (GHS).</w:t>
      </w:r>
      <w:r w:rsidR="005A50D5">
        <w:rPr>
          <w:rFonts w:cs="Arial"/>
        </w:rPr>
        <w:t xml:space="preserve"> However, no entry was found in the HCIS database.</w:t>
      </w:r>
    </w:p>
    <w:p w14:paraId="03916CCC" w14:textId="77777777" w:rsidR="008E4F1F" w:rsidRPr="0064459E" w:rsidRDefault="008E4F1F" w:rsidP="008E4F1F">
      <w:pPr>
        <w:rPr>
          <w:rFonts w:cs="Arial"/>
        </w:rPr>
      </w:pPr>
      <w:r w:rsidRPr="0064459E">
        <w:rPr>
          <w:rFonts w:cs="Arial"/>
        </w:rPr>
        <w:t xml:space="preserve">Not classified as a skin </w:t>
      </w:r>
      <w:r w:rsidR="00155999" w:rsidRPr="0064459E">
        <w:rPr>
          <w:rFonts w:cs="Arial"/>
        </w:rPr>
        <w:t xml:space="preserve">sensitiser </w:t>
      </w:r>
      <w:r w:rsidRPr="0064459E">
        <w:rPr>
          <w:rFonts w:cs="Arial"/>
        </w:rPr>
        <w:t>or respiratory sensitiser according to the GHS.</w:t>
      </w:r>
    </w:p>
    <w:p w14:paraId="09524810" w14:textId="776213C4" w:rsidR="00E811B5" w:rsidRPr="006750DA" w:rsidRDefault="00F90B18" w:rsidP="00E811B5">
      <w:pPr>
        <w:rPr>
          <w:rFonts w:cs="Arial"/>
          <w:szCs w:val="20"/>
        </w:rPr>
      </w:pPr>
      <w:r w:rsidRPr="0064459E">
        <w:rPr>
          <w:rFonts w:cs="Arial"/>
        </w:rPr>
        <w:t>A skin notation is recommended due to evidence of dermal absorption and contribution to adverse systemic effects.</w:t>
      </w:r>
      <w:r w:rsidR="00E811B5">
        <w:rPr>
          <w:rFonts w:cs="Arial"/>
        </w:rPr>
        <w:t xml:space="preserve"> </w:t>
      </w:r>
      <w:r w:rsidR="00E811B5" w:rsidRPr="006750DA">
        <w:rPr>
          <w:rFonts w:cs="Arial"/>
          <w:szCs w:val="20"/>
        </w:rPr>
        <w:t>Based on the available dermal LD</w:t>
      </w:r>
      <w:r w:rsidR="00E811B5" w:rsidRPr="006750DA">
        <w:rPr>
          <w:rFonts w:cs="Arial"/>
          <w:szCs w:val="20"/>
          <w:vertAlign w:val="subscript"/>
        </w:rPr>
        <w:t>50</w:t>
      </w:r>
      <w:r w:rsidR="00E811B5" w:rsidRPr="00A3162C">
        <w:rPr>
          <w:rFonts w:cs="Arial"/>
          <w:szCs w:val="20"/>
          <w:vertAlign w:val="subscript"/>
        </w:rPr>
        <w:softHyphen/>
      </w:r>
      <w:r w:rsidR="00E811B5" w:rsidRPr="00A3162C">
        <w:rPr>
          <w:rFonts w:cs="Arial"/>
          <w:szCs w:val="20"/>
        </w:rPr>
        <w:t xml:space="preserve"> values in animals, ACGIH (2018) recommends a skin notation despite the absence of </w:t>
      </w:r>
      <w:r w:rsidR="00E811B5" w:rsidRPr="006750DA">
        <w:rPr>
          <w:rFonts w:cs="Arial"/>
          <w:szCs w:val="20"/>
        </w:rPr>
        <w:t>quantitative dermal absorption data</w:t>
      </w:r>
      <w:r w:rsidR="00E811B5" w:rsidRPr="00A3162C">
        <w:rPr>
          <w:rFonts w:cs="Arial"/>
          <w:szCs w:val="20"/>
        </w:rPr>
        <w:t xml:space="preserve">. Taken together with the structural and toxicological similarities of </w:t>
      </w:r>
      <w:proofErr w:type="spellStart"/>
      <w:r w:rsidR="00E811B5" w:rsidRPr="00A3162C">
        <w:rPr>
          <w:rFonts w:cs="Arial"/>
          <w:szCs w:val="20"/>
        </w:rPr>
        <w:t>Sulprofos</w:t>
      </w:r>
      <w:proofErr w:type="spellEnd"/>
      <w:r w:rsidR="00E811B5" w:rsidRPr="00A3162C">
        <w:rPr>
          <w:rFonts w:cs="Arial"/>
          <w:szCs w:val="20"/>
        </w:rPr>
        <w:t xml:space="preserve"> with other organophosphate pesticides, systemic toxicity may be expected following dermal absorption</w:t>
      </w:r>
      <w:r w:rsidR="00A710B8">
        <w:rPr>
          <w:rFonts w:cs="Arial"/>
          <w:szCs w:val="20"/>
        </w:rPr>
        <w:t>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8956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89568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1808244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E274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E274A">
                  <w:t>TWA: 1 mg/m</w:t>
                </w:r>
                <w:r w:rsidR="003E274A" w:rsidRPr="003E274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69FC91E3" w14:textId="77777777" w:rsidR="00C978F0" w:rsidRDefault="00962F27" w:rsidP="003365A5">
            <w:pPr>
              <w:pStyle w:val="Tabletextprimarysource"/>
            </w:pPr>
            <w:r>
              <w:t xml:space="preserve">No report. </w:t>
            </w:r>
            <w:r w:rsidR="00220617">
              <w:t>Presumably adopted from ACGIH (1984) TLV-TWA of 1 mg/m</w:t>
            </w:r>
            <w:r w:rsidR="00220617">
              <w:rPr>
                <w:vertAlign w:val="superscript"/>
              </w:rPr>
              <w:t>3</w:t>
            </w:r>
            <w:r w:rsidR="00A007BE">
              <w:t>, which was</w:t>
            </w:r>
            <w:r w:rsidR="00E033F1">
              <w:t xml:space="preserve"> withdrawn </w:t>
            </w:r>
            <w:r w:rsidR="00A007BE">
              <w:t xml:space="preserve">by ACGIH </w:t>
            </w:r>
            <w:r w:rsidR="00E033F1">
              <w:t>in 2009</w:t>
            </w:r>
            <w:r w:rsidR="00220617">
              <w:t>.</w:t>
            </w:r>
          </w:p>
          <w:p w14:paraId="1137D58F" w14:textId="062F91E4" w:rsidR="00A007BE" w:rsidRPr="00EB0656" w:rsidRDefault="00A007BE" w:rsidP="003365A5">
            <w:pPr>
              <w:pStyle w:val="Tabletextprimarysource"/>
            </w:pPr>
          </w:p>
        </w:tc>
      </w:tr>
      <w:tr w:rsidR="00C978F0" w:rsidRPr="00DA352E" w14:paraId="24593221" w14:textId="77777777" w:rsidTr="0089568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3FEDB4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E274A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E274A">
                  <w:t>TLV-TWA: 0.008 ppm (0.1 mg/m</w:t>
                </w:r>
                <w:r w:rsidR="003E274A" w:rsidRPr="003E274A">
                  <w:rPr>
                    <w:vertAlign w:val="superscript"/>
                  </w:rPr>
                  <w:t>3</w:t>
                </w:r>
                <w:r w:rsidR="003E274A">
                  <w:t>)</w:t>
                </w:r>
              </w:sdtContent>
            </w:sdt>
          </w:p>
        </w:tc>
      </w:tr>
      <w:tr w:rsidR="00C978F0" w:rsidRPr="00DA352E" w14:paraId="418D532D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04526A63" w14:textId="77777777" w:rsidR="00C978F0" w:rsidRDefault="00562BBC" w:rsidP="003365A5">
            <w:pPr>
              <w:pStyle w:val="Tabletextprimarysource"/>
            </w:pPr>
            <w:r>
              <w:t>TLV-TWA intended to protect for cholinergic effects.</w:t>
            </w:r>
          </w:p>
          <w:p w14:paraId="4E887238" w14:textId="78E55EC1" w:rsidR="00562BBC" w:rsidRDefault="00562BBC" w:rsidP="003365A5">
            <w:pPr>
              <w:pStyle w:val="Tabletextprimarysource"/>
            </w:pPr>
            <w:r>
              <w:t>Summary of information</w:t>
            </w:r>
            <w:r w:rsidR="006A65E1">
              <w:t>:</w:t>
            </w:r>
          </w:p>
          <w:p w14:paraId="7518308B" w14:textId="48A00AB4" w:rsidR="00E811B5" w:rsidRDefault="00A710B8" w:rsidP="003365A5">
            <w:pPr>
              <w:pStyle w:val="Tabletextprimarysource"/>
            </w:pPr>
            <w:r>
              <w:t>Previous TLV-TWA of 1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220617">
              <w:t xml:space="preserve">(set in 1984) </w:t>
            </w:r>
            <w:r>
              <w:t xml:space="preserve">withdrawn in 2009. </w:t>
            </w:r>
            <w:r w:rsidR="00562BBC">
              <w:t>In the absence of human exposure data, TLV</w:t>
            </w:r>
            <w:r w:rsidR="00CC0AD8">
              <w:noBreakHyphen/>
            </w:r>
            <w:r w:rsidR="00562BBC">
              <w:t xml:space="preserve">TWA </w:t>
            </w:r>
            <w:r w:rsidR="00071357">
              <w:t xml:space="preserve">is </w:t>
            </w:r>
            <w:r w:rsidR="00562BBC">
              <w:t xml:space="preserve">based on NOAEL for RBC ChE inhibition </w:t>
            </w:r>
            <w:r w:rsidR="003F7CBB">
              <w:t xml:space="preserve">from oral doses </w:t>
            </w:r>
            <w:r w:rsidR="00562BBC">
              <w:t>in animals</w:t>
            </w:r>
            <w:r w:rsidR="00EB50F8">
              <w:t>.</w:t>
            </w:r>
            <w:r w:rsidR="003F7CBB">
              <w:t xml:space="preserve"> </w:t>
            </w:r>
            <w:r w:rsidR="00376536">
              <w:t xml:space="preserve">Oral </w:t>
            </w:r>
            <w:r w:rsidR="003F7CBB">
              <w:t>NOAEL range from 0.2–1 mg/kg</w:t>
            </w:r>
            <w:r w:rsidR="00962F27">
              <w:t>/d</w:t>
            </w:r>
            <w:r w:rsidR="003F7CBB">
              <w:t xml:space="preserve"> </w:t>
            </w:r>
            <w:r w:rsidR="003F7CBB">
              <w:rPr>
                <w:rFonts w:cs="Arial"/>
              </w:rPr>
              <w:t>≡</w:t>
            </w:r>
            <w:r w:rsidR="003F7CBB">
              <w:t>1.4–7 mg/m</w:t>
            </w:r>
            <w:r w:rsidR="003F7CBB">
              <w:rPr>
                <w:vertAlign w:val="superscript"/>
              </w:rPr>
              <w:t>3</w:t>
            </w:r>
            <w:r w:rsidR="003F7CBB">
              <w:t xml:space="preserve"> assuming 100% absorption in a 70</w:t>
            </w:r>
            <w:r w:rsidR="00EB0656">
              <w:t>-</w:t>
            </w:r>
            <w:r w:rsidR="003F7CBB">
              <w:t>kg worker with a respiratory volume of 10 m</w:t>
            </w:r>
            <w:r w:rsidR="003F7CBB">
              <w:rPr>
                <w:vertAlign w:val="superscript"/>
              </w:rPr>
              <w:t>3</w:t>
            </w:r>
            <w:r w:rsidR="003F7CBB">
              <w:t xml:space="preserve"> during an 8</w:t>
            </w:r>
            <w:r w:rsidR="0066596E">
              <w:t xml:space="preserve"> </w:t>
            </w:r>
            <w:r w:rsidR="003F7CBB">
              <w:t>h shift</w:t>
            </w:r>
            <w:r w:rsidR="006A65E1">
              <w:t xml:space="preserve">. This </w:t>
            </w:r>
            <w:r w:rsidR="00142BB2">
              <w:t>is consistent with the NOAEC of 6</w:t>
            </w:r>
            <w:r w:rsidR="006A65E1">
              <w:t> </w:t>
            </w:r>
            <w:r w:rsidR="00142BB2">
              <w:t>mg/m</w:t>
            </w:r>
            <w:r w:rsidR="00142BB2">
              <w:rPr>
                <w:vertAlign w:val="superscript"/>
              </w:rPr>
              <w:t>3</w:t>
            </w:r>
            <w:r w:rsidR="00142BB2">
              <w:t xml:space="preserve"> </w:t>
            </w:r>
            <w:r w:rsidR="00EB0656">
              <w:t>and LOAEC of 14 mg/m</w:t>
            </w:r>
            <w:r w:rsidR="00EB0656">
              <w:rPr>
                <w:vertAlign w:val="superscript"/>
              </w:rPr>
              <w:t>3</w:t>
            </w:r>
            <w:r w:rsidR="00EB0656">
              <w:t xml:space="preserve"> reported </w:t>
            </w:r>
            <w:r w:rsidR="00376536">
              <w:t xml:space="preserve">in </w:t>
            </w:r>
            <w:r w:rsidR="00142BB2">
              <w:t>sub</w:t>
            </w:r>
            <w:r w:rsidR="00CC0AD8">
              <w:t>-</w:t>
            </w:r>
            <w:r w:rsidR="00142BB2">
              <w:t>chronically exposed rats</w:t>
            </w:r>
            <w:r w:rsidR="004872AC">
              <w:rPr>
                <w:rFonts w:cs="Arial"/>
              </w:rPr>
              <w:t xml:space="preserve"> </w:t>
            </w:r>
            <w:r w:rsidR="004872AC" w:rsidRPr="00EA2909">
              <w:rPr>
                <w:rFonts w:cs="Arial"/>
              </w:rPr>
              <w:t xml:space="preserve">in a </w:t>
            </w:r>
            <w:r w:rsidR="006A65E1">
              <w:rPr>
                <w:rFonts w:cs="Arial"/>
              </w:rPr>
              <w:t xml:space="preserve">briefly </w:t>
            </w:r>
            <w:r w:rsidR="004872AC" w:rsidRPr="00EA2909">
              <w:rPr>
                <w:rFonts w:cs="Arial"/>
              </w:rPr>
              <w:t xml:space="preserve">documented </w:t>
            </w:r>
            <w:r w:rsidR="00EB0656">
              <w:rPr>
                <w:rFonts w:cs="Arial"/>
              </w:rPr>
              <w:t>3</w:t>
            </w:r>
            <w:r w:rsidR="004872AC" w:rsidRPr="00EA2909">
              <w:rPr>
                <w:rFonts w:cs="Arial"/>
              </w:rPr>
              <w:t>-</w:t>
            </w:r>
            <w:r w:rsidR="00EB0656">
              <w:rPr>
                <w:rFonts w:cs="Arial"/>
              </w:rPr>
              <w:t>wk</w:t>
            </w:r>
            <w:r w:rsidR="004872AC" w:rsidRPr="00EA2909">
              <w:rPr>
                <w:rFonts w:cs="Arial"/>
              </w:rPr>
              <w:t xml:space="preserve"> inhalation</w:t>
            </w:r>
            <w:r w:rsidR="00EB0656">
              <w:rPr>
                <w:rFonts w:cs="Arial"/>
              </w:rPr>
              <w:t xml:space="preserve"> study</w:t>
            </w:r>
            <w:r w:rsidR="00142BB2" w:rsidRPr="00EB0656">
              <w:t>.</w:t>
            </w:r>
            <w:r w:rsidR="00142BB2">
              <w:t xml:space="preserve"> </w:t>
            </w:r>
            <w:r w:rsidR="00376536">
              <w:t>Therefore, t</w:t>
            </w:r>
            <w:r w:rsidR="003F7CBB">
              <w:t>he TLV-TWA of 0.1 mg/m</w:t>
            </w:r>
            <w:r w:rsidR="003F7CBB">
              <w:rPr>
                <w:vertAlign w:val="superscript"/>
              </w:rPr>
              <w:t>3</w:t>
            </w:r>
            <w:r w:rsidR="003F7CBB">
              <w:t xml:space="preserve"> considered protective of RBC ChE inhibition and subsequent cholinergic effects. </w:t>
            </w:r>
          </w:p>
          <w:p w14:paraId="56CA4E91" w14:textId="4F939B24" w:rsidR="003F7CBB" w:rsidRDefault="006A65E1" w:rsidP="003365A5">
            <w:pPr>
              <w:pStyle w:val="Tabletextprimarysource"/>
            </w:pPr>
            <w:r>
              <w:t xml:space="preserve">Agency noted </w:t>
            </w:r>
            <w:r w:rsidR="00216366">
              <w:t>TLV-TWA should be measured as inhalable fraction and vapour to account for potential volatile losses during sampling.</w:t>
            </w:r>
          </w:p>
          <w:p w14:paraId="73F16BC4" w14:textId="44CEC139" w:rsidR="003F7CBB" w:rsidRDefault="003F7CBB" w:rsidP="003365A5">
            <w:pPr>
              <w:pStyle w:val="Tabletextprimarysource"/>
            </w:pPr>
            <w:r>
              <w:t>Human data</w:t>
            </w:r>
            <w:r w:rsidR="00962F27">
              <w:t>:</w:t>
            </w:r>
          </w:p>
          <w:p w14:paraId="66F76C57" w14:textId="32ECB70C" w:rsidR="003F7CBB" w:rsidRDefault="00F936D7" w:rsidP="0064459E">
            <w:pPr>
              <w:pStyle w:val="Tabletextprimarysource"/>
              <w:numPr>
                <w:ilvl w:val="0"/>
                <w:numId w:val="1"/>
              </w:numPr>
            </w:pPr>
            <w:r>
              <w:t>No reports of poisonings or exposure studies available</w:t>
            </w:r>
            <w:r w:rsidR="00983B4D">
              <w:t>.</w:t>
            </w:r>
          </w:p>
          <w:p w14:paraId="781FF833" w14:textId="4AD78F8F" w:rsidR="003F7CBB" w:rsidRDefault="003F7CBB" w:rsidP="003365A5">
            <w:pPr>
              <w:pStyle w:val="Tabletextprimarysource"/>
            </w:pPr>
            <w:r>
              <w:t>Animal data</w:t>
            </w:r>
            <w:r w:rsidR="00962F27">
              <w:t>:</w:t>
            </w:r>
          </w:p>
          <w:p w14:paraId="3BAA068A" w14:textId="77777777" w:rsidR="004872AC" w:rsidRDefault="004872AC" w:rsidP="004872AC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&gt;490 mg/m</w:t>
            </w:r>
            <w:r>
              <w:rPr>
                <w:vertAlign w:val="superscript"/>
              </w:rPr>
              <w:t>3</w:t>
            </w:r>
            <w:r>
              <w:t xml:space="preserve"> (female rats, 4 h)</w:t>
            </w:r>
          </w:p>
          <w:p w14:paraId="71B776EB" w14:textId="2C249DAC" w:rsidR="003F7CBB" w:rsidRDefault="00B23219" w:rsidP="0064459E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107–304 mg/kg (male rats); 65–275</w:t>
            </w:r>
            <w:r w:rsidR="00B6700F">
              <w:t xml:space="preserve"> mg/kg</w:t>
            </w:r>
            <w:r>
              <w:t xml:space="preserve"> (female rats)</w:t>
            </w:r>
          </w:p>
          <w:p w14:paraId="2534A8A4" w14:textId="277C2841" w:rsidR="00B23219" w:rsidRDefault="00B23219" w:rsidP="0064459E">
            <w:pPr>
              <w:pStyle w:val="Tabletextprimarysource"/>
              <w:numPr>
                <w:ilvl w:val="0"/>
                <w:numId w:val="1"/>
              </w:numPr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>: 820 and 994 mg/kg (male and female rabbits)</w:t>
            </w:r>
            <w:r w:rsidR="00234D1F">
              <w:t>; 5,491 mg/kg (male rats), 1,831 mg/kg (female rats)</w:t>
            </w:r>
          </w:p>
          <w:p w14:paraId="187CFDD6" w14:textId="58C866A8" w:rsidR="00B23219" w:rsidRDefault="00B23219" w:rsidP="0064459E">
            <w:pPr>
              <w:pStyle w:val="Tabletextprimarysource"/>
              <w:numPr>
                <w:ilvl w:val="0"/>
                <w:numId w:val="1"/>
              </w:numPr>
            </w:pPr>
            <w:r>
              <w:t>63–82% reduced RBC ChE activity at 10 mg/kg/d in sub</w:t>
            </w:r>
            <w:r w:rsidR="004872AC">
              <w:t>-</w:t>
            </w:r>
            <w:r>
              <w:t>chronic oral dose study (rats, 4</w:t>
            </w:r>
            <w:r w:rsidR="0076706E">
              <w:t> </w:t>
            </w:r>
            <w:r>
              <w:t>wk)</w:t>
            </w:r>
            <w:r w:rsidR="0076706E">
              <w:t>:</w:t>
            </w:r>
          </w:p>
          <w:p w14:paraId="1D586E0F" w14:textId="6E8A0636" w:rsidR="00B23219" w:rsidRDefault="00B23219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NOAEL: 1 mg/kg/d</w:t>
            </w:r>
          </w:p>
          <w:p w14:paraId="3524ECAC" w14:textId="4AAB3159" w:rsidR="00B23219" w:rsidRDefault="00B23219" w:rsidP="0064459E">
            <w:pPr>
              <w:pStyle w:val="Tabletextprimarysource"/>
              <w:numPr>
                <w:ilvl w:val="0"/>
                <w:numId w:val="1"/>
              </w:numPr>
            </w:pPr>
            <w:r>
              <w:t>RBC ChE inhibition at 3 and 15 mg/kg/d in sub</w:t>
            </w:r>
            <w:r w:rsidR="004872AC">
              <w:t>-</w:t>
            </w:r>
            <w:r>
              <w:t>chronic feeding study (rats, 90 d)</w:t>
            </w:r>
            <w:r w:rsidR="00962F27">
              <w:t>:</w:t>
            </w:r>
          </w:p>
          <w:p w14:paraId="4DFE5923" w14:textId="77777777" w:rsidR="00B23219" w:rsidRDefault="00B23219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reduced motor and lachrymation activity at 15 mg/kg/d</w:t>
            </w:r>
          </w:p>
          <w:p w14:paraId="6F5C9BE7" w14:textId="0CBDC1A3" w:rsidR="00B23219" w:rsidRDefault="00B23219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NOAEL: 0.5 mg/kg/d</w:t>
            </w:r>
          </w:p>
          <w:p w14:paraId="432B830C" w14:textId="2D8F6D99" w:rsidR="00B23219" w:rsidRDefault="00B23219" w:rsidP="0064459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RBC ChE inhibition at 0.8 mg/kg/d </w:t>
            </w:r>
            <w:r w:rsidR="00DB7017">
              <w:t>(mice, 13–23% inhibition, 10 mo) and 0.5 mg/kg/d (dogs, 90 d) in sub</w:t>
            </w:r>
            <w:r w:rsidR="004872AC">
              <w:t>-</w:t>
            </w:r>
            <w:r w:rsidR="00DB7017">
              <w:t>chronic feeding studies</w:t>
            </w:r>
            <w:r w:rsidR="0076706E">
              <w:t>:</w:t>
            </w:r>
          </w:p>
          <w:p w14:paraId="239F5EFF" w14:textId="65BADCA3" w:rsidR="00DB7017" w:rsidRDefault="00DB7017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NOAEL: 0.4 mg/kg/d (mice), 0.3 mg/kg/d (dogs)</w:t>
            </w:r>
          </w:p>
          <w:p w14:paraId="071E7F8D" w14:textId="68BAB940" w:rsidR="00DB7017" w:rsidRDefault="00DB7017" w:rsidP="0064459E">
            <w:pPr>
              <w:pStyle w:val="Tabletextprimarysource"/>
              <w:numPr>
                <w:ilvl w:val="0"/>
                <w:numId w:val="1"/>
              </w:numPr>
            </w:pPr>
            <w:r>
              <w:t>RBC ChE inhibition in females at 14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220617">
              <w:t xml:space="preserve">reported </w:t>
            </w:r>
            <w:r>
              <w:t xml:space="preserve">in </w:t>
            </w:r>
            <w:r w:rsidR="00220617" w:rsidRPr="00EA2909">
              <w:t xml:space="preserve">briefly documented </w:t>
            </w:r>
            <w:r>
              <w:t>sub</w:t>
            </w:r>
            <w:r w:rsidR="004872AC">
              <w:t>-</w:t>
            </w:r>
            <w:r>
              <w:t xml:space="preserve">chronic inhalation study </w:t>
            </w:r>
            <w:r w:rsidR="00220617">
              <w:t xml:space="preserve">(rats, 3 wk, exposure </w:t>
            </w:r>
            <w:r w:rsidR="004872AC">
              <w:t>f</w:t>
            </w:r>
            <w:r>
              <w:t>requency not specified)</w:t>
            </w:r>
            <w:r w:rsidR="00962F27">
              <w:t>:</w:t>
            </w:r>
            <w:r>
              <w:t xml:space="preserve"> </w:t>
            </w:r>
          </w:p>
          <w:p w14:paraId="42A2CD8D" w14:textId="4EE3D63E" w:rsidR="004924C5" w:rsidRDefault="004924C5" w:rsidP="004924C5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NOAEC</w:t>
            </w:r>
            <w:r w:rsidR="00586C1E">
              <w:t xml:space="preserve"> of</w:t>
            </w:r>
            <w:r>
              <w:t xml:space="preserve"> 6 mg/m</w:t>
            </w:r>
            <w:r>
              <w:rPr>
                <w:vertAlign w:val="superscript"/>
              </w:rPr>
              <w:t>3</w:t>
            </w:r>
          </w:p>
          <w:p w14:paraId="40ABE525" w14:textId="159EDC26" w:rsidR="004924C5" w:rsidRDefault="004924C5" w:rsidP="004924C5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LOAEC</w:t>
            </w:r>
            <w:r w:rsidR="00586C1E">
              <w:t xml:space="preserve"> of</w:t>
            </w:r>
            <w:r>
              <w:t xml:space="preserve"> 14 mg/m</w:t>
            </w:r>
            <w:r>
              <w:rPr>
                <w:vertAlign w:val="superscript"/>
              </w:rPr>
              <w:t>3</w:t>
            </w:r>
            <w:r>
              <w:t xml:space="preserve"> for RBC ChE inhibition</w:t>
            </w:r>
          </w:p>
          <w:p w14:paraId="527B89C7" w14:textId="5766ADBC" w:rsidR="00DB7017" w:rsidRDefault="00DB7017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typical cholinergic effects at 74 mg/m</w:t>
            </w:r>
            <w:r>
              <w:rPr>
                <w:vertAlign w:val="superscript"/>
              </w:rPr>
              <w:t>3</w:t>
            </w:r>
          </w:p>
          <w:p w14:paraId="2A1C0282" w14:textId="624E0A7A" w:rsidR="00DB7017" w:rsidRDefault="00DB7017" w:rsidP="0064459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increase in tumour incidence or RBC ChE inhibition at 0.25 mg/kg/d in chronic feeding study (rats, 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7B00217D" w14:textId="1298FCCD" w:rsidR="00DB7017" w:rsidRDefault="00DB7017" w:rsidP="0064459E">
            <w:pPr>
              <w:pStyle w:val="Tabletextprimarysource"/>
              <w:numPr>
                <w:ilvl w:val="0"/>
                <w:numId w:val="1"/>
              </w:numPr>
            </w:pPr>
            <w:r>
              <w:t>No changes in tumour incidence, food consumption, body weight, clinical symptoms or mortality at 0.3 mg/kg/d in chronic feeing study (mice, 22 mo)</w:t>
            </w:r>
          </w:p>
          <w:p w14:paraId="497FC202" w14:textId="33D848E3" w:rsidR="00AF5D97" w:rsidRDefault="00AF5D97" w:rsidP="0064459E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RBC and brain ChE inhibition at 3 mg/kg/d, but no other symptoms in chronic feeding study (dogs, 2 </w:t>
            </w:r>
            <w:proofErr w:type="spellStart"/>
            <w:r>
              <w:t>yr</w:t>
            </w:r>
            <w:proofErr w:type="spellEnd"/>
            <w:r>
              <w:t>)</w:t>
            </w:r>
            <w:r w:rsidR="0076706E">
              <w:t>:</w:t>
            </w:r>
          </w:p>
          <w:p w14:paraId="7BABCEB6" w14:textId="13B41445" w:rsidR="00AF5D97" w:rsidRDefault="00AF5D97" w:rsidP="00A3162C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NOAEL</w:t>
            </w:r>
            <w:r w:rsidR="00E8468D">
              <w:t xml:space="preserve"> </w:t>
            </w:r>
            <w:r w:rsidR="00586C1E">
              <w:t xml:space="preserve">of </w:t>
            </w:r>
            <w:r>
              <w:t>0.2 mg/kg/d</w:t>
            </w:r>
          </w:p>
          <w:p w14:paraId="35817988" w14:textId="638FAFE7" w:rsidR="00A1597D" w:rsidRDefault="00216366" w:rsidP="0064459E">
            <w:pPr>
              <w:pStyle w:val="Tabletextprimarysource"/>
              <w:numPr>
                <w:ilvl w:val="0"/>
                <w:numId w:val="1"/>
              </w:numPr>
            </w:pPr>
            <w:r>
              <w:t>No effects on development/</w:t>
            </w:r>
            <w:r w:rsidR="00743DF1">
              <w:t>reproduction at 10 mg/kg/d in oral dose study (rats, GD 6–18)</w:t>
            </w:r>
          </w:p>
          <w:p w14:paraId="2BA20BD5" w14:textId="1227092F" w:rsidR="00AF5D97" w:rsidRDefault="00AF5D97" w:rsidP="0064459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in several </w:t>
            </w:r>
            <w:r>
              <w:rPr>
                <w:i/>
              </w:rPr>
              <w:t>in vitro</w:t>
            </w:r>
            <w:r>
              <w:t xml:space="preserve"> studies with bacteria and mammalian cells or </w:t>
            </w:r>
            <w:r>
              <w:rPr>
                <w:i/>
              </w:rPr>
              <w:t>in vivo</w:t>
            </w:r>
            <w:r>
              <w:t xml:space="preserve"> in a micronucleus assay and dominant lethal test with mice</w:t>
            </w:r>
            <w:r w:rsidR="006F3209">
              <w:t>.</w:t>
            </w:r>
          </w:p>
          <w:p w14:paraId="1F45F404" w14:textId="77777777" w:rsidR="00E811B5" w:rsidRDefault="00E811B5" w:rsidP="003365A5">
            <w:pPr>
              <w:pStyle w:val="Tabletextprimarysource"/>
            </w:pPr>
          </w:p>
          <w:p w14:paraId="1CC98778" w14:textId="7A5EBB57" w:rsidR="003F7CBB" w:rsidRDefault="003F7CBB" w:rsidP="003365A5">
            <w:pPr>
              <w:pStyle w:val="Tabletextprimarysource"/>
            </w:pPr>
            <w:r>
              <w:t>Insufficient data to recommend a TLV-STEL or sensitisation notation.</w:t>
            </w:r>
          </w:p>
          <w:p w14:paraId="3F947BE7" w14:textId="77777777" w:rsidR="006A65E1" w:rsidRDefault="006A65E1" w:rsidP="006A65E1">
            <w:pPr>
              <w:pStyle w:val="Tabletextprimarysource"/>
            </w:pPr>
            <w:r>
              <w:t xml:space="preserve">Skin notation warranted based on lethal systemic effects from low dermal doses in animals. </w:t>
            </w:r>
          </w:p>
          <w:p w14:paraId="3E622A6E" w14:textId="77777777" w:rsidR="006A65E1" w:rsidRDefault="006A65E1" w:rsidP="006A65E1">
            <w:pPr>
              <w:pStyle w:val="Tabletextprimarysource"/>
            </w:pPr>
            <w:r>
              <w:t xml:space="preserve">Not classifiable as a human carcinogen (A4) based on lifetime feeding study with mice and rats. </w:t>
            </w:r>
          </w:p>
          <w:p w14:paraId="0CE4D35D" w14:textId="53B9DFBF" w:rsidR="00E811B5" w:rsidRPr="0064459E" w:rsidRDefault="00E811B5" w:rsidP="003365A5">
            <w:pPr>
              <w:pStyle w:val="Tabletextprimarysource"/>
            </w:pPr>
          </w:p>
        </w:tc>
      </w:tr>
      <w:tr w:rsidR="00C978F0" w:rsidRPr="00DA352E" w14:paraId="174F8B79" w14:textId="77777777" w:rsidTr="0089568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06378E7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E274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E274A">
                  <w:t>NA</w:t>
                </w:r>
              </w:sdtContent>
            </w:sdt>
          </w:p>
        </w:tc>
      </w:tr>
      <w:tr w:rsidR="00C978F0" w:rsidRPr="00DA352E" w14:paraId="4433014F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61A64F09" w14:textId="2EDCDE5A" w:rsidR="00C978F0" w:rsidRPr="00DA352E" w:rsidRDefault="003E274A" w:rsidP="003365A5">
            <w:pPr>
              <w:pStyle w:val="Tabletextprimarysource"/>
            </w:pPr>
            <w:r>
              <w:t>No report</w:t>
            </w:r>
            <w:r w:rsidR="006F3209">
              <w:t>.</w:t>
            </w:r>
            <w:bookmarkStart w:id="0" w:name="_GoBack"/>
            <w:bookmarkEnd w:id="0"/>
          </w:p>
        </w:tc>
      </w:tr>
      <w:tr w:rsidR="00C978F0" w:rsidRPr="00DA352E" w14:paraId="0E6A0B2C" w14:textId="77777777" w:rsidTr="0089568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29BE961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E274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-493410081"/>
                    <w:placeholder>
                      <w:docPart w:val="DDBB415AD3EE46A0BC58799FA18617EF"/>
                    </w:placeholder>
                    <w:text/>
                  </w:sdtPr>
                  <w:sdtEndPr/>
                  <w:sdtContent>
                    <w:r w:rsidR="003E274A">
                      <w:t>NA</w:t>
                    </w:r>
                  </w:sdtContent>
                </w:sdt>
              </w:sdtContent>
            </w:sdt>
          </w:p>
        </w:tc>
      </w:tr>
      <w:tr w:rsidR="00C978F0" w:rsidRPr="00DA352E" w14:paraId="2008D281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153B53C1" w14:textId="6A4AFD6E" w:rsidR="00C978F0" w:rsidRPr="00DA352E" w:rsidRDefault="003E274A" w:rsidP="003365A5">
            <w:pPr>
              <w:pStyle w:val="Tabletextprimarysource"/>
            </w:pPr>
            <w:r>
              <w:t>No report</w:t>
            </w:r>
            <w:r w:rsidR="006F3209">
              <w:t>.</w:t>
            </w:r>
          </w:p>
        </w:tc>
      </w:tr>
      <w:tr w:rsidR="00DA352E" w:rsidRPr="00DA352E" w14:paraId="12BAB90D" w14:textId="77777777" w:rsidTr="0089568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0AA9E27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E274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1564857826"/>
                    <w:placeholder>
                      <w:docPart w:val="0566E9D93BAF44F8A02272F9D9A6C6BB"/>
                    </w:placeholder>
                    <w:text/>
                  </w:sdtPr>
                  <w:sdtEndPr/>
                  <w:sdtContent>
                    <w:r w:rsidR="003E274A">
                      <w:t>NA</w:t>
                    </w:r>
                  </w:sdtContent>
                </w:sdt>
              </w:sdtContent>
            </w:sdt>
          </w:p>
        </w:tc>
      </w:tr>
      <w:tr w:rsidR="00DA352E" w:rsidRPr="00DA352E" w14:paraId="33AAF4A6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2059E4CB" w14:textId="59E963E3" w:rsidR="00DA352E" w:rsidRPr="00DA352E" w:rsidRDefault="003E274A" w:rsidP="003365A5">
            <w:pPr>
              <w:pStyle w:val="Tabletextprimarysource"/>
            </w:pPr>
            <w:r>
              <w:t>No report</w:t>
            </w:r>
            <w:r w:rsidR="006F3209">
              <w:t>.</w:t>
            </w:r>
          </w:p>
        </w:tc>
      </w:tr>
      <w:tr w:rsidR="00DA352E" w:rsidRPr="00DA352E" w14:paraId="605F758C" w14:textId="77777777" w:rsidTr="0089568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3A54767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E274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E274A">
                  <w:t>NA</w:t>
                </w:r>
              </w:sdtContent>
            </w:sdt>
          </w:p>
        </w:tc>
      </w:tr>
      <w:tr w:rsidR="00DA352E" w:rsidRPr="00DA352E" w14:paraId="7050CB3E" w14:textId="77777777" w:rsidTr="0089568F">
        <w:trPr>
          <w:gridAfter w:val="1"/>
          <w:wAfter w:w="8" w:type="pct"/>
        </w:trPr>
        <w:tc>
          <w:tcPr>
            <w:tcW w:w="4992" w:type="pct"/>
          </w:tcPr>
          <w:p w14:paraId="492D7791" w14:textId="69A9F020" w:rsidR="00DA352E" w:rsidRPr="00DA352E" w:rsidRDefault="003E274A" w:rsidP="003365A5">
            <w:pPr>
              <w:pStyle w:val="Tabletextprimarysource"/>
            </w:pPr>
            <w:r>
              <w:t>No report</w:t>
            </w:r>
            <w:r w:rsidR="006F3209">
              <w:t>.</w:t>
            </w:r>
          </w:p>
        </w:tc>
      </w:tr>
    </w:tbl>
    <w:p w14:paraId="6691F3FF" w14:textId="7DEE5E94" w:rsidR="00A20751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3CAF5C96" w14:textId="5991DB2D" w:rsidR="006750DA" w:rsidRPr="00A3162C" w:rsidRDefault="006750DA" w:rsidP="00A3162C">
      <w:pPr>
        <w:rPr>
          <w:lang w:eastAsia="en-AU"/>
        </w:rPr>
      </w:pPr>
      <w:r>
        <w:rPr>
          <w:lang w:eastAsia="en-AU"/>
        </w:rPr>
        <w:t xml:space="preserve">NIL. </w:t>
      </w:r>
    </w:p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743DF1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03850C30" w:rsidR="002E0D61" w:rsidRDefault="00743DF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743DF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4F2797F2" w:rsidR="008A36CF" w:rsidRPr="006901A2" w:rsidRDefault="00743DF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895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89568F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75B3141" w:rsidR="00687890" w:rsidRPr="00DD2F9B" w:rsidRDefault="008E1FB8" w:rsidP="00DD2F9B">
            <w:pPr>
              <w:pStyle w:val="Tablefont"/>
            </w:pPr>
            <w:r w:rsidRPr="008E1FB8">
              <w:t>—</w:t>
            </w:r>
          </w:p>
        </w:tc>
      </w:tr>
      <w:tr w:rsidR="007925F0" w:rsidRPr="004C23F4" w14:paraId="2A0C13EF" w14:textId="77777777" w:rsidTr="0089568F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0259C201" w:rsidR="007925F0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89568F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C23E9A8" w:rsidR="00AF483F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89568F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9EB59D6" w:rsidR="00687890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89568F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61B823DF" w:rsidR="00E41A26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89568F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4087ADB9" w:rsidR="002E0D61" w:rsidRPr="00DD2F9B" w:rsidRDefault="008E1FB8" w:rsidP="00DD2F9B">
            <w:pPr>
              <w:pStyle w:val="Tablefont"/>
            </w:pPr>
            <w:r w:rsidRPr="008E1FB8">
              <w:t>Carcinogenicity – A4</w:t>
            </w:r>
            <w:r>
              <w:t xml:space="preserve">, </w:t>
            </w:r>
            <w:r w:rsidRPr="008E1FB8">
              <w:t>Skin</w:t>
            </w:r>
          </w:p>
        </w:tc>
      </w:tr>
      <w:tr w:rsidR="002E0D61" w:rsidRPr="004C23F4" w14:paraId="43FA3590" w14:textId="77777777" w:rsidTr="0089568F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0A945817" w:rsidR="002E0D61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89568F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3E7F244E" w:rsidR="002E0D61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89568F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70663407" w14:textId="5DEAE4D0" w:rsidR="002E0D61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89568F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117ECF1" w:rsidR="00386093" w:rsidRPr="00DD2F9B" w:rsidRDefault="008E1FB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89568F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C997D84" w:rsidR="00386093" w:rsidRPr="00DD2F9B" w:rsidRDefault="008E1FB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006"/>
              <w:gridCol w:w="769"/>
              <w:gridCol w:w="649"/>
              <w:gridCol w:w="3386"/>
            </w:tblGrid>
            <w:tr w:rsidR="0088647C" w:rsidRPr="0088647C" w14:paraId="1B08F19F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299C6F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6332F4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A6924E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47A81C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1D25B9BA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2A241F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8B89E6B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A22A97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48B3C7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4F12C33F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52E5A4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40B2F3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1DDD1C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843EE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3DF9A253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D93429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B2CE6E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61B04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67461D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4ADEB972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D51130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011969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3882C0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CBCAB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0F783C60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7D35A3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7F8549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28F78B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AD67E9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8647C" w:rsidRPr="0088647C" w14:paraId="597BEEB5" w14:textId="77777777" w:rsidTr="0064459E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B0E37A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13866E" w14:textId="77777777" w:rsidR="0088647C" w:rsidRPr="0088647C" w:rsidRDefault="0088647C" w:rsidP="0088647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18EBE6" w14:textId="77777777" w:rsidR="0088647C" w:rsidRPr="0088647C" w:rsidRDefault="0088647C" w:rsidP="0088647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0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EAA66" w14:textId="77777777" w:rsidR="0088647C" w:rsidRPr="0088647C" w:rsidRDefault="0088647C" w:rsidP="0088647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8647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F7EC762" w:rsidR="00EB3D1B" w:rsidRDefault="008E1FB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77C2DD8" w:rsidR="001B79E5" w:rsidRDefault="008E1FB8" w:rsidP="001B79E5">
                <w:pPr>
                  <w:pStyle w:val="Tablefont"/>
                </w:pPr>
                <w:r w:rsidRPr="008E1FB8">
                  <w:t>322.5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288BF5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E1FB8">
                  <w:t>13.19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E1FB8">
                  <w:t>0.07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2B48F31" w:rsidR="00687890" w:rsidRPr="004C23F4" w:rsidRDefault="0088647C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248BCB8A" w:rsidR="00E06F40" w:rsidRPr="00A006A0" w:rsidRDefault="0089568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6F8B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sectPr w:rsidR="007F1005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0B0A" w14:textId="77777777" w:rsidR="00C41977" w:rsidRDefault="00C41977" w:rsidP="00F43AD5">
      <w:pPr>
        <w:spacing w:after="0" w:line="240" w:lineRule="auto"/>
      </w:pPr>
      <w:r>
        <w:separator/>
      </w:r>
    </w:p>
  </w:endnote>
  <w:endnote w:type="continuationSeparator" w:id="0">
    <w:p w14:paraId="4B3F882B" w14:textId="77777777" w:rsidR="00C41977" w:rsidRDefault="00C4197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28D7" w14:textId="77777777" w:rsidR="0089568F" w:rsidRDefault="00895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96D1559" w:rsidR="00142BB2" w:rsidRDefault="00142BB2" w:rsidP="0034744C">
        <w:pPr>
          <w:pStyle w:val="Footer"/>
          <w:rPr>
            <w:sz w:val="18"/>
            <w:szCs w:val="18"/>
          </w:rPr>
        </w:pPr>
        <w:proofErr w:type="spellStart"/>
        <w:r w:rsidRPr="003E274A">
          <w:rPr>
            <w:b/>
            <w:sz w:val="18"/>
            <w:szCs w:val="18"/>
          </w:rPr>
          <w:t>Sulprofos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3E274A">
          <w:rPr>
            <w:b/>
            <w:sz w:val="18"/>
            <w:szCs w:val="18"/>
          </w:rPr>
          <w:t>35400-43-2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25D7E38B" w:rsidR="00142BB2" w:rsidRPr="00F43AD5" w:rsidRDefault="00142BB2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B0656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4C7F" w14:textId="77777777" w:rsidR="0089568F" w:rsidRDefault="00895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C6B3" w14:textId="77777777" w:rsidR="00C41977" w:rsidRDefault="00C41977" w:rsidP="00F43AD5">
      <w:pPr>
        <w:spacing w:after="0" w:line="240" w:lineRule="auto"/>
      </w:pPr>
      <w:r>
        <w:separator/>
      </w:r>
    </w:p>
  </w:footnote>
  <w:footnote w:type="continuationSeparator" w:id="0">
    <w:p w14:paraId="220A4CB8" w14:textId="77777777" w:rsidR="00C41977" w:rsidRDefault="00C4197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4410" w14:textId="77777777" w:rsidR="0089568F" w:rsidRDefault="00895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3D96" w14:textId="6097D7F0" w:rsidR="0089568F" w:rsidRDefault="0089568F" w:rsidP="0089568F">
    <w:pPr>
      <w:pStyle w:val="Header"/>
      <w:jc w:val="right"/>
    </w:pPr>
    <w:r>
      <w:pict w14:anchorId="71E43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843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B5A78C0" wp14:editId="41F1495A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4785C505" w:rsidR="00142BB2" w:rsidRPr="0089568F" w:rsidRDefault="00142BB2" w:rsidP="00895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1551" w14:textId="77777777" w:rsidR="0089568F" w:rsidRDefault="008956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EDA8" w14:textId="54EB2C99" w:rsidR="0089568F" w:rsidRDefault="0089568F" w:rsidP="0089568F">
    <w:pPr>
      <w:pStyle w:val="Header"/>
      <w:jc w:val="right"/>
    </w:pPr>
    <w:r>
      <w:pict w14:anchorId="794D5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843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6323521" wp14:editId="4752F76F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142BB2" w:rsidRDefault="00142BB2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61BED"/>
    <w:multiLevelType w:val="hybridMultilevel"/>
    <w:tmpl w:val="7890C1C6"/>
    <w:lvl w:ilvl="0" w:tplc="A7B66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357"/>
    <w:rsid w:val="00071807"/>
    <w:rsid w:val="000803E1"/>
    <w:rsid w:val="00084513"/>
    <w:rsid w:val="00084859"/>
    <w:rsid w:val="00085AC7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17625"/>
    <w:rsid w:val="001269A7"/>
    <w:rsid w:val="00126F8B"/>
    <w:rsid w:val="00131092"/>
    <w:rsid w:val="00140E6A"/>
    <w:rsid w:val="00142BB2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6366"/>
    <w:rsid w:val="00220617"/>
    <w:rsid w:val="00221547"/>
    <w:rsid w:val="002216FC"/>
    <w:rsid w:val="00222533"/>
    <w:rsid w:val="00222F30"/>
    <w:rsid w:val="00224EE2"/>
    <w:rsid w:val="00227EC7"/>
    <w:rsid w:val="00234D1F"/>
    <w:rsid w:val="00237349"/>
    <w:rsid w:val="00242735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E6A35"/>
    <w:rsid w:val="00306709"/>
    <w:rsid w:val="0030740C"/>
    <w:rsid w:val="00315833"/>
    <w:rsid w:val="003215EE"/>
    <w:rsid w:val="003219EF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6536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274A"/>
    <w:rsid w:val="003E51FB"/>
    <w:rsid w:val="003E6B39"/>
    <w:rsid w:val="003E7FEC"/>
    <w:rsid w:val="003F07E1"/>
    <w:rsid w:val="003F7CBB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2AC"/>
    <w:rsid w:val="004873F2"/>
    <w:rsid w:val="00490D4C"/>
    <w:rsid w:val="004924C5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5465"/>
    <w:rsid w:val="005446A2"/>
    <w:rsid w:val="00544D2F"/>
    <w:rsid w:val="00551BD8"/>
    <w:rsid w:val="00562BBC"/>
    <w:rsid w:val="00581055"/>
    <w:rsid w:val="00586C1E"/>
    <w:rsid w:val="00591E38"/>
    <w:rsid w:val="005A19C5"/>
    <w:rsid w:val="005A3034"/>
    <w:rsid w:val="005A462D"/>
    <w:rsid w:val="005A50D5"/>
    <w:rsid w:val="005B253B"/>
    <w:rsid w:val="005B771D"/>
    <w:rsid w:val="005C5D16"/>
    <w:rsid w:val="005D3193"/>
    <w:rsid w:val="005D4A6E"/>
    <w:rsid w:val="005E1036"/>
    <w:rsid w:val="005E6979"/>
    <w:rsid w:val="005E75CB"/>
    <w:rsid w:val="005F0BA5"/>
    <w:rsid w:val="006013C1"/>
    <w:rsid w:val="0060669E"/>
    <w:rsid w:val="00610F2E"/>
    <w:rsid w:val="00611399"/>
    <w:rsid w:val="00613DF8"/>
    <w:rsid w:val="00624C4E"/>
    <w:rsid w:val="00625200"/>
    <w:rsid w:val="006363A8"/>
    <w:rsid w:val="00636DB7"/>
    <w:rsid w:val="0064459E"/>
    <w:rsid w:val="00650905"/>
    <w:rsid w:val="006532ED"/>
    <w:rsid w:val="00653DE2"/>
    <w:rsid w:val="006549F2"/>
    <w:rsid w:val="006567B7"/>
    <w:rsid w:val="00657BFB"/>
    <w:rsid w:val="0066333C"/>
    <w:rsid w:val="006639B4"/>
    <w:rsid w:val="006650FE"/>
    <w:rsid w:val="0066596E"/>
    <w:rsid w:val="0067305D"/>
    <w:rsid w:val="006750DA"/>
    <w:rsid w:val="00677D9B"/>
    <w:rsid w:val="006867F3"/>
    <w:rsid w:val="00687890"/>
    <w:rsid w:val="006901A2"/>
    <w:rsid w:val="00690368"/>
    <w:rsid w:val="0069079C"/>
    <w:rsid w:val="00690B53"/>
    <w:rsid w:val="00695B72"/>
    <w:rsid w:val="006A65E1"/>
    <w:rsid w:val="006B160A"/>
    <w:rsid w:val="006B4E6C"/>
    <w:rsid w:val="006B50B6"/>
    <w:rsid w:val="006C2B6D"/>
    <w:rsid w:val="006D79EA"/>
    <w:rsid w:val="006E5D05"/>
    <w:rsid w:val="006F3209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3DF1"/>
    <w:rsid w:val="00750212"/>
    <w:rsid w:val="00754779"/>
    <w:rsid w:val="0075716D"/>
    <w:rsid w:val="00765F14"/>
    <w:rsid w:val="0076706E"/>
    <w:rsid w:val="00770E31"/>
    <w:rsid w:val="0077412D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2B40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647C"/>
    <w:rsid w:val="0088798F"/>
    <w:rsid w:val="00887E4B"/>
    <w:rsid w:val="008915C8"/>
    <w:rsid w:val="0089568F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1FB8"/>
    <w:rsid w:val="008E4F1F"/>
    <w:rsid w:val="008E7B64"/>
    <w:rsid w:val="008F5DCD"/>
    <w:rsid w:val="00900951"/>
    <w:rsid w:val="0090131C"/>
    <w:rsid w:val="009118A6"/>
    <w:rsid w:val="00916909"/>
    <w:rsid w:val="00916EC0"/>
    <w:rsid w:val="00920467"/>
    <w:rsid w:val="00921DE7"/>
    <w:rsid w:val="00922C7B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462"/>
    <w:rsid w:val="0095260E"/>
    <w:rsid w:val="009578DD"/>
    <w:rsid w:val="00961124"/>
    <w:rsid w:val="009621B6"/>
    <w:rsid w:val="00962F27"/>
    <w:rsid w:val="00974F2D"/>
    <w:rsid w:val="00977524"/>
    <w:rsid w:val="00977E88"/>
    <w:rsid w:val="00983B4D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873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07BE"/>
    <w:rsid w:val="00A01D0C"/>
    <w:rsid w:val="00A0643F"/>
    <w:rsid w:val="00A067EE"/>
    <w:rsid w:val="00A10FCE"/>
    <w:rsid w:val="00A1597D"/>
    <w:rsid w:val="00A16D91"/>
    <w:rsid w:val="00A174CC"/>
    <w:rsid w:val="00A2073D"/>
    <w:rsid w:val="00A20751"/>
    <w:rsid w:val="00A27E2D"/>
    <w:rsid w:val="00A3162C"/>
    <w:rsid w:val="00A31D99"/>
    <w:rsid w:val="00A357BA"/>
    <w:rsid w:val="00A35ADC"/>
    <w:rsid w:val="00A402A3"/>
    <w:rsid w:val="00A45E0D"/>
    <w:rsid w:val="00A523DB"/>
    <w:rsid w:val="00A53681"/>
    <w:rsid w:val="00A633D4"/>
    <w:rsid w:val="00A6461A"/>
    <w:rsid w:val="00A710B8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4610"/>
    <w:rsid w:val="00AE2745"/>
    <w:rsid w:val="00AE2F64"/>
    <w:rsid w:val="00AF42CB"/>
    <w:rsid w:val="00AF483F"/>
    <w:rsid w:val="00AF5D97"/>
    <w:rsid w:val="00AF5E07"/>
    <w:rsid w:val="00AF5F06"/>
    <w:rsid w:val="00B00A25"/>
    <w:rsid w:val="00B035EB"/>
    <w:rsid w:val="00B1422A"/>
    <w:rsid w:val="00B1765C"/>
    <w:rsid w:val="00B213C4"/>
    <w:rsid w:val="00B23219"/>
    <w:rsid w:val="00B352D4"/>
    <w:rsid w:val="00B40C60"/>
    <w:rsid w:val="00B479A9"/>
    <w:rsid w:val="00B52EDF"/>
    <w:rsid w:val="00B56147"/>
    <w:rsid w:val="00B6700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77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0AD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4A6C"/>
    <w:rsid w:val="00D97989"/>
    <w:rsid w:val="00D97D8D"/>
    <w:rsid w:val="00DA352E"/>
    <w:rsid w:val="00DB7017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33F1"/>
    <w:rsid w:val="00E06F40"/>
    <w:rsid w:val="00E07CE8"/>
    <w:rsid w:val="00E14953"/>
    <w:rsid w:val="00E203BD"/>
    <w:rsid w:val="00E26A07"/>
    <w:rsid w:val="00E32595"/>
    <w:rsid w:val="00E37CFD"/>
    <w:rsid w:val="00E41A26"/>
    <w:rsid w:val="00E44FF3"/>
    <w:rsid w:val="00E46BCB"/>
    <w:rsid w:val="00E51CAF"/>
    <w:rsid w:val="00E60F04"/>
    <w:rsid w:val="00E62AAC"/>
    <w:rsid w:val="00E67C2F"/>
    <w:rsid w:val="00E67EF5"/>
    <w:rsid w:val="00E804EA"/>
    <w:rsid w:val="00E80A71"/>
    <w:rsid w:val="00E811B5"/>
    <w:rsid w:val="00E82337"/>
    <w:rsid w:val="00E8468D"/>
    <w:rsid w:val="00E92499"/>
    <w:rsid w:val="00E949AF"/>
    <w:rsid w:val="00E96077"/>
    <w:rsid w:val="00E972A4"/>
    <w:rsid w:val="00EA0A06"/>
    <w:rsid w:val="00EA1958"/>
    <w:rsid w:val="00EA2909"/>
    <w:rsid w:val="00EA6243"/>
    <w:rsid w:val="00EA74AB"/>
    <w:rsid w:val="00EB0656"/>
    <w:rsid w:val="00EB3D1B"/>
    <w:rsid w:val="00EB50F8"/>
    <w:rsid w:val="00ED0D05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4206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C62"/>
    <w:rsid w:val="00F56DD0"/>
    <w:rsid w:val="00F6491C"/>
    <w:rsid w:val="00F67BBB"/>
    <w:rsid w:val="00F87D92"/>
    <w:rsid w:val="00F90AA7"/>
    <w:rsid w:val="00F90B18"/>
    <w:rsid w:val="00F92498"/>
    <w:rsid w:val="00F936D7"/>
    <w:rsid w:val="00F9496B"/>
    <w:rsid w:val="00F970C9"/>
    <w:rsid w:val="00FA06A8"/>
    <w:rsid w:val="00FA3DF5"/>
    <w:rsid w:val="00FA741F"/>
    <w:rsid w:val="00FB4E07"/>
    <w:rsid w:val="00FB6FF8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6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3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366"/>
    <w:rPr>
      <w:szCs w:val="20"/>
    </w:rPr>
  </w:style>
  <w:style w:type="paragraph" w:styleId="Revision">
    <w:name w:val="Revision"/>
    <w:hidden/>
    <w:uiPriority w:val="99"/>
    <w:semiHidden/>
    <w:rsid w:val="006750D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A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DBB415AD3EE46A0BC58799FA186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C1DB-098E-410F-81F9-7A9F1471657E}"/>
      </w:docPartPr>
      <w:docPartBody>
        <w:p w:rsidR="00D30EDB" w:rsidRDefault="008D06E2" w:rsidP="008D06E2">
          <w:pPr>
            <w:pStyle w:val="DDBB415AD3EE46A0BC58799FA18617E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566E9D93BAF44F8A02272F9D9A6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45B1-E51B-4289-9605-07C4BA5D6E22}"/>
      </w:docPartPr>
      <w:docPartBody>
        <w:p w:rsidR="00D30EDB" w:rsidRDefault="008D06E2" w:rsidP="008D06E2">
          <w:pPr>
            <w:pStyle w:val="0566E9D93BAF44F8A02272F9D9A6C6B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E5483"/>
    <w:rsid w:val="00110D93"/>
    <w:rsid w:val="00347D16"/>
    <w:rsid w:val="003A0E13"/>
    <w:rsid w:val="003E0149"/>
    <w:rsid w:val="00457777"/>
    <w:rsid w:val="005A5327"/>
    <w:rsid w:val="00755FBF"/>
    <w:rsid w:val="008D06E2"/>
    <w:rsid w:val="009136F9"/>
    <w:rsid w:val="00CA72D3"/>
    <w:rsid w:val="00D21A9F"/>
    <w:rsid w:val="00D30EDB"/>
    <w:rsid w:val="00E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6F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DBB415AD3EE46A0BC58799FA18617EF">
    <w:name w:val="DDBB415AD3EE46A0BC58799FA18617EF"/>
    <w:rsid w:val="008D06E2"/>
  </w:style>
  <w:style w:type="paragraph" w:customStyle="1" w:styleId="0566E9D93BAF44F8A02272F9D9A6C6BB">
    <w:name w:val="0566E9D93BAF44F8A02272F9D9A6C6BB"/>
    <w:rsid w:val="008D06E2"/>
  </w:style>
  <w:style w:type="paragraph" w:customStyle="1" w:styleId="047688E14D76405A8E0EAF278B9A546A">
    <w:name w:val="047688E14D76405A8E0EAF278B9A546A"/>
    <w:rsid w:val="009136F9"/>
  </w:style>
  <w:style w:type="paragraph" w:customStyle="1" w:styleId="BEE5423546BA4166BBF43EA9B75CDAAA">
    <w:name w:val="BEE5423546BA4166BBF43EA9B75CDAAA"/>
    <w:rsid w:val="009136F9"/>
  </w:style>
  <w:style w:type="paragraph" w:customStyle="1" w:styleId="2A853E8F27D24CA39F7B5D9B084DC374">
    <w:name w:val="2A853E8F27D24CA39F7B5D9B084DC374"/>
    <w:rsid w:val="009136F9"/>
  </w:style>
  <w:style w:type="paragraph" w:customStyle="1" w:styleId="9A852FFF7F9441B9AA8AD2D1526145F4">
    <w:name w:val="9A852FFF7F9441B9AA8AD2D1526145F4"/>
    <w:rsid w:val="009136F9"/>
  </w:style>
  <w:style w:type="paragraph" w:customStyle="1" w:styleId="135CE37DF7E044E4B6CE81AE56017D59">
    <w:name w:val="135CE37DF7E044E4B6CE81AE56017D59"/>
    <w:rsid w:val="009136F9"/>
  </w:style>
  <w:style w:type="paragraph" w:customStyle="1" w:styleId="D5C78B606A374E3FB4C9E1C1FAEA4E28">
    <w:name w:val="D5C78B606A374E3FB4C9E1C1FAEA4E28"/>
    <w:rsid w:val="009136F9"/>
  </w:style>
  <w:style w:type="paragraph" w:customStyle="1" w:styleId="1E1CBB9CBD9F41039BDAA2E83BD39E3B">
    <w:name w:val="1E1CBB9CBD9F41039BDAA2E83BD39E3B"/>
    <w:rsid w:val="009136F9"/>
  </w:style>
  <w:style w:type="paragraph" w:customStyle="1" w:styleId="756919CDFE6340779D5E86049FAE2B90">
    <w:name w:val="756919CDFE6340779D5E86049FAE2B90"/>
    <w:rsid w:val="009136F9"/>
  </w:style>
  <w:style w:type="paragraph" w:customStyle="1" w:styleId="71B3A5FD382F40C4938653CEFC23B25F">
    <w:name w:val="71B3A5FD382F40C4938653CEFC23B25F"/>
    <w:rsid w:val="009136F9"/>
  </w:style>
  <w:style w:type="paragraph" w:customStyle="1" w:styleId="A230DAB5F93F4449B41DFB3FDEE05307">
    <w:name w:val="A230DAB5F93F4449B41DFB3FDEE05307"/>
    <w:rsid w:val="00913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4" ma:contentTypeDescription="Create a new document." ma:contentTypeScope="" ma:versionID="13b51b7518afb46499292cdac2b630da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328df578f351ff0db5c2ec2ce4235965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2A9E-E5BA-4A78-B3C0-FCBCAF29B20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4d89c9d3-cf9d-4152-ac9f-ad3059f15688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006BE4-95C4-4265-AEA8-0AF04B1F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72D83-D342-49DE-B5D2-DF9A6DBC0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BFF3F-08F5-4465-ACDA-15C83C9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2020-04-08T03:11:00Z</dcterms:created>
  <dcterms:modified xsi:type="dcterms:W3CDTF">2020-07-21T01:28:00Z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