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70C134C1" w:rsidR="00BD499F" w:rsidRPr="004C23F4" w:rsidRDefault="00AA56BE" w:rsidP="00AA56BE">
          <w:pPr>
            <w:pStyle w:val="Heading1"/>
            <w:jc w:val="center"/>
            <w:rPr>
              <w:rFonts w:ascii="Arial" w:hAnsi="Arial" w:cs="Arial"/>
            </w:rPr>
          </w:pPr>
          <w:r w:rsidRPr="00AA56BE">
            <w:rPr>
              <w:rFonts w:ascii="Arial" w:hAnsi="Arial" w:cs="Arial"/>
            </w:rPr>
            <w:t>Tetrafluoroethylene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7"/>
        <w:gridCol w:w="5049"/>
      </w:tblGrid>
      <w:tr w:rsidR="00F43AD5" w:rsidRPr="004C23F4" w14:paraId="189D6E38" w14:textId="77777777" w:rsidTr="005F5C47">
        <w:trPr>
          <w:cantSplit/>
          <w:tblHeader/>
        </w:trPr>
        <w:tc>
          <w:tcPr>
            <w:tcW w:w="3977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9" w:type="dxa"/>
          </w:tcPr>
          <w:p w14:paraId="3EDBFD9E" w14:textId="3E88F7E9" w:rsidR="00F43AD5" w:rsidRPr="00717D45" w:rsidRDefault="00AA56BE" w:rsidP="00B76A41">
            <w:pPr>
              <w:pStyle w:val="Tablefont"/>
            </w:pPr>
            <w:r w:rsidRPr="00AA56BE">
              <w:t>116-14-3</w:t>
            </w:r>
          </w:p>
        </w:tc>
      </w:tr>
      <w:tr w:rsidR="00F43AD5" w:rsidRPr="004C23F4" w14:paraId="562A9F51" w14:textId="77777777" w:rsidTr="005F5C47">
        <w:trPr>
          <w:cantSplit/>
        </w:trPr>
        <w:tc>
          <w:tcPr>
            <w:tcW w:w="3977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9" w:type="dxa"/>
          </w:tcPr>
          <w:p w14:paraId="32648AB9" w14:textId="1C73F394" w:rsidR="00F43AD5" w:rsidRPr="00717D45" w:rsidRDefault="00AA56BE" w:rsidP="00B76A41">
            <w:pPr>
              <w:pStyle w:val="Tablefont"/>
            </w:pPr>
            <w:proofErr w:type="spellStart"/>
            <w:r>
              <w:t>Fluoroplast</w:t>
            </w:r>
            <w:proofErr w:type="spellEnd"/>
            <w:r>
              <w:t xml:space="preserve"> 4, </w:t>
            </w:r>
            <w:proofErr w:type="spellStart"/>
            <w:r>
              <w:t>perfluoroethene</w:t>
            </w:r>
            <w:proofErr w:type="spellEnd"/>
            <w:r>
              <w:t xml:space="preserve">, </w:t>
            </w:r>
            <w:proofErr w:type="spellStart"/>
            <w:r>
              <w:t>perfluoroethylene</w:t>
            </w:r>
            <w:proofErr w:type="spellEnd"/>
            <w:r>
              <w:t>, tetrafluoroethene, 1,1,2,2-tetrafluoroethylene, TFE</w:t>
            </w:r>
          </w:p>
        </w:tc>
      </w:tr>
      <w:tr w:rsidR="00F43AD5" w:rsidRPr="004C23F4" w14:paraId="6EE54A08" w14:textId="77777777" w:rsidTr="005F5C47">
        <w:trPr>
          <w:cantSplit/>
        </w:trPr>
        <w:tc>
          <w:tcPr>
            <w:tcW w:w="3977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9" w:type="dxa"/>
          </w:tcPr>
          <w:p w14:paraId="69369B00" w14:textId="0EE27F2F" w:rsidR="00F43AD5" w:rsidRPr="00717D45" w:rsidRDefault="00AA56BE" w:rsidP="00B76A41">
            <w:pPr>
              <w:pStyle w:val="Tablefont"/>
            </w:pPr>
            <w:r>
              <w:t>C</w:t>
            </w:r>
            <w:r w:rsidRPr="00AA56BE">
              <w:rPr>
                <w:vertAlign w:val="subscript"/>
              </w:rPr>
              <w:t>2</w:t>
            </w:r>
            <w:r>
              <w:t>F</w:t>
            </w:r>
            <w:r w:rsidRPr="00AA56BE">
              <w:rPr>
                <w:vertAlign w:val="subscript"/>
              </w:rPr>
              <w:t>4</w:t>
            </w:r>
          </w:p>
        </w:tc>
      </w:tr>
    </w:tbl>
    <w:p w14:paraId="71D72173" w14:textId="692F8A6A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8F4292">
            <w:rPr>
              <w:rStyle w:val="WESstatus"/>
            </w:rPr>
            <w:t>(new)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66ED7F3C" w:rsidR="002C7AFE" w:rsidRPr="00EB3D1B" w:rsidRDefault="008F429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 ppm (8.2 mg/m</w:t>
            </w:r>
            <w:r w:rsidRPr="008F4292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6DB2D69E" w:rsidR="00037E52" w:rsidRPr="00EB3D1B" w:rsidRDefault="00F619EA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Carc. 1B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740DED51" w:rsidR="00155999" w:rsidRPr="00EB3D1B" w:rsidRDefault="00155999" w:rsidP="00037E52">
            <w:pPr>
              <w:pStyle w:val="Tablefont"/>
              <w:rPr>
                <w:b/>
              </w:rPr>
            </w:pPr>
            <w:r w:rsidRPr="00A25ACC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FC23AF">
                  <w:rPr>
                    <w:rStyle w:val="WESstatus"/>
                    <w:bCs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6D7D7AF" w14:textId="22DA91C0" w:rsidR="006639B4" w:rsidRPr="004C23F4" w:rsidRDefault="008F4292" w:rsidP="000C139A">
      <w:pPr>
        <w:rPr>
          <w:rFonts w:cs="Arial"/>
        </w:rPr>
      </w:pPr>
      <w:r>
        <w:rPr>
          <w:rFonts w:cs="Arial"/>
        </w:rPr>
        <w:t>A TWA of 2 ppm (8.2 mg/m</w:t>
      </w:r>
      <w:r w:rsidRPr="008F4292">
        <w:rPr>
          <w:rFonts w:cs="Arial"/>
          <w:vertAlign w:val="superscript"/>
        </w:rPr>
        <w:t>3</w:t>
      </w:r>
      <w:r>
        <w:rPr>
          <w:rFonts w:cs="Arial"/>
        </w:rPr>
        <w:t>) is recommended to protect for kidney toxicity in exposed workers.</w:t>
      </w:r>
    </w:p>
    <w:p w14:paraId="317A46B1" w14:textId="6F355A97" w:rsidR="00C7155E" w:rsidRPr="004C23F4" w:rsidRDefault="00F10C97" w:rsidP="003365A5">
      <w:pPr>
        <w:pStyle w:val="Heading2"/>
      </w:pPr>
      <w:r>
        <w:t>Discussion and conclusions</w:t>
      </w:r>
    </w:p>
    <w:p w14:paraId="0814D32F" w14:textId="77777777" w:rsidR="005F5C47" w:rsidRDefault="00D17940" w:rsidP="006639B4">
      <w:pPr>
        <w:rPr>
          <w:rFonts w:cs="Arial"/>
        </w:rPr>
      </w:pPr>
      <w:r>
        <w:rPr>
          <w:rFonts w:cs="Arial"/>
        </w:rPr>
        <w:t>Tetrafluoroethylene (TFE) is a highly flammable gas at room temperature</w:t>
      </w:r>
      <w:r w:rsidR="005F5C47">
        <w:rPr>
          <w:rFonts w:cs="Arial"/>
        </w:rPr>
        <w:t>. It is</w:t>
      </w:r>
      <w:r>
        <w:rPr>
          <w:rFonts w:cs="Arial"/>
        </w:rPr>
        <w:t xml:space="preserve"> primarily used in the synthesis of polytetrafluoroethylene polymers.</w:t>
      </w:r>
      <w:r w:rsidR="000A172B">
        <w:rPr>
          <w:rFonts w:cs="Arial"/>
        </w:rPr>
        <w:t xml:space="preserve"> It is also used in a variety of end products including those for indirect or direct food contact.</w:t>
      </w:r>
      <w:r w:rsidR="00A244EC">
        <w:rPr>
          <w:rFonts w:cs="Arial"/>
        </w:rPr>
        <w:t xml:space="preserve"> </w:t>
      </w:r>
    </w:p>
    <w:p w14:paraId="32486430" w14:textId="77777777" w:rsidR="00E0289D" w:rsidRDefault="00A244EC" w:rsidP="005F5C47">
      <w:pPr>
        <w:rPr>
          <w:rFonts w:cs="Arial"/>
        </w:rPr>
      </w:pPr>
      <w:r>
        <w:rPr>
          <w:rFonts w:cs="Arial"/>
        </w:rPr>
        <w:t>The critical effect of exposure is kidney toxicity</w:t>
      </w:r>
      <w:r w:rsidR="00A010E7">
        <w:rPr>
          <w:rFonts w:cs="Arial"/>
        </w:rPr>
        <w:t xml:space="preserve">. </w:t>
      </w:r>
    </w:p>
    <w:p w14:paraId="3AF6C047" w14:textId="3603A0CD" w:rsidR="006639B4" w:rsidRDefault="00CD4363" w:rsidP="005F5C47">
      <w:r>
        <w:rPr>
          <w:rFonts w:cs="Arial"/>
        </w:rPr>
        <w:t>A</w:t>
      </w:r>
      <w:r>
        <w:t>cute toxicity</w:t>
      </w:r>
      <w:r>
        <w:rPr>
          <w:rFonts w:cs="Arial"/>
        </w:rPr>
        <w:t xml:space="preserve"> is considered </w:t>
      </w:r>
      <w:r>
        <w:t>low, producing kidney toxicity after exposures around 2,000</w:t>
      </w:r>
      <w:r w:rsidR="00AA0B5F">
        <w:t xml:space="preserve"> to </w:t>
      </w:r>
      <w:r>
        <w:t>6,000 ppm.</w:t>
      </w:r>
      <w:r>
        <w:rPr>
          <w:rFonts w:cs="Arial"/>
        </w:rPr>
        <w:t xml:space="preserve"> </w:t>
      </w:r>
      <w:r w:rsidR="00A010E7">
        <w:rPr>
          <w:rFonts w:cs="Arial"/>
        </w:rPr>
        <w:t>It is considered carcinogenic in animals, manifesting predominantly in kidneys and liver</w:t>
      </w:r>
      <w:r w:rsidR="005F5C47">
        <w:rPr>
          <w:rFonts w:cs="Arial"/>
        </w:rPr>
        <w:t>.</w:t>
      </w:r>
      <w:r w:rsidR="00A010E7">
        <w:rPr>
          <w:rFonts w:cs="Arial"/>
        </w:rPr>
        <w:t xml:space="preserve"> </w:t>
      </w:r>
      <w:r w:rsidR="005F5C47">
        <w:rPr>
          <w:rFonts w:cs="Arial"/>
        </w:rPr>
        <w:t>H</w:t>
      </w:r>
      <w:r w:rsidR="00A010E7">
        <w:rPr>
          <w:rFonts w:cs="Arial"/>
        </w:rPr>
        <w:t>owever</w:t>
      </w:r>
      <w:r w:rsidR="005F5C47">
        <w:rPr>
          <w:rFonts w:cs="Arial"/>
        </w:rPr>
        <w:t>,</w:t>
      </w:r>
      <w:r w:rsidR="00A010E7">
        <w:rPr>
          <w:rFonts w:cs="Arial"/>
        </w:rPr>
        <w:t xml:space="preserve"> </w:t>
      </w:r>
      <w:r w:rsidR="00A010E7">
        <w:rPr>
          <w:rFonts w:cs="Arial"/>
          <w:lang w:val="en"/>
        </w:rPr>
        <w:t>there is i</w:t>
      </w:r>
      <w:r w:rsidR="00A010E7" w:rsidRPr="00B14F25">
        <w:rPr>
          <w:rFonts w:cs="Arial"/>
          <w:lang w:val="en"/>
        </w:rPr>
        <w:t>nadequate evidence for carcinogenicity in humans</w:t>
      </w:r>
      <w:r w:rsidR="00A010E7">
        <w:rPr>
          <w:rFonts w:cs="Arial"/>
          <w:lang w:val="en"/>
        </w:rPr>
        <w:t xml:space="preserve"> (ACGIH, 201</w:t>
      </w:r>
      <w:r w:rsidR="00FC23AF">
        <w:rPr>
          <w:rFonts w:cs="Arial"/>
          <w:lang w:val="en"/>
        </w:rPr>
        <w:t>8</w:t>
      </w:r>
      <w:r w:rsidR="00A010E7">
        <w:rPr>
          <w:rFonts w:cs="Arial"/>
          <w:lang w:val="en"/>
        </w:rPr>
        <w:t>; NICNAS, 2015).</w:t>
      </w:r>
      <w:r w:rsidR="00987FA8">
        <w:rPr>
          <w:rFonts w:cs="Arial"/>
          <w:lang w:val="en"/>
        </w:rPr>
        <w:t xml:space="preserve"> </w:t>
      </w:r>
      <w:r w:rsidR="005F5C47">
        <w:t xml:space="preserve">It is consistently reported across all sources that available data does not provide evidence of genotoxic effect. </w:t>
      </w:r>
      <w:r w:rsidR="00987FA8">
        <w:rPr>
          <w:rFonts w:cs="Arial"/>
          <w:lang w:val="en"/>
        </w:rPr>
        <w:t xml:space="preserve">Data from human studies </w:t>
      </w:r>
      <w:r w:rsidR="005F5C47">
        <w:rPr>
          <w:rFonts w:cs="Arial"/>
          <w:lang w:val="en"/>
        </w:rPr>
        <w:t>i</w:t>
      </w:r>
      <w:r w:rsidR="00987FA8">
        <w:rPr>
          <w:rFonts w:cs="Arial"/>
          <w:lang w:val="en"/>
        </w:rPr>
        <w:t>s not available</w:t>
      </w:r>
      <w:r w:rsidR="00874804">
        <w:rPr>
          <w:rFonts w:cs="Arial"/>
          <w:lang w:val="en"/>
        </w:rPr>
        <w:t>. S</w:t>
      </w:r>
      <w:r w:rsidR="00987FA8">
        <w:rPr>
          <w:rFonts w:cs="Arial"/>
          <w:lang w:val="en"/>
        </w:rPr>
        <w:t>ub-chronic and chronic inhalation studies in rats and mice</w:t>
      </w:r>
      <w:r w:rsidR="007439B2">
        <w:rPr>
          <w:rFonts w:cs="Arial"/>
          <w:lang w:val="en"/>
        </w:rPr>
        <w:t xml:space="preserve"> </w:t>
      </w:r>
      <w:r w:rsidR="00EF2254">
        <w:rPr>
          <w:rFonts w:cs="Arial"/>
          <w:lang w:val="en"/>
        </w:rPr>
        <w:t>identified a LOAEC of 156 ppm based on</w:t>
      </w:r>
      <w:r w:rsidR="00EF2254">
        <w:t xml:space="preserve"> increased incidence of renal tubule degeneration (ACGIH,</w:t>
      </w:r>
      <w:r w:rsidR="00AA0B5F">
        <w:t> </w:t>
      </w:r>
      <w:r w:rsidR="00EF2254">
        <w:t>201</w:t>
      </w:r>
      <w:r w:rsidR="00FC23AF">
        <w:t>8</w:t>
      </w:r>
      <w:r w:rsidR="00EF2254">
        <w:t>; ECHA, 2011)</w:t>
      </w:r>
      <w:r w:rsidR="007439B2">
        <w:t xml:space="preserve">. </w:t>
      </w:r>
    </w:p>
    <w:p w14:paraId="291D8BC1" w14:textId="610622CE" w:rsidR="00EF2254" w:rsidRPr="004C23F4" w:rsidRDefault="00CD4363" w:rsidP="006639B4">
      <w:pPr>
        <w:rPr>
          <w:rFonts w:cs="Arial"/>
        </w:rPr>
      </w:pPr>
      <w:r>
        <w:rPr>
          <w:rFonts w:cs="Arial"/>
        </w:rPr>
        <w:t>A TWA of 2 ppm (8.2 mg/m</w:t>
      </w:r>
      <w:r w:rsidRPr="00CD4363">
        <w:rPr>
          <w:rFonts w:cs="Arial"/>
          <w:vertAlign w:val="superscript"/>
        </w:rPr>
        <w:t>3</w:t>
      </w:r>
      <w:r>
        <w:rPr>
          <w:rFonts w:cs="Arial"/>
        </w:rPr>
        <w:t>) is recommended as assigned by ACGIH (201</w:t>
      </w:r>
      <w:r w:rsidR="00FC23AF">
        <w:rPr>
          <w:rFonts w:cs="Arial"/>
        </w:rPr>
        <w:t>8</w:t>
      </w:r>
      <w:r>
        <w:rPr>
          <w:rFonts w:cs="Arial"/>
        </w:rPr>
        <w:t xml:space="preserve">) and based on </w:t>
      </w:r>
      <w:r w:rsidR="00406B54">
        <w:rPr>
          <w:rFonts w:cs="Arial"/>
        </w:rPr>
        <w:t xml:space="preserve">the LOAEC from </w:t>
      </w:r>
      <w:r>
        <w:rPr>
          <w:rFonts w:cs="Arial"/>
        </w:rPr>
        <w:t>inhalation data in rodents</w:t>
      </w:r>
      <w:r w:rsidR="00874804">
        <w:rPr>
          <w:rFonts w:cs="Arial"/>
        </w:rPr>
        <w:t xml:space="preserve">. The recommended TWA </w:t>
      </w:r>
      <w:r w:rsidR="00406B54">
        <w:rPr>
          <w:rFonts w:cs="Arial"/>
        </w:rPr>
        <w:t>is considered sufficiently low to protect</w:t>
      </w:r>
      <w:r w:rsidR="00874804">
        <w:rPr>
          <w:rFonts w:cs="Arial"/>
        </w:rPr>
        <w:t xml:space="preserve"> for </w:t>
      </w:r>
      <w:r w:rsidR="00406B54">
        <w:rPr>
          <w:rFonts w:cs="Arial"/>
        </w:rPr>
        <w:t xml:space="preserve">kidney and liver effects. </w:t>
      </w:r>
    </w:p>
    <w:p w14:paraId="273B44AD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7C6755E" w14:textId="34F514BE" w:rsidR="008E4F1F" w:rsidRPr="00F619EA" w:rsidRDefault="00B14F25" w:rsidP="008E4F1F">
      <w:pPr>
        <w:rPr>
          <w:rFonts w:cs="Arial"/>
        </w:rPr>
      </w:pPr>
      <w:r w:rsidRPr="00F619EA">
        <w:rPr>
          <w:rFonts w:cs="Arial"/>
        </w:rPr>
        <w:t>C</w:t>
      </w:r>
      <w:r w:rsidR="008E4F1F" w:rsidRPr="00F619EA">
        <w:rPr>
          <w:rFonts w:cs="Arial"/>
        </w:rPr>
        <w:t xml:space="preserve">lassified as a </w:t>
      </w:r>
      <w:r w:rsidRPr="00F619EA">
        <w:rPr>
          <w:rFonts w:cs="Arial"/>
        </w:rPr>
        <w:t xml:space="preserve">category 1B </w:t>
      </w:r>
      <w:r w:rsidR="008E4F1F" w:rsidRPr="00F619EA">
        <w:rPr>
          <w:rFonts w:cs="Arial"/>
        </w:rPr>
        <w:t>carcinogen according to the Globally Harmonized System of</w:t>
      </w:r>
      <w:r w:rsidR="00155999" w:rsidRPr="00F619EA">
        <w:rPr>
          <w:rFonts w:cs="Arial"/>
        </w:rPr>
        <w:t xml:space="preserve"> Classification and Labelling of</w:t>
      </w:r>
      <w:r w:rsidR="008E4F1F" w:rsidRPr="00F619EA">
        <w:rPr>
          <w:rFonts w:cs="Arial"/>
        </w:rPr>
        <w:t xml:space="preserve"> Chemicals (GHS). </w:t>
      </w:r>
    </w:p>
    <w:p w14:paraId="03916CCC" w14:textId="77777777" w:rsidR="008E4F1F" w:rsidRPr="00B14F25" w:rsidRDefault="008E4F1F" w:rsidP="008E4F1F">
      <w:pPr>
        <w:rPr>
          <w:rFonts w:cs="Arial"/>
        </w:rPr>
      </w:pPr>
      <w:r w:rsidRPr="00B14F25">
        <w:rPr>
          <w:rFonts w:cs="Arial"/>
        </w:rPr>
        <w:t xml:space="preserve">Not classified as a skin </w:t>
      </w:r>
      <w:r w:rsidR="00155999" w:rsidRPr="00B14F25">
        <w:rPr>
          <w:rFonts w:cs="Arial"/>
        </w:rPr>
        <w:t xml:space="preserve">sensitiser </w:t>
      </w:r>
      <w:r w:rsidRPr="00B14F25">
        <w:rPr>
          <w:rFonts w:cs="Arial"/>
        </w:rPr>
        <w:t>or respiratory sensitiser according to the GHS.</w:t>
      </w:r>
    </w:p>
    <w:p w14:paraId="21CCE2A5" w14:textId="3DB18ECF" w:rsidR="0025734A" w:rsidRPr="004C23F4" w:rsidRDefault="00FC23AF">
      <w:pPr>
        <w:rPr>
          <w:rFonts w:cs="Arial"/>
        </w:rPr>
      </w:pPr>
      <w:r>
        <w:rPr>
          <w:rFonts w:cs="Arial"/>
        </w:rPr>
        <w:t>There are i</w:t>
      </w:r>
      <w:r w:rsidR="008E4F1F" w:rsidRPr="00B14F25">
        <w:rPr>
          <w:rFonts w:cs="Arial"/>
        </w:rPr>
        <w:t xml:space="preserve">nsufficient </w:t>
      </w:r>
      <w:r>
        <w:rPr>
          <w:rFonts w:cs="Arial"/>
        </w:rPr>
        <w:t>data</w:t>
      </w:r>
      <w:r w:rsidRPr="00B14F25">
        <w:rPr>
          <w:rFonts w:cs="Arial"/>
        </w:rPr>
        <w:t xml:space="preserve"> </w:t>
      </w:r>
      <w:r w:rsidR="008E4F1F" w:rsidRPr="00B14F25">
        <w:rPr>
          <w:rFonts w:cs="Arial"/>
        </w:rPr>
        <w:t>to recommend a skin notation.</w:t>
      </w:r>
      <w:r w:rsidR="007C0D58">
        <w:rPr>
          <w:rFonts w:cs="Arial"/>
        </w:rPr>
        <w:t xml:space="preserve"> </w:t>
      </w: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F456A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F456A7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39ABA565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BD5316"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proofErr w:type="spellStart"/>
                <w:r w:rsidR="00BD5316">
                  <w:t>NA</w:t>
                </w:r>
                <w:proofErr w:type="spellEnd"/>
              </w:sdtContent>
            </w:sdt>
          </w:p>
        </w:tc>
      </w:tr>
      <w:tr w:rsidR="00C978F0" w:rsidRPr="00DA352E" w14:paraId="26087DDB" w14:textId="77777777" w:rsidTr="00F456A7">
        <w:trPr>
          <w:gridAfter w:val="1"/>
          <w:wAfter w:w="8" w:type="pct"/>
          <w:cantSplit/>
        </w:trPr>
        <w:tc>
          <w:tcPr>
            <w:tcW w:w="4992" w:type="pct"/>
          </w:tcPr>
          <w:p w14:paraId="1137D58F" w14:textId="12A52864" w:rsidR="00C978F0" w:rsidRPr="00DA352E" w:rsidRDefault="00BD5316" w:rsidP="003365A5">
            <w:pPr>
              <w:pStyle w:val="Tabletextprimarysource"/>
            </w:pPr>
            <w:r>
              <w:t>No report</w:t>
            </w:r>
            <w:r w:rsidR="007C0D58">
              <w:t>.</w:t>
            </w:r>
          </w:p>
        </w:tc>
      </w:tr>
      <w:tr w:rsidR="00C978F0" w:rsidRPr="00DA352E" w14:paraId="24593221" w14:textId="77777777" w:rsidTr="00F456A7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58FE08B0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532D3D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532D3D">
                  <w:t>TLV-TWA: 2 ppm (8.2 mg/m</w:t>
                </w:r>
                <w:r w:rsidR="00532D3D" w:rsidRPr="00532D3D">
                  <w:rPr>
                    <w:vertAlign w:val="superscript"/>
                  </w:rPr>
                  <w:t>3</w:t>
                </w:r>
                <w:r w:rsidR="00532D3D">
                  <w:t>)</w:t>
                </w:r>
              </w:sdtContent>
            </w:sdt>
          </w:p>
        </w:tc>
      </w:tr>
      <w:tr w:rsidR="00C978F0" w:rsidRPr="00DA352E" w14:paraId="418D532D" w14:textId="77777777" w:rsidTr="00F456A7">
        <w:trPr>
          <w:gridAfter w:val="1"/>
          <w:wAfter w:w="8" w:type="pct"/>
          <w:cantSplit/>
        </w:trPr>
        <w:tc>
          <w:tcPr>
            <w:tcW w:w="4992" w:type="pct"/>
          </w:tcPr>
          <w:p w14:paraId="76D5B6E2" w14:textId="05C28B2F" w:rsidR="00C978F0" w:rsidRDefault="00D17940" w:rsidP="003365A5">
            <w:pPr>
              <w:pStyle w:val="Tabletextprimarysource"/>
            </w:pPr>
            <w:r>
              <w:t xml:space="preserve">TLV-TWA recommended to minimise the potential for kidney toxicity. </w:t>
            </w:r>
          </w:p>
          <w:p w14:paraId="020CA04F" w14:textId="08525E03" w:rsidR="00D17940" w:rsidRDefault="00D17940" w:rsidP="003365A5">
            <w:pPr>
              <w:pStyle w:val="Tabletextprimarysource"/>
            </w:pPr>
            <w:r>
              <w:t>Summary of data:</w:t>
            </w:r>
          </w:p>
          <w:p w14:paraId="5AED48F8" w14:textId="419891A1" w:rsidR="00C7627D" w:rsidRDefault="00E0289D" w:rsidP="003365A5">
            <w:pPr>
              <w:pStyle w:val="Tabletextprimarysource"/>
            </w:pPr>
            <w:r>
              <w:t>LOAEC</w:t>
            </w:r>
            <w:r w:rsidR="00C7627D">
              <w:t xml:space="preserve"> for hepatocellular neoplasms and renal tubule degeneration in female rats is 156</w:t>
            </w:r>
            <w:r w:rsidR="00AA0B5F">
              <w:t> </w:t>
            </w:r>
            <w:r w:rsidR="00C7627D">
              <w:t xml:space="preserve">ppm and </w:t>
            </w:r>
            <w:r>
              <w:t xml:space="preserve">LOAEC </w:t>
            </w:r>
            <w:r w:rsidR="00C7627D">
              <w:t xml:space="preserve">for various types of kidney and liver cancers in male rats and both sexes of mice </w:t>
            </w:r>
            <w:proofErr w:type="gramStart"/>
            <w:r w:rsidR="00C7627D">
              <w:t>is</w:t>
            </w:r>
            <w:proofErr w:type="gramEnd"/>
            <w:r w:rsidR="00C7627D">
              <w:t xml:space="preserve"> 312</w:t>
            </w:r>
            <w:r>
              <w:t> </w:t>
            </w:r>
            <w:r w:rsidR="00C7627D">
              <w:t>ppm; basis for TLV-TWA.</w:t>
            </w:r>
          </w:p>
          <w:p w14:paraId="51BDFABA" w14:textId="04053E84" w:rsidR="002657CB" w:rsidRDefault="002657CB" w:rsidP="003365A5">
            <w:pPr>
              <w:pStyle w:val="Tabletextprimarysource"/>
            </w:pPr>
            <w:r>
              <w:t>No human data available</w:t>
            </w:r>
            <w:r w:rsidR="009A62E4">
              <w:t>.</w:t>
            </w:r>
          </w:p>
          <w:p w14:paraId="37A26F35" w14:textId="0307C140" w:rsidR="002657CB" w:rsidRDefault="002657CB" w:rsidP="003365A5">
            <w:pPr>
              <w:pStyle w:val="Tabletextprimarysource"/>
            </w:pPr>
            <w:r>
              <w:t>Animal data:</w:t>
            </w:r>
          </w:p>
          <w:p w14:paraId="4D5A9887" w14:textId="43ABA0DC" w:rsidR="00D17940" w:rsidRDefault="00FC23AF" w:rsidP="005F5C47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</w:t>
            </w:r>
            <w:r w:rsidR="00D17940">
              <w:t>ow acute toxicity, producing kidney toxicity after exposures around 2,000</w:t>
            </w:r>
            <w:r w:rsidR="00AA0B5F">
              <w:t>–</w:t>
            </w:r>
            <w:r w:rsidR="00D17940">
              <w:t>6,000 ppm</w:t>
            </w:r>
          </w:p>
          <w:p w14:paraId="03C68793" w14:textId="2A46E58D" w:rsidR="00D17940" w:rsidRDefault="000A172B" w:rsidP="005F5C47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Inhalation 4</w:t>
            </w:r>
            <w:r w:rsidR="007C0D58">
              <w:t xml:space="preserve"> </w:t>
            </w:r>
            <w:r>
              <w:t>h LC</w:t>
            </w:r>
            <w:r w:rsidRPr="000A172B">
              <w:rPr>
                <w:vertAlign w:val="subscript"/>
              </w:rPr>
              <w:t>50</w:t>
            </w:r>
            <w:r>
              <w:t>: 25,000</w:t>
            </w:r>
            <w:r w:rsidR="00AA0B5F">
              <w:t>–</w:t>
            </w:r>
            <w:r>
              <w:t>45,000 ppm (rats); 35,000 ppm (mice); 28,500 ppm (hamster); 28,000 ppm (guinea pig)</w:t>
            </w:r>
          </w:p>
          <w:p w14:paraId="0340C302" w14:textId="3222C470" w:rsidR="005F5C47" w:rsidRDefault="000A172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Male rats exposed at 0, 1</w:t>
            </w:r>
            <w:r w:rsidR="00900813">
              <w:t>,</w:t>
            </w:r>
            <w:r>
              <w:t>000, 2</w:t>
            </w:r>
            <w:r w:rsidR="00900813">
              <w:t>,</w:t>
            </w:r>
            <w:r>
              <w:t>000, 3</w:t>
            </w:r>
            <w:r w:rsidR="00900813">
              <w:t>,</w:t>
            </w:r>
            <w:r>
              <w:t>000, 4</w:t>
            </w:r>
            <w:r w:rsidR="00900813">
              <w:t>,</w:t>
            </w:r>
            <w:r>
              <w:t>000 or 6</w:t>
            </w:r>
            <w:r w:rsidR="00900813">
              <w:t>,</w:t>
            </w:r>
            <w:r>
              <w:t>000 ppm for 6 h produced signs of renal tubule damage at 4</w:t>
            </w:r>
            <w:r w:rsidR="00900813">
              <w:t>,</w:t>
            </w:r>
            <w:r>
              <w:t>000 and 6</w:t>
            </w:r>
            <w:r w:rsidR="00FC23AF">
              <w:t>,0</w:t>
            </w:r>
            <w:r>
              <w:t>00 ppm</w:t>
            </w:r>
            <w:r w:rsidR="00874804">
              <w:t>:</w:t>
            </w:r>
            <w:r>
              <w:t xml:space="preserve"> </w:t>
            </w:r>
          </w:p>
          <w:p w14:paraId="1140161E" w14:textId="2585E93C" w:rsidR="000A172B" w:rsidRDefault="000A172B" w:rsidP="005F5C47">
            <w:pPr>
              <w:pStyle w:val="ListBullet"/>
              <w:numPr>
                <w:ilvl w:val="0"/>
                <w:numId w:val="10"/>
              </w:numPr>
              <w:spacing w:before="60" w:after="60"/>
              <w:contextualSpacing w:val="0"/>
            </w:pPr>
            <w:r>
              <w:t>NO</w:t>
            </w:r>
            <w:r w:rsidR="00E0289D">
              <w:t>A</w:t>
            </w:r>
            <w:r>
              <w:t>E</w:t>
            </w:r>
            <w:r w:rsidR="005F5C47">
              <w:t>C</w:t>
            </w:r>
            <w:r>
              <w:t xml:space="preserve"> 2</w:t>
            </w:r>
            <w:r w:rsidR="00900813">
              <w:t>,</w:t>
            </w:r>
            <w:r>
              <w:t>000 ppm for kidney toxicity</w:t>
            </w:r>
          </w:p>
          <w:p w14:paraId="635C0D49" w14:textId="0DE02F79" w:rsidR="000A172B" w:rsidRDefault="005E4D66" w:rsidP="005F5C47">
            <w:pPr>
              <w:pStyle w:val="ListBullet"/>
              <w:spacing w:before="60" w:after="60"/>
              <w:ind w:left="714" w:hanging="357"/>
              <w:contextualSpacing w:val="0"/>
            </w:pPr>
            <w:r>
              <w:t>16</w:t>
            </w:r>
            <w:r w:rsidR="00900813">
              <w:t xml:space="preserve"> </w:t>
            </w:r>
            <w:r>
              <w:t>d inhalation study in rats and mice exposed at 0, 312, 625, 1</w:t>
            </w:r>
            <w:r w:rsidR="00900813">
              <w:t>,</w:t>
            </w:r>
            <w:r>
              <w:t>250, 2</w:t>
            </w:r>
            <w:r w:rsidR="00900813">
              <w:t>,</w:t>
            </w:r>
            <w:r>
              <w:t>500 or 5</w:t>
            </w:r>
            <w:r w:rsidR="00900813">
              <w:t>,</w:t>
            </w:r>
            <w:r>
              <w:t>000 ppm for 6 h/d, 5 d/wk:</w:t>
            </w:r>
          </w:p>
          <w:p w14:paraId="0A0CDB76" w14:textId="6C89E941" w:rsidR="008A6922" w:rsidRDefault="00FC23AF" w:rsidP="005F5C47">
            <w:pPr>
              <w:pStyle w:val="ListBullet2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a</w:t>
            </w:r>
            <w:r w:rsidR="008A6922">
              <w:t>t 625 ppm or greater increased renal tubule degeneration in male and female rats</w:t>
            </w:r>
          </w:p>
          <w:p w14:paraId="22CF6187" w14:textId="1EF0CAB8" w:rsidR="005E4D66" w:rsidRDefault="00FC23AF" w:rsidP="005F5C47">
            <w:pPr>
              <w:pStyle w:val="ListBullet2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 xml:space="preserve">other </w:t>
            </w:r>
            <w:r w:rsidR="008A6922">
              <w:t>effects at greater concentrations included b</w:t>
            </w:r>
            <w:r w:rsidR="005E4D66">
              <w:t xml:space="preserve">ody weight reduction </w:t>
            </w:r>
            <w:r w:rsidR="008A6922">
              <w:t>and s</w:t>
            </w:r>
            <w:r w:rsidR="005E4D66">
              <w:t xml:space="preserve">ignificantly greater kidney and liver weights </w:t>
            </w:r>
          </w:p>
          <w:p w14:paraId="19E0C18E" w14:textId="1D516077" w:rsidR="005E4D66" w:rsidRDefault="005E4D66" w:rsidP="005F5C47">
            <w:pPr>
              <w:pStyle w:val="ListBullet2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other tissues and organs appeared unaffected</w:t>
            </w:r>
          </w:p>
          <w:p w14:paraId="55EE7B83" w14:textId="3FBFA086" w:rsidR="00E0289D" w:rsidRDefault="00E0289D" w:rsidP="005F5C47">
            <w:pPr>
              <w:pStyle w:val="ListBullet2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NOAEC 312 ppm</w:t>
            </w:r>
          </w:p>
          <w:p w14:paraId="6B744997" w14:textId="1DFF7C46" w:rsidR="005E4D66" w:rsidRDefault="008A6922" w:rsidP="005F5C47">
            <w:pPr>
              <w:pStyle w:val="ListBullet"/>
              <w:spacing w:before="60" w:after="60"/>
              <w:ind w:left="714" w:hanging="357"/>
              <w:contextualSpacing w:val="0"/>
            </w:pPr>
            <w:r>
              <w:t>13</w:t>
            </w:r>
            <w:r w:rsidR="00900813">
              <w:t xml:space="preserve"> </w:t>
            </w:r>
            <w:r>
              <w:t>wk inhalation study in rats and mice (same exposure doses as 16</w:t>
            </w:r>
            <w:r w:rsidR="00FC23AF">
              <w:t xml:space="preserve"> </w:t>
            </w:r>
            <w:r>
              <w:t xml:space="preserve">d study): </w:t>
            </w:r>
          </w:p>
          <w:p w14:paraId="41A42235" w14:textId="072F56CC" w:rsidR="008A6922" w:rsidRDefault="00FC23AF" w:rsidP="005F5C47">
            <w:pPr>
              <w:pStyle w:val="ListBullet2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 xml:space="preserve">at </w:t>
            </w:r>
            <w:r w:rsidR="008A6922">
              <w:t>625 ppm or greater increased kidney weight in female rats and slightly increased incidence of renal tubule degeneration in</w:t>
            </w:r>
            <w:r w:rsidR="00FB3BAE">
              <w:t xml:space="preserve"> male rats</w:t>
            </w:r>
          </w:p>
          <w:p w14:paraId="297C63BD" w14:textId="3FB7F939" w:rsidR="00E0289D" w:rsidRDefault="00E0289D" w:rsidP="00E0289D">
            <w:pPr>
              <w:pStyle w:val="ListBullet2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NOAEC 312 ppm</w:t>
            </w:r>
          </w:p>
          <w:p w14:paraId="63C17F3F" w14:textId="31A32781" w:rsidR="00FB3BAE" w:rsidRDefault="002657CB" w:rsidP="005F5C47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Carcinogenicity study in rats (103 wk) and mice (95 wk) exposed </w:t>
            </w:r>
            <w:r w:rsidR="00FA444B">
              <w:t xml:space="preserve">(whole body) </w:t>
            </w:r>
            <w:r>
              <w:t xml:space="preserve">at </w:t>
            </w:r>
            <w:r w:rsidRPr="006166C1">
              <w:t>0,156</w:t>
            </w:r>
            <w:r w:rsidR="00E0289D">
              <w:t> ppm</w:t>
            </w:r>
            <w:r>
              <w:t xml:space="preserve"> (male rats only)</w:t>
            </w:r>
            <w:r w:rsidRPr="006166C1">
              <w:t>, 312</w:t>
            </w:r>
            <w:r>
              <w:t>,</w:t>
            </w:r>
            <w:r w:rsidRPr="006166C1">
              <w:t xml:space="preserve"> 625</w:t>
            </w:r>
            <w:r>
              <w:t xml:space="preserve"> or 1250 ppm (rats of both sexes and female mice only):</w:t>
            </w:r>
          </w:p>
          <w:p w14:paraId="651C1C46" w14:textId="16C60097" w:rsidR="002657CB" w:rsidRDefault="002657CB" w:rsidP="005F5C47">
            <w:pPr>
              <w:pStyle w:val="ListBullet2"/>
              <w:numPr>
                <w:ilvl w:val="0"/>
                <w:numId w:val="3"/>
              </w:numPr>
              <w:spacing w:before="60" w:after="60"/>
              <w:ind w:left="1094" w:hanging="357"/>
              <w:contextualSpacing w:val="0"/>
            </w:pPr>
            <w:r>
              <w:t>evidence of carcinogenic activity in male and female rats and mice</w:t>
            </w:r>
          </w:p>
          <w:p w14:paraId="72E144C9" w14:textId="423A395E" w:rsidR="002657CB" w:rsidRDefault="002657CB" w:rsidP="005F5C47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Negative results in genotoxicity studies</w:t>
            </w:r>
            <w:r w:rsidR="009A62E4">
              <w:t>.</w:t>
            </w:r>
          </w:p>
          <w:p w14:paraId="22A78CAC" w14:textId="77777777" w:rsidR="00AA0B5F" w:rsidRDefault="00AA0B5F" w:rsidP="009A62E4">
            <w:pPr>
              <w:pStyle w:val="Tabletextprimarysource"/>
            </w:pPr>
          </w:p>
          <w:p w14:paraId="0DF2EE8A" w14:textId="77777777" w:rsidR="009A62E4" w:rsidRDefault="009A62E4" w:rsidP="009A62E4">
            <w:pPr>
              <w:pStyle w:val="Tabletextprimarysource"/>
            </w:pPr>
            <w:r>
              <w:t>Insufficient data available to recommend skin or SEN notations or TLV-STEL.</w:t>
            </w:r>
          </w:p>
          <w:p w14:paraId="0CE4D35D" w14:textId="10CC700A" w:rsidR="00AA0B5F" w:rsidRPr="00DA352E" w:rsidRDefault="00AA0B5F" w:rsidP="009A62E4">
            <w:pPr>
              <w:pStyle w:val="Tabletextprimarysource"/>
            </w:pPr>
          </w:p>
        </w:tc>
      </w:tr>
      <w:tr w:rsidR="00C978F0" w:rsidRPr="00DA352E" w14:paraId="174F8B79" w14:textId="77777777" w:rsidTr="00F456A7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53492E36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532D3D">
                  <w:t>2005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532D3D">
                  <w:t>Not assigned</w:t>
                </w:r>
              </w:sdtContent>
            </w:sdt>
          </w:p>
        </w:tc>
      </w:tr>
      <w:tr w:rsidR="00C978F0" w:rsidRPr="00DA352E" w14:paraId="4433014F" w14:textId="77777777" w:rsidTr="00F456A7">
        <w:trPr>
          <w:gridAfter w:val="1"/>
          <w:wAfter w:w="8" w:type="pct"/>
        </w:trPr>
        <w:tc>
          <w:tcPr>
            <w:tcW w:w="4992" w:type="pct"/>
          </w:tcPr>
          <w:p w14:paraId="595C3791" w14:textId="707A7E6A" w:rsidR="00C978F0" w:rsidRDefault="00431DD4" w:rsidP="003365A5">
            <w:pPr>
              <w:pStyle w:val="Tabletextprimarysource"/>
            </w:pPr>
            <w:r>
              <w:t>Summary of additional data:</w:t>
            </w:r>
          </w:p>
          <w:p w14:paraId="2941FD9E" w14:textId="083699A3" w:rsidR="00882796" w:rsidRDefault="00882796" w:rsidP="005F5C47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Increased </w:t>
            </w:r>
            <w:r w:rsidR="005F5C47">
              <w:t>Fl</w:t>
            </w:r>
            <w:r>
              <w:t xml:space="preserve"> ion excretion in urine of </w:t>
            </w:r>
            <w:r w:rsidR="00431DD4">
              <w:t xml:space="preserve">exposed workers; no </w:t>
            </w:r>
            <w:r w:rsidR="007439B2">
              <w:t>other observations in humans</w:t>
            </w:r>
          </w:p>
          <w:p w14:paraId="27C92671" w14:textId="69583DB5" w:rsidR="00C7627D" w:rsidRPr="006166C1" w:rsidRDefault="00C7627D" w:rsidP="005F5C47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shd w:val="clear" w:color="auto" w:fill="FFFFFF"/>
              </w:rPr>
              <w:t>No evidence of a genotoxic effect from available studies</w:t>
            </w:r>
          </w:p>
          <w:p w14:paraId="6AD4734C" w14:textId="7ACD5FC8" w:rsidR="00C7627D" w:rsidRPr="00745F10" w:rsidRDefault="00C7627D" w:rsidP="005F5C47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shd w:val="clear" w:color="auto" w:fill="FFFFFF"/>
              </w:rPr>
              <w:lastRenderedPageBreak/>
              <w:t>No dermal absorption data due to gaseous state</w:t>
            </w:r>
          </w:p>
          <w:p w14:paraId="33E07078" w14:textId="62D4B986" w:rsidR="00745F10" w:rsidRPr="006166C1" w:rsidRDefault="00745F10" w:rsidP="005F5C47">
            <w:pPr>
              <w:pStyle w:val="ListBullet"/>
              <w:spacing w:before="60" w:after="60"/>
              <w:ind w:left="714" w:hanging="357"/>
              <w:contextualSpacing w:val="0"/>
            </w:pPr>
            <w:r>
              <w:rPr>
                <w:shd w:val="clear" w:color="auto" w:fill="FFFFFF"/>
              </w:rPr>
              <w:t>No studies available on skin or eye irritation but no such effects observed in inhalation studies</w:t>
            </w:r>
          </w:p>
          <w:p w14:paraId="4DA3EDD6" w14:textId="31B0AD26" w:rsidR="005F5C47" w:rsidRPr="005F5C47" w:rsidRDefault="00C7627D" w:rsidP="005F5C47">
            <w:pPr>
              <w:pStyle w:val="ListBullet"/>
              <w:spacing w:before="60" w:after="60"/>
              <w:ind w:left="714" w:hanging="357"/>
              <w:contextualSpacing w:val="0"/>
            </w:pPr>
            <w:r w:rsidRPr="00B677DE">
              <w:rPr>
                <w:shd w:val="clear" w:color="auto" w:fill="FFFFFF"/>
              </w:rPr>
              <w:t>Insufficient data to assess sensitising effect</w:t>
            </w:r>
            <w:r w:rsidR="00B677DE">
              <w:rPr>
                <w:shd w:val="clear" w:color="auto" w:fill="FFFFFF"/>
              </w:rPr>
              <w:t>.</w:t>
            </w:r>
          </w:p>
          <w:p w14:paraId="61A64F09" w14:textId="1E784F06" w:rsidR="00AA0B5F" w:rsidRPr="00DA352E" w:rsidRDefault="00AA0B5F" w:rsidP="005F5C47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0E6A0B2C" w14:textId="77777777" w:rsidTr="00F456A7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63274E2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532D3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532D3D">
                  <w:t>NA</w:t>
                </w:r>
                <w:proofErr w:type="spellEnd"/>
              </w:sdtContent>
            </w:sdt>
          </w:p>
        </w:tc>
      </w:tr>
      <w:tr w:rsidR="00C978F0" w:rsidRPr="00DA352E" w14:paraId="2008D281" w14:textId="77777777" w:rsidTr="00F456A7">
        <w:trPr>
          <w:gridAfter w:val="1"/>
          <w:wAfter w:w="8" w:type="pct"/>
          <w:cantSplit/>
        </w:trPr>
        <w:tc>
          <w:tcPr>
            <w:tcW w:w="4992" w:type="pct"/>
          </w:tcPr>
          <w:p w14:paraId="153B53C1" w14:textId="1159E0A6" w:rsidR="00C978F0" w:rsidRPr="00DA352E" w:rsidRDefault="00532D3D" w:rsidP="003365A5">
            <w:pPr>
              <w:pStyle w:val="Tabletextprimarysource"/>
            </w:pPr>
            <w:r>
              <w:t>No report</w:t>
            </w:r>
            <w:r w:rsidR="004D1EA0">
              <w:t>.</w:t>
            </w:r>
          </w:p>
        </w:tc>
      </w:tr>
      <w:tr w:rsidR="00DA352E" w:rsidRPr="00DA352E" w14:paraId="12BAB90D" w14:textId="77777777" w:rsidTr="00F456A7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3CCF7B05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532D3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sdt>
                  <w:sdtPr>
                    <w:id w:val="-2070715180"/>
                    <w:placeholder>
                      <w:docPart w:val="64A333B2298C43168A33B92F57A98C0F"/>
                    </w:placeholder>
                    <w:text/>
                  </w:sdtPr>
                  <w:sdtEndPr/>
                  <w:sdtContent>
                    <w:proofErr w:type="spellStart"/>
                    <w:r w:rsidR="00532D3D">
                      <w:t>NA</w:t>
                    </w:r>
                    <w:proofErr w:type="spellEnd"/>
                  </w:sdtContent>
                </w:sdt>
              </w:sdtContent>
            </w:sdt>
          </w:p>
        </w:tc>
      </w:tr>
      <w:tr w:rsidR="00DA352E" w:rsidRPr="00DA352E" w14:paraId="33AAF4A6" w14:textId="77777777" w:rsidTr="00F456A7">
        <w:trPr>
          <w:gridAfter w:val="1"/>
          <w:wAfter w:w="8" w:type="pct"/>
          <w:cantSplit/>
        </w:trPr>
        <w:tc>
          <w:tcPr>
            <w:tcW w:w="4992" w:type="pct"/>
          </w:tcPr>
          <w:p w14:paraId="2059E4CB" w14:textId="400C04D4" w:rsidR="00DA352E" w:rsidRPr="00DA352E" w:rsidRDefault="00532D3D" w:rsidP="003365A5">
            <w:pPr>
              <w:pStyle w:val="Tabletextprimarysource"/>
            </w:pPr>
            <w:r>
              <w:t>No report</w:t>
            </w:r>
            <w:r w:rsidR="004D1EA0">
              <w:t>.</w:t>
            </w:r>
          </w:p>
        </w:tc>
      </w:tr>
      <w:tr w:rsidR="00DA352E" w:rsidRPr="00DA352E" w14:paraId="605F758C" w14:textId="77777777" w:rsidTr="00F456A7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0088A2C9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532D3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sdt>
                  <w:sdtPr>
                    <w:id w:val="471180649"/>
                    <w:placeholder>
                      <w:docPart w:val="9CDD794B4EE54B919C9889F817F99F6F"/>
                    </w:placeholder>
                    <w:text/>
                  </w:sdtPr>
                  <w:sdtEndPr/>
                  <w:sdtContent>
                    <w:proofErr w:type="spellStart"/>
                    <w:r w:rsidR="00532D3D">
                      <w:t>NA</w:t>
                    </w:r>
                    <w:proofErr w:type="spellEnd"/>
                  </w:sdtContent>
                </w:sdt>
              </w:sdtContent>
            </w:sdt>
          </w:p>
        </w:tc>
      </w:tr>
      <w:tr w:rsidR="00DA352E" w:rsidRPr="00DA352E" w14:paraId="7050CB3E" w14:textId="77777777" w:rsidTr="00F456A7">
        <w:trPr>
          <w:gridAfter w:val="1"/>
          <w:wAfter w:w="8" w:type="pct"/>
          <w:cantSplit/>
        </w:trPr>
        <w:tc>
          <w:tcPr>
            <w:tcW w:w="4992" w:type="pct"/>
          </w:tcPr>
          <w:p w14:paraId="492D7791" w14:textId="282203E9" w:rsidR="00DA352E" w:rsidRPr="00DA352E" w:rsidRDefault="00532D3D" w:rsidP="003365A5">
            <w:pPr>
              <w:pStyle w:val="Tabletextprimarysource"/>
            </w:pPr>
            <w:r>
              <w:t>No report</w:t>
            </w:r>
            <w:r w:rsidR="004D1EA0">
              <w:t>.</w:t>
            </w: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5"/>
        <w:gridCol w:w="423"/>
        <w:gridCol w:w="661"/>
        <w:gridCol w:w="6447"/>
      </w:tblGrid>
      <w:tr w:rsidR="004966BF" w:rsidRPr="00263255" w14:paraId="6AE89AB3" w14:textId="77777777" w:rsidTr="00F45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5" w:type="dxa"/>
            <w:shd w:val="clear" w:color="auto" w:fill="BFBFBF" w:themeFill="background1" w:themeFillShade="BF"/>
            <w:vAlign w:val="center"/>
          </w:tcPr>
          <w:p w14:paraId="084A5BD3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7B16D7E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5CC24B52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7" w:type="dxa"/>
            <w:shd w:val="clear" w:color="auto" w:fill="BFBFBF" w:themeFill="background1" w:themeFillShade="BF"/>
            <w:vAlign w:val="center"/>
          </w:tcPr>
          <w:p w14:paraId="24D06CBF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67214C13" w14:textId="77777777" w:rsidTr="00F456A7">
        <w:trPr>
          <w:cantSplit/>
        </w:trPr>
        <w:tc>
          <w:tcPr>
            <w:tcW w:w="1495" w:type="dxa"/>
          </w:tcPr>
          <w:p w14:paraId="4B3B2A83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37DAB09E" w14:textId="07FAC8F3" w:rsidR="004966BF" w:rsidRPr="00CE617F" w:rsidRDefault="00F456A7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745F10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BB66CBF" w14:textId="462DE8D9" w:rsidR="004966BF" w:rsidRPr="004C23F4" w:rsidRDefault="00745F10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2015</w:t>
            </w:r>
          </w:p>
        </w:tc>
        <w:tc>
          <w:tcPr>
            <w:tcW w:w="6447" w:type="dxa"/>
          </w:tcPr>
          <w:p w14:paraId="18B650B8" w14:textId="1DCA7451" w:rsidR="00712776" w:rsidRPr="00712776" w:rsidRDefault="00712776" w:rsidP="005F5C47">
            <w:pPr>
              <w:pStyle w:val="ListBullet"/>
              <w:spacing w:before="60" w:after="60"/>
              <w:ind w:left="714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712776">
              <w:rPr>
                <w:rFonts w:cs="Arial"/>
              </w:rPr>
              <w:t>vailable information indicate</w:t>
            </w:r>
            <w:r w:rsidR="00FC23AF">
              <w:rPr>
                <w:rFonts w:cs="Arial"/>
              </w:rPr>
              <w:t xml:space="preserve">s </w:t>
            </w:r>
            <w:r w:rsidRPr="00712776">
              <w:rPr>
                <w:rFonts w:cs="Arial"/>
              </w:rPr>
              <w:t xml:space="preserve">the chemical </w:t>
            </w:r>
            <w:r w:rsidR="00403670">
              <w:rPr>
                <w:rFonts w:cs="Arial"/>
              </w:rPr>
              <w:t xml:space="preserve">is </w:t>
            </w:r>
            <w:r w:rsidR="00FC23AF">
              <w:rPr>
                <w:rFonts w:cs="Arial"/>
              </w:rPr>
              <w:t>no</w:t>
            </w:r>
            <w:r w:rsidR="00403670">
              <w:rPr>
                <w:rFonts w:cs="Arial"/>
              </w:rPr>
              <w:t>t</w:t>
            </w:r>
            <w:r w:rsidRPr="00712776">
              <w:rPr>
                <w:rFonts w:cs="Arial"/>
              </w:rPr>
              <w:t xml:space="preserve"> mutagenic or </w:t>
            </w:r>
            <w:r w:rsidRPr="004D1EA0">
              <w:t>clastogenic</w:t>
            </w:r>
            <w:r w:rsidRPr="00712776">
              <w:rPr>
                <w:rFonts w:cs="Arial"/>
              </w:rPr>
              <w:t xml:space="preserve"> potential</w:t>
            </w:r>
            <w:r>
              <w:rPr>
                <w:rFonts w:cs="Arial"/>
                <w:lang w:val="en"/>
              </w:rPr>
              <w:t xml:space="preserve"> </w:t>
            </w:r>
          </w:p>
          <w:p w14:paraId="0076C2F1" w14:textId="60D51077" w:rsidR="00B14F25" w:rsidRPr="004C23F4" w:rsidRDefault="00B14F25" w:rsidP="005F5C47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  <w:lang w:val="en"/>
              </w:rPr>
              <w:t>I</w:t>
            </w:r>
            <w:r w:rsidRPr="00B14F25">
              <w:rPr>
                <w:rFonts w:cs="Arial"/>
                <w:lang w:val="en"/>
              </w:rPr>
              <w:t xml:space="preserve">nadequate </w:t>
            </w:r>
            <w:r w:rsidRPr="004D1EA0">
              <w:t>evidence</w:t>
            </w:r>
            <w:r w:rsidRPr="00B14F25">
              <w:rPr>
                <w:rFonts w:cs="Arial"/>
                <w:lang w:val="en"/>
              </w:rPr>
              <w:t xml:space="preserve"> for carcinogenicity in humans, but</w:t>
            </w:r>
            <w:r w:rsidR="00403670">
              <w:rPr>
                <w:rFonts w:cs="Arial"/>
                <w:lang w:val="en"/>
              </w:rPr>
              <w:t xml:space="preserve"> there is</w:t>
            </w:r>
            <w:r w:rsidRPr="00B14F25">
              <w:rPr>
                <w:rFonts w:cs="Arial"/>
                <w:lang w:val="en"/>
              </w:rPr>
              <w:t xml:space="preserve"> </w:t>
            </w:r>
            <w:proofErr w:type="gramStart"/>
            <w:r w:rsidRPr="00B14F25">
              <w:rPr>
                <w:rFonts w:cs="Arial"/>
                <w:lang w:val="en"/>
              </w:rPr>
              <w:t>sufficient</w:t>
            </w:r>
            <w:proofErr w:type="gramEnd"/>
            <w:r w:rsidRPr="00B14F25">
              <w:rPr>
                <w:rFonts w:cs="Arial"/>
                <w:lang w:val="en"/>
              </w:rPr>
              <w:t xml:space="preserve"> evidence in animal</w:t>
            </w:r>
            <w:r w:rsidR="00712776">
              <w:rPr>
                <w:rFonts w:cs="Arial"/>
                <w:lang w:val="en"/>
              </w:rPr>
              <w:t>s</w:t>
            </w:r>
            <w:r w:rsidR="00FA444B">
              <w:rPr>
                <w:rFonts w:cs="Arial"/>
                <w:lang w:val="en"/>
              </w:rPr>
              <w:t>.</w:t>
            </w:r>
          </w:p>
        </w:tc>
      </w:tr>
      <w:tr w:rsidR="004966BF" w:rsidRPr="004C23F4" w14:paraId="57B99F2E" w14:textId="77777777" w:rsidTr="00F456A7">
        <w:trPr>
          <w:cantSplit/>
        </w:trPr>
        <w:tc>
          <w:tcPr>
            <w:tcW w:w="1495" w:type="dxa"/>
          </w:tcPr>
          <w:p w14:paraId="4284E78B" w14:textId="77777777" w:rsidR="004966BF" w:rsidRPr="004C23F4" w:rsidRDefault="004966BF" w:rsidP="00224EE2">
            <w:pPr>
              <w:pStyle w:val="Tablefont"/>
            </w:pPr>
            <w:r>
              <w:t>NTP</w:t>
            </w:r>
          </w:p>
        </w:tc>
        <w:tc>
          <w:tcPr>
            <w:tcW w:w="423" w:type="dxa"/>
          </w:tcPr>
          <w:p w14:paraId="7FB38F5E" w14:textId="52F63730" w:rsidR="004966BF" w:rsidRPr="00CE617F" w:rsidRDefault="00F456A7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954586092"/>
                <w:placeholder>
                  <w:docPart w:val="0599BE4318CD4CC0836196E577CC2921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F4292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68FFB1E" w14:textId="10D43260" w:rsidR="004966BF" w:rsidRPr="004C23F4" w:rsidRDefault="008F429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1997</w:t>
            </w:r>
          </w:p>
        </w:tc>
        <w:tc>
          <w:tcPr>
            <w:tcW w:w="6447" w:type="dxa"/>
          </w:tcPr>
          <w:p w14:paraId="7CA16C03" w14:textId="1B86391E" w:rsidR="004966BF" w:rsidRPr="004C23F4" w:rsidRDefault="008F4292" w:rsidP="005F5C47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From 2 y</w:t>
            </w:r>
            <w:r w:rsidR="004D1EA0">
              <w:rPr>
                <w:rStyle w:val="checkbox"/>
                <w:rFonts w:ascii="Arial" w:hAnsi="Arial" w:cs="Arial"/>
              </w:rPr>
              <w:t>r</w:t>
            </w:r>
            <w:r>
              <w:rPr>
                <w:rStyle w:val="checkbox"/>
                <w:rFonts w:ascii="Arial" w:hAnsi="Arial" w:cs="Arial"/>
              </w:rPr>
              <w:t xml:space="preserve"> inhalation studies, clear evidence of carcinogenic activity in rats and </w:t>
            </w:r>
            <w:r w:rsidRPr="004D1EA0">
              <w:t>mice</w:t>
            </w:r>
            <w:r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61B5CF9D" w14:textId="77777777" w:rsidTr="00F456A7">
        <w:trPr>
          <w:cantSplit/>
        </w:trPr>
        <w:tc>
          <w:tcPr>
            <w:tcW w:w="1495" w:type="dxa"/>
          </w:tcPr>
          <w:p w14:paraId="3021C8F4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3" w:type="dxa"/>
          </w:tcPr>
          <w:p w14:paraId="1B271840" w14:textId="02DEE2A1" w:rsidR="004966BF" w:rsidRPr="00CE617F" w:rsidRDefault="00F456A7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882796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5DA2066" w14:textId="073BA571" w:rsidR="004966BF" w:rsidRPr="004C23F4" w:rsidRDefault="008F429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2011</w:t>
            </w:r>
          </w:p>
        </w:tc>
        <w:tc>
          <w:tcPr>
            <w:tcW w:w="6447" w:type="dxa"/>
          </w:tcPr>
          <w:p w14:paraId="5C19B807" w14:textId="0749FAB6" w:rsidR="004966BF" w:rsidRPr="004C23F4" w:rsidRDefault="007075C9" w:rsidP="005F5C47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 xml:space="preserve">LOAEC 156 </w:t>
            </w:r>
            <w:r w:rsidRPr="004D1EA0">
              <w:t>ppm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="0056302F">
              <w:rPr>
                <w:rStyle w:val="checkbox"/>
                <w:rFonts w:ascii="Arial" w:hAnsi="Arial" w:cs="Arial"/>
              </w:rPr>
              <w:t xml:space="preserve">(rat, 2 </w:t>
            </w:r>
            <w:r>
              <w:rPr>
                <w:rStyle w:val="checkbox"/>
                <w:rFonts w:ascii="Arial" w:hAnsi="Arial" w:cs="Arial"/>
              </w:rPr>
              <w:t>y</w:t>
            </w:r>
            <w:r w:rsidR="004D1EA0">
              <w:rPr>
                <w:rStyle w:val="checkbox"/>
                <w:rFonts w:ascii="Arial" w:hAnsi="Arial" w:cs="Arial"/>
              </w:rPr>
              <w:t>r</w:t>
            </w:r>
            <w:r w:rsidR="0056302F">
              <w:rPr>
                <w:rStyle w:val="checkbox"/>
                <w:rFonts w:ascii="Arial" w:hAnsi="Arial" w:cs="Arial"/>
              </w:rPr>
              <w:t>, inhalation); i</w:t>
            </w:r>
            <w:r w:rsidR="0056302F" w:rsidRPr="0056302F">
              <w:rPr>
                <w:rFonts w:cs="Arial"/>
              </w:rPr>
              <w:t>ncreased incidences of renal tubule degeneration</w:t>
            </w:r>
            <w:r w:rsidR="008F4292">
              <w:rPr>
                <w:rFonts w:cs="Arial"/>
              </w:rPr>
              <w:t>.</w:t>
            </w:r>
          </w:p>
        </w:tc>
      </w:tr>
    </w:tbl>
    <w:bookmarkEnd w:id="0"/>
    <w:p w14:paraId="04408E2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28EBB70" w14:textId="77777777" w:rsidTr="00745F10">
        <w:trPr>
          <w:trHeight w:val="454"/>
          <w:tblHeader/>
        </w:trPr>
        <w:tc>
          <w:tcPr>
            <w:tcW w:w="6597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B8F4675" w14:textId="2CF86916" w:rsidR="002E0D61" w:rsidRDefault="00B14F25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618A4C0" w14:textId="77777777" w:rsidTr="00745F10">
        <w:trPr>
          <w:trHeight w:val="454"/>
        </w:trPr>
        <w:tc>
          <w:tcPr>
            <w:tcW w:w="6597" w:type="dxa"/>
            <w:vAlign w:val="center"/>
          </w:tcPr>
          <w:p w14:paraId="28B995B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2B1B278" w14:textId="43998A22" w:rsidR="008A36CF" w:rsidRDefault="005F5C47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D6DDFA3" w14:textId="77777777" w:rsidTr="00745F10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14:paraId="1A7516AB" w14:textId="6BBB0785" w:rsidR="008A36CF" w:rsidRPr="006901A2" w:rsidRDefault="00712776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18F36B7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F45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2" w:name="Notations"/>
            <w:bookmarkStart w:id="3" w:name="_GoBack" w:colFirst="0" w:colLast="2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bookmarkEnd w:id="3"/>
      <w:tr w:rsidR="00687890" w:rsidRPr="004C23F4" w14:paraId="32D44898" w14:textId="77777777" w:rsidTr="00F456A7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18470A52" w:rsidR="00687890" w:rsidRPr="00DD2F9B" w:rsidRDefault="00BD5316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2A0C13EF" w14:textId="77777777" w:rsidTr="00F456A7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1666CE27" w:rsidR="007925F0" w:rsidRPr="00DD2F9B" w:rsidRDefault="00532D3D" w:rsidP="00DD2F9B">
            <w:pPr>
              <w:pStyle w:val="Tablefont"/>
            </w:pPr>
            <w:r w:rsidRPr="00532D3D">
              <w:t>Carcinogenicity – category 1B</w:t>
            </w:r>
          </w:p>
        </w:tc>
      </w:tr>
      <w:tr w:rsidR="00AF483F" w:rsidRPr="004C23F4" w14:paraId="4C1044B3" w14:textId="77777777" w:rsidTr="00F456A7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726A5333" w:rsidR="00AF483F" w:rsidRPr="00DD2F9B" w:rsidRDefault="00532D3D" w:rsidP="00DD2F9B">
            <w:pPr>
              <w:pStyle w:val="Tablefont"/>
            </w:pPr>
            <w:r w:rsidRPr="00532D3D">
              <w:t>Carc. Cat 2</w:t>
            </w:r>
          </w:p>
        </w:tc>
      </w:tr>
      <w:tr w:rsidR="00687890" w:rsidRPr="004C23F4" w14:paraId="7812F0EC" w14:textId="77777777" w:rsidTr="00F456A7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2886843F" w:rsidR="00687890" w:rsidRPr="00DD2F9B" w:rsidRDefault="00532D3D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F456A7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00DB6BB8" w:rsidR="00E41A26" w:rsidRPr="00DD2F9B" w:rsidRDefault="00532D3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7A490EF" w14:textId="77777777" w:rsidTr="00F456A7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0F42B8EA" w:rsidR="002E0D61" w:rsidRPr="00DD2F9B" w:rsidRDefault="00532D3D" w:rsidP="00DD2F9B">
            <w:pPr>
              <w:pStyle w:val="Tablefont"/>
            </w:pPr>
            <w:r w:rsidRPr="00532D3D">
              <w:t>Carcinogenicity – A3</w:t>
            </w:r>
          </w:p>
        </w:tc>
      </w:tr>
      <w:tr w:rsidR="002E0D61" w:rsidRPr="004C23F4" w14:paraId="43FA3590" w14:textId="77777777" w:rsidTr="00F456A7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lastRenderedPageBreak/>
              <w:t>DFG</w:t>
            </w:r>
          </w:p>
        </w:tc>
        <w:tc>
          <w:tcPr>
            <w:tcW w:w="6015" w:type="dxa"/>
          </w:tcPr>
          <w:p w14:paraId="76555DBE" w14:textId="7E5A4FDD" w:rsidR="002E0D61" w:rsidRPr="00DD2F9B" w:rsidRDefault="00532D3D" w:rsidP="00DD2F9B">
            <w:pPr>
              <w:pStyle w:val="Tablefont"/>
            </w:pPr>
            <w:r w:rsidRPr="00532D3D">
              <w:t>Carcinogenicity – 2</w:t>
            </w:r>
          </w:p>
        </w:tc>
      </w:tr>
      <w:tr w:rsidR="002E0D61" w:rsidRPr="004C23F4" w14:paraId="2AC7B866" w14:textId="77777777" w:rsidTr="00F456A7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7424D79E" w:rsidR="002E0D61" w:rsidRPr="00DD2F9B" w:rsidRDefault="00532D3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F456A7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07D40444" w:rsidR="002E0D61" w:rsidRPr="00DD2F9B" w:rsidRDefault="00532D3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F6A6A8E" w14:textId="77777777" w:rsidTr="00F456A7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1D08E55F" w:rsidR="00386093" w:rsidRPr="00DD2F9B" w:rsidRDefault="001072BA" w:rsidP="00DD2F9B">
            <w:pPr>
              <w:pStyle w:val="Tablefont"/>
            </w:pPr>
            <w:r w:rsidRPr="001072BA">
              <w:t>Carcinogenicity – Group 2A</w:t>
            </w:r>
          </w:p>
        </w:tc>
      </w:tr>
      <w:tr w:rsidR="00386093" w:rsidRPr="004C23F4" w14:paraId="7461DB0E" w14:textId="77777777" w:rsidTr="00F456A7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0A4C86DE" w:rsidR="00386093" w:rsidRPr="00DD2F9B" w:rsidRDefault="001072BA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329D664C" w14:textId="3ACC84C7" w:rsidR="00932DCE" w:rsidRPr="004C23F4" w:rsidRDefault="00745F10" w:rsidP="00F9496B">
            <w:pPr>
              <w:pStyle w:val="Tablefont"/>
            </w:pPr>
            <w:bookmarkStart w:id="4" w:name="SkinNot"/>
            <w:r w:rsidRPr="00EA0DA8">
              <w:t>Insufficient data to assign a skin notation</w:t>
            </w:r>
            <w:r w:rsidR="005F5C47">
              <w:t>.</w:t>
            </w:r>
          </w:p>
        </w:tc>
      </w:tr>
    </w:tbl>
    <w:bookmarkEnd w:id="4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43D5953A" w:rsidR="00EB3D1B" w:rsidRDefault="008B1D5B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141343DB" w:rsidR="001B79E5" w:rsidRDefault="008B1D5B" w:rsidP="001B79E5">
                <w:pPr>
                  <w:pStyle w:val="Tablefont"/>
                </w:pPr>
                <w:r w:rsidRPr="008B1D5B">
                  <w:t>100.02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268631AC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8B1D5B" w:rsidRPr="008B1D5B">
                  <w:t>4.09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8B1D5B" w:rsidRPr="008B1D5B">
                  <w:t>0.24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77777777" w:rsidR="00E06F40" w:rsidRPr="00A006A0" w:rsidRDefault="00F456A7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4CBC0F46" w:rsidR="008E4F1F" w:rsidRDefault="008E4F1F" w:rsidP="008E4F1F">
      <w:pPr>
        <w:rPr>
          <w:b/>
        </w:rPr>
      </w:pPr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8B1D5B">
        <w:t>2006</w:t>
      </w:r>
      <w:r>
        <w:t xml:space="preserve">) </w:t>
      </w:r>
      <w:proofErr w:type="spellStart"/>
      <w:r w:rsidR="008B1D5B" w:rsidRPr="008B1D5B">
        <w:t>Tetrafluorethen</w:t>
      </w:r>
      <w:proofErr w:type="spellEnd"/>
      <w:r>
        <w:t xml:space="preserve"> – MAK value documentation.</w:t>
      </w:r>
    </w:p>
    <w:p w14:paraId="60209CC5" w14:textId="49F1992D" w:rsidR="00F619EA" w:rsidRDefault="00F619EA" w:rsidP="008E4F1F">
      <w:r w:rsidRPr="00E461B8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538C191E" w14:textId="3292387F" w:rsidR="00FC23AF" w:rsidRDefault="00FC23AF" w:rsidP="008E4F1F">
      <w:r w:rsidRPr="00DB0A36">
        <w:lastRenderedPageBreak/>
        <w:t xml:space="preserve">International Agency for Research on Cancer (IARC) </w:t>
      </w:r>
      <w:r w:rsidR="00CE21C6">
        <w:t>Tetrafluoroethylene</w:t>
      </w:r>
      <w:r w:rsidRPr="00DB0A36">
        <w:t>. IARC Monographs – 1</w:t>
      </w:r>
      <w:r w:rsidR="00CE21C6">
        <w:t>10</w:t>
      </w:r>
      <w:r w:rsidRPr="00DB0A36">
        <w:t>.</w:t>
      </w:r>
    </w:p>
    <w:p w14:paraId="1D94FE62" w14:textId="6BFFE89F" w:rsidR="008E4F1F" w:rsidRDefault="008E4F1F" w:rsidP="008E4F1F">
      <w:r w:rsidRPr="002022B6">
        <w:t>National Industrial Chemicals Notification and Assessment Scheme (NICNAS)</w:t>
      </w:r>
      <w:r>
        <w:t xml:space="preserve"> (</w:t>
      </w:r>
      <w:r w:rsidR="008B1D5B" w:rsidRPr="008B1D5B">
        <w:t>2015</w:t>
      </w:r>
      <w:r>
        <w:t xml:space="preserve">) </w:t>
      </w:r>
      <w:r w:rsidR="008B1D5B" w:rsidRPr="008B1D5B">
        <w:t>Ethene, tetrafluoro-</w:t>
      </w:r>
      <w:r w:rsidRPr="0071660C">
        <w:t xml:space="preserve">: Human health </w:t>
      </w:r>
      <w:r w:rsidR="008B1D5B" w:rsidRPr="008B1D5B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p w14:paraId="6EB5C68A" w14:textId="66A1644C" w:rsidR="008F4292" w:rsidRDefault="008F4292" w:rsidP="008E4F1F">
      <w:pPr>
        <w:rPr>
          <w:b/>
        </w:rPr>
      </w:pPr>
      <w:r>
        <w:t>National Toxicology Program (NTP) (1997) NTP TR 450 NIH, Publication No. 97-3366.</w:t>
      </w:r>
    </w:p>
    <w:p w14:paraId="417B075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CBB1E" w14:textId="77777777" w:rsidR="0031755A" w:rsidRDefault="0031755A" w:rsidP="00F43AD5">
      <w:pPr>
        <w:spacing w:after="0" w:line="240" w:lineRule="auto"/>
      </w:pPr>
      <w:r>
        <w:separator/>
      </w:r>
    </w:p>
  </w:endnote>
  <w:endnote w:type="continuationSeparator" w:id="0">
    <w:p w14:paraId="78025916" w14:textId="77777777" w:rsidR="0031755A" w:rsidRDefault="0031755A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B6EF7" w14:textId="77777777" w:rsidR="00F456A7" w:rsidRDefault="00F45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9026E62" w14:textId="162A9ACC" w:rsidR="008A36CF" w:rsidRDefault="00CC69BB" w:rsidP="0034744C">
        <w:pPr>
          <w:pStyle w:val="Footer"/>
          <w:rPr>
            <w:sz w:val="18"/>
            <w:szCs w:val="18"/>
          </w:rPr>
        </w:pPr>
        <w:r w:rsidRPr="00CC69BB">
          <w:rPr>
            <w:b/>
            <w:sz w:val="18"/>
            <w:szCs w:val="18"/>
          </w:rPr>
          <w:t>Tetrafluoroethylene</w:t>
        </w:r>
        <w:r w:rsidR="008A36CF">
          <w:rPr>
            <w:b/>
            <w:sz w:val="18"/>
            <w:szCs w:val="18"/>
          </w:rPr>
          <w:t xml:space="preserve"> (</w:t>
        </w:r>
        <w:r w:rsidRPr="00CC69BB">
          <w:rPr>
            <w:b/>
            <w:sz w:val="18"/>
            <w:szCs w:val="18"/>
          </w:rPr>
          <w:t>116-14-3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6735F9">
          <w:rPr>
            <w:sz w:val="18"/>
            <w:szCs w:val="18"/>
          </w:rPr>
          <w:t>20</w:t>
        </w:r>
      </w:p>
      <w:p w14:paraId="2D517F5E" w14:textId="60EE3EF9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406B54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DA3A5" w14:textId="77777777" w:rsidR="00F456A7" w:rsidRDefault="00F45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06B97" w14:textId="77777777" w:rsidR="0031755A" w:rsidRDefault="0031755A" w:rsidP="00F43AD5">
      <w:pPr>
        <w:spacing w:after="0" w:line="240" w:lineRule="auto"/>
      </w:pPr>
      <w:r>
        <w:separator/>
      </w:r>
    </w:p>
  </w:footnote>
  <w:footnote w:type="continuationSeparator" w:id="0">
    <w:p w14:paraId="5024B555" w14:textId="77777777" w:rsidR="0031755A" w:rsidRDefault="0031755A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B112" w14:textId="77777777" w:rsidR="00F456A7" w:rsidRDefault="00F45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1D1A8" w14:textId="28E278D2" w:rsidR="00F456A7" w:rsidRDefault="00F456A7" w:rsidP="00F456A7">
    <w:pPr>
      <w:pStyle w:val="Header"/>
      <w:jc w:val="right"/>
    </w:pPr>
    <w:r>
      <w:pict w14:anchorId="609B6C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6145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45AF9206" wp14:editId="40AC310C">
          <wp:extent cx="2957195" cy="60579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55264C" w14:textId="77777777" w:rsidR="00F456A7" w:rsidRDefault="00F456A7" w:rsidP="00F456A7">
    <w:pPr>
      <w:pStyle w:val="Header"/>
    </w:pPr>
  </w:p>
  <w:p w14:paraId="4DAA8792" w14:textId="53117AA8" w:rsidR="008A36CF" w:rsidRPr="00F456A7" w:rsidRDefault="008A36CF" w:rsidP="00F456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339A6" w14:textId="77777777" w:rsidR="00F456A7" w:rsidRDefault="00F456A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F77A0" w14:textId="56BEF7AC" w:rsidR="00F456A7" w:rsidRDefault="00F456A7" w:rsidP="00F456A7">
    <w:pPr>
      <w:pStyle w:val="Header"/>
      <w:jc w:val="right"/>
    </w:pPr>
    <w:r>
      <w:pict w14:anchorId="2ADA13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6146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B25FD34" wp14:editId="48433E6F">
          <wp:extent cx="2957195" cy="60579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4D16C3" w14:textId="77777777" w:rsidR="00F456A7" w:rsidRDefault="00F456A7" w:rsidP="00F456A7">
    <w:pPr>
      <w:pStyle w:val="Header"/>
    </w:pPr>
  </w:p>
  <w:p w14:paraId="71F09FB4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6D6831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756E3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FE3B56"/>
    <w:multiLevelType w:val="hybridMultilevel"/>
    <w:tmpl w:val="041C013A"/>
    <w:lvl w:ilvl="0" w:tplc="0C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20C279A0"/>
    <w:multiLevelType w:val="hybridMultilevel"/>
    <w:tmpl w:val="9F748FFA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37E52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172B"/>
    <w:rsid w:val="000B0868"/>
    <w:rsid w:val="000B3E12"/>
    <w:rsid w:val="000B3E78"/>
    <w:rsid w:val="000B7B48"/>
    <w:rsid w:val="000C096D"/>
    <w:rsid w:val="000C139A"/>
    <w:rsid w:val="000C2053"/>
    <w:rsid w:val="000C248C"/>
    <w:rsid w:val="000D0643"/>
    <w:rsid w:val="000D291C"/>
    <w:rsid w:val="000E5A54"/>
    <w:rsid w:val="000E63D3"/>
    <w:rsid w:val="000E67CF"/>
    <w:rsid w:val="0010461E"/>
    <w:rsid w:val="00106FAA"/>
    <w:rsid w:val="001072BA"/>
    <w:rsid w:val="00113443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A64E6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657CB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1755A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670"/>
    <w:rsid w:val="00403F7D"/>
    <w:rsid w:val="00406785"/>
    <w:rsid w:val="00406B54"/>
    <w:rsid w:val="004079B4"/>
    <w:rsid w:val="00417A56"/>
    <w:rsid w:val="00420957"/>
    <w:rsid w:val="00422A10"/>
    <w:rsid w:val="00430179"/>
    <w:rsid w:val="00431DD4"/>
    <w:rsid w:val="004414B5"/>
    <w:rsid w:val="00444482"/>
    <w:rsid w:val="00444B42"/>
    <w:rsid w:val="00444D1E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1EA0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2D3D"/>
    <w:rsid w:val="00534B10"/>
    <w:rsid w:val="005446A2"/>
    <w:rsid w:val="00544D2F"/>
    <w:rsid w:val="00551BD8"/>
    <w:rsid w:val="0056302F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4D66"/>
    <w:rsid w:val="005E6979"/>
    <w:rsid w:val="005E75CB"/>
    <w:rsid w:val="005F5C47"/>
    <w:rsid w:val="006013C1"/>
    <w:rsid w:val="0060669E"/>
    <w:rsid w:val="006071D2"/>
    <w:rsid w:val="00610F2E"/>
    <w:rsid w:val="00611399"/>
    <w:rsid w:val="006166C1"/>
    <w:rsid w:val="00624C4E"/>
    <w:rsid w:val="00625200"/>
    <w:rsid w:val="006363A8"/>
    <w:rsid w:val="00636DB7"/>
    <w:rsid w:val="0064550A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35F9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04EF"/>
    <w:rsid w:val="006E5D05"/>
    <w:rsid w:val="00701053"/>
    <w:rsid w:val="00701507"/>
    <w:rsid w:val="007065FF"/>
    <w:rsid w:val="007075C9"/>
    <w:rsid w:val="00712776"/>
    <w:rsid w:val="00714021"/>
    <w:rsid w:val="00716A0F"/>
    <w:rsid w:val="00717D45"/>
    <w:rsid w:val="007208F7"/>
    <w:rsid w:val="007218AF"/>
    <w:rsid w:val="007365D1"/>
    <w:rsid w:val="00740E0E"/>
    <w:rsid w:val="007439B2"/>
    <w:rsid w:val="00745F10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0D58"/>
    <w:rsid w:val="007C30EB"/>
    <w:rsid w:val="007C517A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4804"/>
    <w:rsid w:val="008768A8"/>
    <w:rsid w:val="00882796"/>
    <w:rsid w:val="0088798F"/>
    <w:rsid w:val="00887E4B"/>
    <w:rsid w:val="008915C8"/>
    <w:rsid w:val="008A36CF"/>
    <w:rsid w:val="008A3BC4"/>
    <w:rsid w:val="008A6922"/>
    <w:rsid w:val="008B1D5B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4292"/>
    <w:rsid w:val="008F5DCD"/>
    <w:rsid w:val="00900813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87FA8"/>
    <w:rsid w:val="0099303A"/>
    <w:rsid w:val="009971C2"/>
    <w:rsid w:val="009A1254"/>
    <w:rsid w:val="009A62E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0E7"/>
    <w:rsid w:val="00A01D0C"/>
    <w:rsid w:val="00A0643F"/>
    <w:rsid w:val="00A067EE"/>
    <w:rsid w:val="00A10FCE"/>
    <w:rsid w:val="00A16D91"/>
    <w:rsid w:val="00A174CC"/>
    <w:rsid w:val="00A2073D"/>
    <w:rsid w:val="00A20751"/>
    <w:rsid w:val="00A244EC"/>
    <w:rsid w:val="00A25ACC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A0B5F"/>
    <w:rsid w:val="00AA56BE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4F25"/>
    <w:rsid w:val="00B1765C"/>
    <w:rsid w:val="00B213C4"/>
    <w:rsid w:val="00B40C60"/>
    <w:rsid w:val="00B479A9"/>
    <w:rsid w:val="00B52EDF"/>
    <w:rsid w:val="00B677DE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316"/>
    <w:rsid w:val="00BD56DE"/>
    <w:rsid w:val="00BF2406"/>
    <w:rsid w:val="00C06E43"/>
    <w:rsid w:val="00C16315"/>
    <w:rsid w:val="00C3091E"/>
    <w:rsid w:val="00C40FF1"/>
    <w:rsid w:val="00C419E2"/>
    <w:rsid w:val="00C5020E"/>
    <w:rsid w:val="00C52BDF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7627D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C69BB"/>
    <w:rsid w:val="00CD2BFD"/>
    <w:rsid w:val="00CD4363"/>
    <w:rsid w:val="00CE21C6"/>
    <w:rsid w:val="00CE5AD6"/>
    <w:rsid w:val="00CE617F"/>
    <w:rsid w:val="00CE78EF"/>
    <w:rsid w:val="00D048F7"/>
    <w:rsid w:val="00D0517E"/>
    <w:rsid w:val="00D140FC"/>
    <w:rsid w:val="00D17940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B2E63"/>
    <w:rsid w:val="00DC7694"/>
    <w:rsid w:val="00DD1BF6"/>
    <w:rsid w:val="00DD2F9B"/>
    <w:rsid w:val="00DE2513"/>
    <w:rsid w:val="00DE26E8"/>
    <w:rsid w:val="00DF6F36"/>
    <w:rsid w:val="00E0084C"/>
    <w:rsid w:val="00E025AB"/>
    <w:rsid w:val="00E0289D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262A"/>
    <w:rsid w:val="00ED1D89"/>
    <w:rsid w:val="00ED57DA"/>
    <w:rsid w:val="00ED66BC"/>
    <w:rsid w:val="00EF2254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456A7"/>
    <w:rsid w:val="00F56DD0"/>
    <w:rsid w:val="00F619EA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444B"/>
    <w:rsid w:val="00FA741F"/>
    <w:rsid w:val="00FB3BAE"/>
    <w:rsid w:val="00FB4E07"/>
    <w:rsid w:val="00FB755A"/>
    <w:rsid w:val="00FC23AF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1D603410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D179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5E4D6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599BE4318CD4CC0836196E577CC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569F-48FE-4FF8-8C03-2D2A8FB34A20}"/>
      </w:docPartPr>
      <w:docPartBody>
        <w:p w:rsidR="00D21A9F" w:rsidRDefault="00D21A9F">
          <w:pPr>
            <w:pStyle w:val="0599BE4318CD4CC0836196E577CC2921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64A333B2298C43168A33B92F57A98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3DFC8-BC21-4437-AA75-D3B227599CEA}"/>
      </w:docPartPr>
      <w:docPartBody>
        <w:p w:rsidR="00CA5CAE" w:rsidRDefault="00713F7C" w:rsidP="00713F7C">
          <w:pPr>
            <w:pStyle w:val="64A333B2298C43168A33B92F57A98C0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CDD794B4EE54B919C9889F817F99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C7D6-8F38-4CBD-B324-1C26AE92238A}"/>
      </w:docPartPr>
      <w:docPartBody>
        <w:p w:rsidR="00CA5CAE" w:rsidRDefault="00713F7C" w:rsidP="00713F7C">
          <w:pPr>
            <w:pStyle w:val="9CDD794B4EE54B919C9889F817F99F6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10D93"/>
    <w:rsid w:val="00203505"/>
    <w:rsid w:val="00347D16"/>
    <w:rsid w:val="003E0149"/>
    <w:rsid w:val="00713F7C"/>
    <w:rsid w:val="00755FBF"/>
    <w:rsid w:val="00CA5CAE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F7C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64A333B2298C43168A33B92F57A98C0F">
    <w:name w:val="64A333B2298C43168A33B92F57A98C0F"/>
    <w:rsid w:val="00713F7C"/>
  </w:style>
  <w:style w:type="paragraph" w:customStyle="1" w:styleId="9CDD794B4EE54B919C9889F817F99F6F">
    <w:name w:val="9CDD794B4EE54B919C9889F817F99F6F"/>
    <w:rsid w:val="00713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f54d604-3e62-4e70-ba33-9e9084b96a66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C39FF-4103-42D2-9D1A-5853D23D9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41ADBF-423F-4ACC-9C52-E2AF4918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11</cp:revision>
  <cp:lastPrinted>2018-10-22T22:41:00Z</cp:lastPrinted>
  <dcterms:created xsi:type="dcterms:W3CDTF">2020-02-05T00:30:00Z</dcterms:created>
  <dcterms:modified xsi:type="dcterms:W3CDTF">2020-07-21T01:40:00Z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