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43E6BEC5" w:rsidR="00BD499F" w:rsidRPr="004C23F4" w:rsidRDefault="00337E12" w:rsidP="00B40C60">
          <w:pPr>
            <w:pStyle w:val="Heading1"/>
            <w:jc w:val="center"/>
            <w:rPr>
              <w:rFonts w:ascii="Arial" w:hAnsi="Arial" w:cs="Arial"/>
            </w:rPr>
          </w:pPr>
          <w:r w:rsidRPr="00337E12">
            <w:rPr>
              <w:rFonts w:ascii="Arial" w:hAnsi="Arial" w:cs="Arial"/>
            </w:rPr>
            <w:t>Tetrahydrofuran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189D6E38" w14:textId="77777777" w:rsidTr="0034061C">
        <w:trPr>
          <w:cantSplit/>
          <w:tblHeader/>
        </w:trPr>
        <w:tc>
          <w:tcPr>
            <w:tcW w:w="3975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3EDBFD9E" w14:textId="2B53D9AB" w:rsidR="00F43AD5" w:rsidRPr="00717D45" w:rsidRDefault="00337E12" w:rsidP="00B76A41">
            <w:pPr>
              <w:pStyle w:val="Tablefont"/>
            </w:pPr>
            <w:r w:rsidRPr="00337E12">
              <w:t>109-99-9</w:t>
            </w:r>
          </w:p>
        </w:tc>
      </w:tr>
      <w:tr w:rsidR="00F43AD5" w:rsidRPr="004C23F4" w14:paraId="562A9F51" w14:textId="77777777" w:rsidTr="0034061C">
        <w:trPr>
          <w:cantSplit/>
        </w:trPr>
        <w:tc>
          <w:tcPr>
            <w:tcW w:w="3975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32648AB9" w14:textId="1D1EDA1C" w:rsidR="00F43AD5" w:rsidRPr="00717D45" w:rsidRDefault="00337E12" w:rsidP="00B76A41">
            <w:pPr>
              <w:pStyle w:val="Tablefont"/>
            </w:pPr>
            <w:proofErr w:type="spellStart"/>
            <w:r>
              <w:t>Cyclotetramethylene</w:t>
            </w:r>
            <w:proofErr w:type="spellEnd"/>
            <w:r>
              <w:t xml:space="preserve"> oxide, diethylene oxide, </w:t>
            </w:r>
            <w:r w:rsidR="009D6E45">
              <w:br/>
            </w:r>
            <w:r>
              <w:t xml:space="preserve">1,4-epoxybutane, </w:t>
            </w:r>
            <w:proofErr w:type="spellStart"/>
            <w:r>
              <w:t>furanidine</w:t>
            </w:r>
            <w:proofErr w:type="spellEnd"/>
            <w:r>
              <w:t xml:space="preserve">, </w:t>
            </w:r>
            <w:proofErr w:type="spellStart"/>
            <w:r>
              <w:t>hydrofuran</w:t>
            </w:r>
            <w:proofErr w:type="spellEnd"/>
            <w:r>
              <w:t xml:space="preserve">, </w:t>
            </w:r>
            <w:proofErr w:type="spellStart"/>
            <w:r>
              <w:t>oxycyclopentane</w:t>
            </w:r>
            <w:proofErr w:type="spellEnd"/>
            <w:r>
              <w:t xml:space="preserve">, </w:t>
            </w:r>
            <w:proofErr w:type="spellStart"/>
            <w:r>
              <w:t>onlane</w:t>
            </w:r>
            <w:proofErr w:type="spellEnd"/>
            <w:r>
              <w:t xml:space="preserve">, </w:t>
            </w:r>
            <w:proofErr w:type="spellStart"/>
            <w:r>
              <w:t>tetrahydrofurane</w:t>
            </w:r>
            <w:proofErr w:type="spellEnd"/>
            <w:r>
              <w:t xml:space="preserve">, THF, </w:t>
            </w:r>
            <w:proofErr w:type="spellStart"/>
            <w:r>
              <w:t>tetramethylene</w:t>
            </w:r>
            <w:proofErr w:type="spellEnd"/>
            <w:r>
              <w:t xml:space="preserve"> oxide</w:t>
            </w:r>
          </w:p>
        </w:tc>
      </w:tr>
      <w:tr w:rsidR="00F43AD5" w:rsidRPr="004C23F4" w14:paraId="6EE54A08" w14:textId="77777777" w:rsidTr="0034061C">
        <w:trPr>
          <w:cantSplit/>
        </w:trPr>
        <w:tc>
          <w:tcPr>
            <w:tcW w:w="3975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69369B00" w14:textId="3BA9C1DD" w:rsidR="00F43AD5" w:rsidRPr="00717D45" w:rsidRDefault="00337E12" w:rsidP="00B76A41">
            <w:pPr>
              <w:pStyle w:val="Tablefont"/>
            </w:pPr>
            <w:r>
              <w:t>C</w:t>
            </w:r>
            <w:r w:rsidRPr="00337E12">
              <w:rPr>
                <w:vertAlign w:val="subscript"/>
              </w:rPr>
              <w:t>4</w:t>
            </w:r>
            <w:r>
              <w:t>H</w:t>
            </w:r>
            <w:r w:rsidRPr="00337E12">
              <w:rPr>
                <w:vertAlign w:val="subscript"/>
              </w:rPr>
              <w:t>8</w:t>
            </w:r>
            <w:r>
              <w:t>O</w:t>
            </w:r>
          </w:p>
        </w:tc>
      </w:tr>
    </w:tbl>
    <w:p w14:paraId="71D72173" w14:textId="5340B05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04937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5AB76C23" w:rsidR="002C7AFE" w:rsidRPr="00E04937" w:rsidRDefault="00E04937" w:rsidP="00017C82">
            <w:pPr>
              <w:pStyle w:val="Tablefont"/>
              <w:rPr>
                <w:b/>
              </w:rPr>
            </w:pPr>
            <w:r w:rsidRPr="00E04937">
              <w:rPr>
                <w:b/>
              </w:rPr>
              <w:t>50 ppm (147 mg/m</w:t>
            </w:r>
            <w:r w:rsidRPr="00E04937">
              <w:rPr>
                <w:b/>
                <w:vertAlign w:val="superscript"/>
              </w:rPr>
              <w:t>3</w:t>
            </w:r>
            <w:r w:rsidRPr="00E04937"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F548FAF" w:rsidR="00037E52" w:rsidRPr="00EB3D1B" w:rsidRDefault="004E22C1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3C2E70AD" w:rsidR="00037E52" w:rsidRPr="00EB3D1B" w:rsidRDefault="00337E1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0841DE">
              <w:rPr>
                <w:b/>
              </w:rPr>
              <w:t>,</w:t>
            </w:r>
            <w:r w:rsidRPr="00337E12">
              <w:rPr>
                <w:b/>
              </w:rPr>
              <w:t>000 ppm</w:t>
            </w:r>
            <w:r w:rsidR="0034061C">
              <w:rPr>
                <w:b/>
              </w:rPr>
              <w:t xml:space="preserve"> (10% LEL)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62A7E4ED" w:rsidR="00155999" w:rsidRPr="00EB3D1B" w:rsidRDefault="00155999" w:rsidP="00037E52">
            <w:pPr>
              <w:pStyle w:val="Tablefont"/>
              <w:rPr>
                <w:b/>
              </w:rPr>
            </w:pPr>
            <w:r w:rsidRPr="00F114A8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04937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7B132707" w:rsidR="006639B4" w:rsidRDefault="005B6CA6" w:rsidP="000C139A">
      <w:r>
        <w:rPr>
          <w:rFonts w:cs="Arial"/>
          <w:color w:val="262626"/>
        </w:rPr>
        <w:t xml:space="preserve">A TWA of 50 ppm is recommended to protect for </w:t>
      </w:r>
      <w:r>
        <w:t>irritation to respiratory tract</w:t>
      </w:r>
      <w:r w:rsidR="009D6E45">
        <w:t xml:space="preserve"> and effects on the</w:t>
      </w:r>
      <w:r>
        <w:t xml:space="preserve"> </w:t>
      </w:r>
      <w:r w:rsidR="009D6E45">
        <w:t>liver, kidney</w:t>
      </w:r>
      <w:r>
        <w:t xml:space="preserve"> and central nervous system (CNS) </w:t>
      </w:r>
      <w:r w:rsidR="00B82010">
        <w:t>in exposed workers</w:t>
      </w:r>
      <w:r>
        <w:t>.</w:t>
      </w:r>
    </w:p>
    <w:p w14:paraId="5244E913" w14:textId="6D4B2ABC" w:rsidR="009D6E45" w:rsidRPr="004C23F4" w:rsidRDefault="009D6E45" w:rsidP="000C139A">
      <w:pPr>
        <w:rPr>
          <w:rFonts w:cs="Arial"/>
        </w:rPr>
      </w:pPr>
      <w:r>
        <w:t>The evidence does not support the recommendation of a STEL.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9F8BAB4" w14:textId="50F72273" w:rsidR="009D6E45" w:rsidRDefault="00136F53" w:rsidP="006639B4">
      <w:r>
        <w:t>Tetrahydrofuran</w:t>
      </w:r>
      <w:r w:rsidR="00723A55">
        <w:t xml:space="preserve"> (THF)</w:t>
      </w:r>
      <w:r>
        <w:t xml:space="preserve"> is a solvent for natural and synthetic polymers and resins</w:t>
      </w:r>
      <w:r w:rsidR="00723A55">
        <w:t xml:space="preserve"> and </w:t>
      </w:r>
      <w:r>
        <w:t xml:space="preserve">is used as a monomer for the manufacture of </w:t>
      </w:r>
      <w:proofErr w:type="spellStart"/>
      <w:r>
        <w:t>polytetramethyleneoxide</w:t>
      </w:r>
      <w:proofErr w:type="spellEnd"/>
      <w:r>
        <w:t>. It is used in the manufacture of lacquers, glues, paint, dyes, ink, adhesives, PVC pipe cement and magnetic tape</w:t>
      </w:r>
      <w:r w:rsidR="00723A55">
        <w:t xml:space="preserve">. </w:t>
      </w:r>
    </w:p>
    <w:p w14:paraId="5D8489BF" w14:textId="64E0408C" w:rsidR="00AB3B18" w:rsidRDefault="00723A55" w:rsidP="006639B4">
      <w:r>
        <w:t xml:space="preserve">Critical effects </w:t>
      </w:r>
      <w:r w:rsidR="009D6E45">
        <w:t>of</w:t>
      </w:r>
      <w:r>
        <w:t xml:space="preserve"> exposure are irritation to respiratory tract mucous membrane, nephropathy</w:t>
      </w:r>
      <w:r w:rsidR="009D6E45">
        <w:t xml:space="preserve"> (kidney effects)</w:t>
      </w:r>
      <w:r>
        <w:t>, liver cell proliferation and CNS effects.</w:t>
      </w:r>
      <w:r w:rsidR="009D6E45">
        <w:t xml:space="preserve"> </w:t>
      </w:r>
      <w:r w:rsidR="00581B06">
        <w:t xml:space="preserve">Case studies report complaints of nausea, dizziness, </w:t>
      </w:r>
      <w:r w:rsidR="00AB3B18">
        <w:t>hypoacusis</w:t>
      </w:r>
      <w:r w:rsidR="00AB3B18">
        <w:rPr>
          <w:rFonts w:cs="Arial"/>
          <w:color w:val="3C4043"/>
          <w:sz w:val="21"/>
          <w:szCs w:val="21"/>
          <w:shd w:val="clear" w:color="auto" w:fill="FFFFFF"/>
        </w:rPr>
        <w:t> (partial loss of hearing)</w:t>
      </w:r>
      <w:r w:rsidR="00581B06">
        <w:t>, angioedema</w:t>
      </w:r>
      <w:r w:rsidR="009D6E45">
        <w:t xml:space="preserve"> and</w:t>
      </w:r>
      <w:r w:rsidR="00581B06">
        <w:t xml:space="preserve"> occipital headache at high concentrations</w:t>
      </w:r>
      <w:r w:rsidR="00B82010">
        <w:t>;</w:t>
      </w:r>
      <w:r w:rsidR="00581B06">
        <w:t xml:space="preserve"> and irritation to the skin, eyes and mucous membranes at unspecified concentrations (ACGIH, 2018). </w:t>
      </w:r>
    </w:p>
    <w:p w14:paraId="54DDD385" w14:textId="195F4788" w:rsidR="000841DE" w:rsidRDefault="00F31649" w:rsidP="006639B4">
      <w:pPr>
        <w:rPr>
          <w:rFonts w:cs="Arial"/>
          <w:color w:val="262626"/>
        </w:rPr>
      </w:pPr>
      <w:r>
        <w:t>No i</w:t>
      </w:r>
      <w:r w:rsidR="002C6BDF">
        <w:t xml:space="preserve">rritation of the respiratory tract reported after exposure for </w:t>
      </w:r>
      <w:r w:rsidR="000841DE">
        <w:t>six</w:t>
      </w:r>
      <w:r w:rsidR="002C6BDF">
        <w:t xml:space="preserve"> minutes at 400 ppm and 15 minutes at 200 ppm in volunteers (DFG,</w:t>
      </w:r>
      <w:r w:rsidR="00B82010">
        <w:t> </w:t>
      </w:r>
      <w:r w:rsidR="002C6BDF">
        <w:t xml:space="preserve">1996). </w:t>
      </w:r>
      <w:r w:rsidR="00B50E92">
        <w:t xml:space="preserve">Rats exposed at 100 to 200 ppm for </w:t>
      </w:r>
      <w:r w:rsidR="000841DE">
        <w:t>three</w:t>
      </w:r>
      <w:r w:rsidR="00B50E92">
        <w:t xml:space="preserve"> hours developed slight local irrita</w:t>
      </w:r>
      <w:r w:rsidR="009D6E45">
        <w:t>tion</w:t>
      </w:r>
      <w:r w:rsidR="00B50E92">
        <w:t xml:space="preserve"> such as </w:t>
      </w:r>
      <w:r w:rsidR="00B50E92" w:rsidRPr="000C2204">
        <w:t>redness of the nose and eyelids (ACGIH, 2018).</w:t>
      </w:r>
      <w:r w:rsidR="006A2FDF" w:rsidRPr="000C2204">
        <w:t xml:space="preserve"> Slight damage to the nasal epithelium </w:t>
      </w:r>
      <w:r w:rsidR="009D6E45">
        <w:t>i</w:t>
      </w:r>
      <w:r w:rsidR="006A2FDF" w:rsidRPr="000C2204">
        <w:t xml:space="preserve">s observed after rats were exposed by inhalation at 100 ppm for </w:t>
      </w:r>
      <w:r w:rsidR="000841DE" w:rsidRPr="000C2204">
        <w:t>three</w:t>
      </w:r>
      <w:r w:rsidR="006A2FDF" w:rsidRPr="000C2204">
        <w:t xml:space="preserve"> weeks (DFG,</w:t>
      </w:r>
      <w:r w:rsidR="00B82010">
        <w:t> </w:t>
      </w:r>
      <w:r w:rsidR="006A2FDF" w:rsidRPr="000C2204">
        <w:t xml:space="preserve">1996). </w:t>
      </w:r>
      <w:r w:rsidR="00B50E92" w:rsidRPr="000C2204">
        <w:t xml:space="preserve">A </w:t>
      </w:r>
      <w:r w:rsidR="00B50E92" w:rsidRPr="00F114A8">
        <w:rPr>
          <w:rFonts w:cs="Arial"/>
        </w:rPr>
        <w:t xml:space="preserve">NOAEC of 200 ppm, for nasal and ocular secretions </w:t>
      </w:r>
      <w:r w:rsidR="009D6E45">
        <w:rPr>
          <w:rFonts w:cs="Arial"/>
        </w:rPr>
        <w:t>i</w:t>
      </w:r>
      <w:r w:rsidR="00B50E92" w:rsidRPr="00F114A8">
        <w:rPr>
          <w:rFonts w:cs="Arial"/>
        </w:rPr>
        <w:t xml:space="preserve">s reported in </w:t>
      </w:r>
      <w:r w:rsidR="00B50E92" w:rsidRPr="000C2204">
        <w:t xml:space="preserve">a </w:t>
      </w:r>
      <w:r w:rsidRPr="000C2204">
        <w:t>13</w:t>
      </w:r>
      <w:r>
        <w:t>-</w:t>
      </w:r>
      <w:r w:rsidR="00B50E92" w:rsidRPr="000C2204">
        <w:t>w</w:t>
      </w:r>
      <w:r w:rsidR="000841DE" w:rsidRPr="000C2204">
        <w:t>ee</w:t>
      </w:r>
      <w:r w:rsidR="00B50E92" w:rsidRPr="000C2204">
        <w:t>k study in mice (NICNAS, 2013). A NO</w:t>
      </w:r>
      <w:r w:rsidR="009D6E45">
        <w:t>A</w:t>
      </w:r>
      <w:r w:rsidR="00B50E92" w:rsidRPr="000C2204">
        <w:t>E</w:t>
      </w:r>
      <w:r w:rsidR="009D6E45">
        <w:t>C</w:t>
      </w:r>
      <w:r w:rsidR="00B50E92" w:rsidRPr="000C2204">
        <w:t xml:space="preserve"> of 200 ppm </w:t>
      </w:r>
      <w:r w:rsidR="009D6E45">
        <w:t>i</w:t>
      </w:r>
      <w:r w:rsidR="00B50E92" w:rsidRPr="000C2204">
        <w:t xml:space="preserve">s determined for cell proliferation induction in the liver of female mice and in the kidney of male rats in a sub-chronic study (ACGIH, 2018). Carcinogenic effects </w:t>
      </w:r>
      <w:r w:rsidR="009D6E45">
        <w:t>a</w:t>
      </w:r>
      <w:r w:rsidR="00B50E92" w:rsidRPr="000C2204">
        <w:t>re observed in rodents</w:t>
      </w:r>
      <w:r w:rsidR="009D6E45">
        <w:t>. However,</w:t>
      </w:r>
      <w:r w:rsidR="00B50E92" w:rsidRPr="000C2204">
        <w:t xml:space="preserve"> </w:t>
      </w:r>
      <w:r w:rsidR="00B50E92" w:rsidRPr="00F114A8">
        <w:rPr>
          <w:rFonts w:cs="Arial"/>
        </w:rPr>
        <w:t>the exposures leading to these effects are outside the range considered relevant for long term human exposure (ACGIH, 2018; NICNAS, 2016).</w:t>
      </w:r>
    </w:p>
    <w:p w14:paraId="498F2EA1" w14:textId="641C4910" w:rsidR="009D6E45" w:rsidRDefault="003376AE" w:rsidP="00F114A8">
      <w:pPr>
        <w:keepNext/>
        <w:rPr>
          <w:rFonts w:cs="Arial"/>
        </w:rPr>
      </w:pPr>
      <w:r>
        <w:rPr>
          <w:rFonts w:cs="Arial"/>
        </w:rPr>
        <w:lastRenderedPageBreak/>
        <w:t>A</w:t>
      </w:r>
      <w:r w:rsidR="00B82010" w:rsidRPr="00F114A8">
        <w:rPr>
          <w:rFonts w:cs="Arial"/>
        </w:rPr>
        <w:t xml:space="preserve"> TWA of 50 ppm is recommended </w:t>
      </w:r>
      <w:r>
        <w:rPr>
          <w:rFonts w:cs="Arial"/>
        </w:rPr>
        <w:t>b</w:t>
      </w:r>
      <w:r w:rsidR="00B50E92" w:rsidRPr="00F114A8">
        <w:rPr>
          <w:rFonts w:cs="Arial"/>
        </w:rPr>
        <w:t>ased o</w:t>
      </w:r>
      <w:r w:rsidR="006A2FDF" w:rsidRPr="00F114A8">
        <w:rPr>
          <w:rFonts w:cs="Arial"/>
        </w:rPr>
        <w:t xml:space="preserve">n the evidence </w:t>
      </w:r>
      <w:r w:rsidR="005B6CA6" w:rsidRPr="00F114A8">
        <w:rPr>
          <w:rFonts w:cs="Arial"/>
        </w:rPr>
        <w:t xml:space="preserve">of irritation and nasal damage </w:t>
      </w:r>
      <w:r w:rsidR="006A2FDF" w:rsidRPr="00F114A8">
        <w:rPr>
          <w:rFonts w:cs="Arial"/>
        </w:rPr>
        <w:t xml:space="preserve">in animals at 100 </w:t>
      </w:r>
      <w:r w:rsidRPr="00F114A8">
        <w:rPr>
          <w:rFonts w:cs="Arial"/>
        </w:rPr>
        <w:t>ppm</w:t>
      </w:r>
      <w:r>
        <w:rPr>
          <w:rFonts w:cs="Arial"/>
        </w:rPr>
        <w:t xml:space="preserve"> and is</w:t>
      </w:r>
      <w:r w:rsidR="00B82010">
        <w:rPr>
          <w:rFonts w:cs="Arial"/>
        </w:rPr>
        <w:t xml:space="preserve"> also </w:t>
      </w:r>
      <w:r w:rsidR="006A2FDF" w:rsidRPr="00F114A8">
        <w:rPr>
          <w:rFonts w:cs="Arial"/>
        </w:rPr>
        <w:t xml:space="preserve">supported by the data in humans. The TWA of 50 ppm </w:t>
      </w:r>
      <w:r w:rsidR="006A2FDF" w:rsidRPr="00E04937">
        <w:rPr>
          <w:rFonts w:cs="Arial"/>
        </w:rPr>
        <w:t>is consis</w:t>
      </w:r>
      <w:r w:rsidR="005B6CA6" w:rsidRPr="00E04937">
        <w:rPr>
          <w:rFonts w:cs="Arial"/>
        </w:rPr>
        <w:t xml:space="preserve">tent across </w:t>
      </w:r>
      <w:r w:rsidR="00E04937">
        <w:rPr>
          <w:rFonts w:cs="Arial"/>
        </w:rPr>
        <w:t xml:space="preserve">ACGIH </w:t>
      </w:r>
      <w:r w:rsidR="00B82010">
        <w:rPr>
          <w:rFonts w:cs="Arial"/>
        </w:rPr>
        <w:t>(</w:t>
      </w:r>
      <w:r w:rsidR="00E04937">
        <w:rPr>
          <w:rFonts w:cs="Arial"/>
        </w:rPr>
        <w:t xml:space="preserve">2018), DFG (1996) and SCOEL (1992) </w:t>
      </w:r>
      <w:r w:rsidR="005B6CA6" w:rsidRPr="00E04937">
        <w:rPr>
          <w:rFonts w:cs="Arial"/>
        </w:rPr>
        <w:t>sources</w:t>
      </w:r>
      <w:r w:rsidR="002D77DB">
        <w:rPr>
          <w:rFonts w:cs="Arial"/>
        </w:rPr>
        <w:t>.</w:t>
      </w:r>
      <w:r w:rsidR="005B6CA6" w:rsidRPr="00E04937">
        <w:rPr>
          <w:rFonts w:cs="Arial"/>
        </w:rPr>
        <w:t xml:space="preserve"> </w:t>
      </w:r>
      <w:r w:rsidR="002D77DB">
        <w:rPr>
          <w:rFonts w:cs="Arial"/>
        </w:rPr>
        <w:t xml:space="preserve">This TWA </w:t>
      </w:r>
      <w:r w:rsidR="002D77DB" w:rsidRPr="00E04937">
        <w:rPr>
          <w:rFonts w:cs="Arial"/>
        </w:rPr>
        <w:t>is expected to be protective of irritant effects, effects on the kidneys, liver and on the CNS</w:t>
      </w:r>
      <w:r w:rsidR="002D77DB">
        <w:rPr>
          <w:rFonts w:cs="Arial"/>
        </w:rPr>
        <w:t xml:space="preserve"> b</w:t>
      </w:r>
      <w:r w:rsidR="005B6CA6" w:rsidRPr="00E04937">
        <w:rPr>
          <w:rFonts w:cs="Arial"/>
        </w:rPr>
        <w:t xml:space="preserve">ased </w:t>
      </w:r>
      <w:r w:rsidR="006A2FDF" w:rsidRPr="00E04937">
        <w:rPr>
          <w:rFonts w:cs="Arial"/>
        </w:rPr>
        <w:t xml:space="preserve">on the weight of evidence </w:t>
      </w:r>
      <w:r w:rsidR="00E5561B">
        <w:rPr>
          <w:rFonts w:cs="Arial"/>
        </w:rPr>
        <w:t xml:space="preserve">reported in </w:t>
      </w:r>
      <w:r w:rsidR="00F31649">
        <w:rPr>
          <w:rFonts w:cs="Arial"/>
        </w:rPr>
        <w:t>the primary sources</w:t>
      </w:r>
      <w:r w:rsidR="006A2FDF" w:rsidRPr="00E04937">
        <w:rPr>
          <w:rFonts w:cs="Arial"/>
        </w:rPr>
        <w:t xml:space="preserve">. </w:t>
      </w:r>
    </w:p>
    <w:p w14:paraId="70746EC2" w14:textId="28330D3A" w:rsidR="00B50E92" w:rsidRPr="00E04937" w:rsidRDefault="006A2FDF" w:rsidP="00F114A8">
      <w:pPr>
        <w:keepNext/>
      </w:pPr>
      <w:r w:rsidRPr="00E04937">
        <w:rPr>
          <w:rFonts w:cs="Arial"/>
        </w:rPr>
        <w:t xml:space="preserve">The data does not support the recommendation of STEL.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418166B" w:rsidR="008E4F1F" w:rsidRPr="005B6CA6" w:rsidRDefault="008E4F1F" w:rsidP="008E4F1F">
      <w:pPr>
        <w:rPr>
          <w:rFonts w:cs="Arial"/>
        </w:rPr>
      </w:pPr>
      <w:r w:rsidRPr="005B6CA6">
        <w:rPr>
          <w:rFonts w:cs="Arial"/>
        </w:rPr>
        <w:t xml:space="preserve">Not classified as a carcinogen </w:t>
      </w:r>
      <w:r w:rsidR="005B6CA6" w:rsidRPr="005B6CA6">
        <w:rPr>
          <w:rFonts w:cs="Arial"/>
        </w:rPr>
        <w:t xml:space="preserve">category 2 </w:t>
      </w:r>
      <w:r w:rsidRPr="005B6CA6">
        <w:rPr>
          <w:rFonts w:cs="Arial"/>
        </w:rPr>
        <w:t>according to the Globally Harmonized System of</w:t>
      </w:r>
      <w:r w:rsidR="00155999" w:rsidRPr="005B6CA6">
        <w:rPr>
          <w:rFonts w:cs="Arial"/>
        </w:rPr>
        <w:t xml:space="preserve"> Classification and Labelling of</w:t>
      </w:r>
      <w:r w:rsidRPr="005B6CA6">
        <w:rPr>
          <w:rFonts w:cs="Arial"/>
        </w:rPr>
        <w:t xml:space="preserve"> Chemicals (GHS). </w:t>
      </w:r>
    </w:p>
    <w:p w14:paraId="03916CCC" w14:textId="77777777" w:rsidR="008E4F1F" w:rsidRPr="005B6CA6" w:rsidRDefault="008E4F1F" w:rsidP="008E4F1F">
      <w:pPr>
        <w:rPr>
          <w:rFonts w:cs="Arial"/>
        </w:rPr>
      </w:pPr>
      <w:r w:rsidRPr="005B6CA6">
        <w:rPr>
          <w:rFonts w:cs="Arial"/>
        </w:rPr>
        <w:t xml:space="preserve">Not classified as a skin </w:t>
      </w:r>
      <w:r w:rsidR="00155999" w:rsidRPr="005B6CA6">
        <w:rPr>
          <w:rFonts w:cs="Arial"/>
        </w:rPr>
        <w:t xml:space="preserve">sensitiser </w:t>
      </w:r>
      <w:r w:rsidRPr="005B6CA6">
        <w:rPr>
          <w:rFonts w:cs="Arial"/>
        </w:rPr>
        <w:t>or respiratory sensitiser according to the GHS.</w:t>
      </w:r>
    </w:p>
    <w:p w14:paraId="710881DC" w14:textId="04BABDD7" w:rsidR="004B1F59" w:rsidRPr="004B1F59" w:rsidRDefault="004B1F59" w:rsidP="004B1F59">
      <w:pPr>
        <w:rPr>
          <w:rFonts w:cs="Arial"/>
        </w:rPr>
      </w:pPr>
      <w:r w:rsidRPr="004B1F59">
        <w:rPr>
          <w:rFonts w:cs="Arial"/>
        </w:rPr>
        <w:t xml:space="preserve">A skin notation is </w:t>
      </w:r>
      <w:r w:rsidR="009D6E45">
        <w:rPr>
          <w:rFonts w:cs="Arial"/>
        </w:rPr>
        <w:t>recommend</w:t>
      </w:r>
      <w:r w:rsidRPr="004B1F59">
        <w:rPr>
          <w:rFonts w:cs="Arial"/>
        </w:rPr>
        <w:t xml:space="preserve">ed as evidence indicates rapid absorption through the skin and </w:t>
      </w:r>
      <w:r>
        <w:rPr>
          <w:rFonts w:cs="Arial"/>
        </w:rPr>
        <w:t>contribution to adverse systemic effects</w:t>
      </w:r>
      <w:r w:rsidRPr="004B1F59">
        <w:rPr>
          <w:rFonts w:cs="Arial"/>
        </w:rPr>
        <w:t>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95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177"/>
      </w:tblGrid>
      <w:tr w:rsidR="00C978F0" w:rsidRPr="00DA352E" w14:paraId="257268B5" w14:textId="77777777" w:rsidTr="003F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C978F0" w:rsidRPr="00DA352E" w14:paraId="26087DDB" w14:textId="77777777" w:rsidTr="003F6FFB">
        <w:tc>
          <w:tcPr>
            <w:tcW w:w="5000" w:type="pct"/>
            <w:shd w:val="clear" w:color="auto" w:fill="F2F2F2" w:themeFill="background1" w:themeFillShade="F2"/>
          </w:tcPr>
          <w:p w14:paraId="1137D58F" w14:textId="4705FF77" w:rsidR="00C978F0" w:rsidRPr="00DD0C27" w:rsidRDefault="00DD0C27" w:rsidP="003365A5">
            <w:pPr>
              <w:pStyle w:val="Tabletextprimarysource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SWA</w:t>
            </w:r>
            <w:r w:rsidRPr="00DD0C27">
              <w:rPr>
                <w:b/>
                <w:bCs/>
                <w:i/>
                <w:iCs/>
              </w:rPr>
              <w:t xml:space="preserve">               </w:t>
            </w:r>
            <w:r w:rsidRPr="00DD0C27">
              <w:rPr>
                <w:b/>
                <w:bCs/>
                <w:i/>
                <w:iCs/>
              </w:rPr>
              <w:tab/>
            </w:r>
            <w:sdt>
              <w:sdtPr>
                <w:rPr>
                  <w:b/>
                  <w:bCs/>
                  <w:i/>
                  <w:iCs/>
                </w:rPr>
                <w:id w:val="-1867520858"/>
                <w:placeholder>
                  <w:docPart w:val="8D1014CBCA92493B974E721C0ADD1F67"/>
                </w:placeholder>
                <w:text/>
              </w:sdtPr>
              <w:sdtEndPr/>
              <w:sdtContent>
                <w:r>
                  <w:rPr>
                    <w:b/>
                    <w:bCs/>
                    <w:i/>
                    <w:iCs/>
                  </w:rPr>
                  <w:t>1991</w:t>
                </w:r>
              </w:sdtContent>
            </w:sdt>
            <w:r w:rsidRPr="00DD0C27">
              <w:rPr>
                <w:b/>
                <w:bCs/>
                <w:i/>
                <w:iCs/>
              </w:rPr>
              <w:tab/>
            </w:r>
            <w:r w:rsidRPr="00DD0C27">
              <w:rPr>
                <w:b/>
                <w:bCs/>
                <w:i/>
                <w:iCs/>
              </w:rPr>
              <w:tab/>
            </w:r>
            <w:sdt>
              <w:sdtPr>
                <w:rPr>
                  <w:b/>
                  <w:bCs/>
                  <w:i/>
                  <w:iCs/>
                </w:rPr>
                <w:alias w:val="DFG WES equivalent"/>
                <w:tag w:val="DFG WES equivalent"/>
                <w:id w:val="230901795"/>
                <w:placeholder>
                  <w:docPart w:val="F9DA753A3A844EB582AFC35D378BB17D"/>
                </w:placeholder>
              </w:sdtPr>
              <w:sdtEndPr/>
              <w:sdtContent>
                <w:r>
                  <w:rPr>
                    <w:b/>
                    <w:bCs/>
                    <w:i/>
                    <w:iCs/>
                  </w:rPr>
                  <w:t>TWA</w:t>
                </w:r>
                <w:r w:rsidRPr="00DD0C27">
                  <w:rPr>
                    <w:b/>
                    <w:bCs/>
                    <w:i/>
                    <w:iCs/>
                  </w:rPr>
                  <w:t xml:space="preserve">: </w:t>
                </w:r>
                <w:r>
                  <w:rPr>
                    <w:b/>
                    <w:bCs/>
                    <w:i/>
                    <w:iCs/>
                  </w:rPr>
                  <w:t>100</w:t>
                </w:r>
                <w:r w:rsidRPr="00DD0C27">
                  <w:rPr>
                    <w:b/>
                    <w:bCs/>
                    <w:i/>
                    <w:iCs/>
                  </w:rPr>
                  <w:t xml:space="preserve"> ppm (</w:t>
                </w:r>
                <w:r>
                  <w:rPr>
                    <w:b/>
                    <w:bCs/>
                    <w:i/>
                    <w:iCs/>
                  </w:rPr>
                  <w:t>295</w:t>
                </w:r>
                <w:r w:rsidRPr="00DD0C27">
                  <w:rPr>
                    <w:b/>
                    <w:bCs/>
                    <w:i/>
                    <w:iCs/>
                  </w:rPr>
                  <w:t xml:space="preserve"> mg/m</w:t>
                </w:r>
                <w:r w:rsidRPr="00DD0C27">
                  <w:rPr>
                    <w:b/>
                    <w:bCs/>
                    <w:i/>
                    <w:iCs/>
                    <w:vertAlign w:val="superscript"/>
                  </w:rPr>
                  <w:t>3</w:t>
                </w:r>
                <w:r w:rsidRPr="00DD0C27">
                  <w:rPr>
                    <w:b/>
                    <w:bCs/>
                    <w:i/>
                    <w:iCs/>
                  </w:rPr>
                  <w:t>)</w:t>
                </w:r>
              </w:sdtContent>
            </w:sdt>
          </w:p>
        </w:tc>
      </w:tr>
      <w:tr w:rsidR="00DD0C27" w:rsidRPr="00DA352E" w14:paraId="6390E2C1" w14:textId="77777777" w:rsidTr="003F6FFB">
        <w:tc>
          <w:tcPr>
            <w:tcW w:w="5000" w:type="pct"/>
          </w:tcPr>
          <w:p w14:paraId="548A955D" w14:textId="4A48C015" w:rsidR="00DD0C27" w:rsidRPr="00DD0C27" w:rsidRDefault="00DD0C27" w:rsidP="003365A5">
            <w:pPr>
              <w:pStyle w:val="Tabletextprimarysource"/>
            </w:pPr>
          </w:p>
        </w:tc>
      </w:tr>
      <w:tr w:rsidR="00C978F0" w:rsidRPr="00DA352E" w14:paraId="24593221" w14:textId="77777777" w:rsidTr="003F6FFB">
        <w:tc>
          <w:tcPr>
            <w:tcW w:w="5000" w:type="pct"/>
            <w:shd w:val="clear" w:color="auto" w:fill="F2F2F2" w:themeFill="background1" w:themeFillShade="F2"/>
          </w:tcPr>
          <w:p w14:paraId="2ED10929" w14:textId="5E6377C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37E12">
                  <w:t>2005</w:t>
                </w:r>
              </w:sdtContent>
            </w:sdt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37E12">
                  <w:t xml:space="preserve">TLV-TWA: </w:t>
                </w:r>
                <w:r w:rsidR="009E1A0A">
                  <w:t>50 ppm (147 mg/m</w:t>
                </w:r>
                <w:r w:rsidR="009E1A0A" w:rsidRPr="009E1A0A">
                  <w:rPr>
                    <w:vertAlign w:val="superscript"/>
                  </w:rPr>
                  <w:t>3</w:t>
                </w:r>
                <w:r w:rsidR="009E1A0A">
                  <w:t>); TLV-STEL: 100 ppm (295 mg/m</w:t>
                </w:r>
                <w:r w:rsidR="009E1A0A" w:rsidRPr="009E1A0A">
                  <w:rPr>
                    <w:vertAlign w:val="superscript"/>
                  </w:rPr>
                  <w:t>3</w:t>
                </w:r>
                <w:r w:rsidR="009E1A0A">
                  <w:t>)</w:t>
                </w:r>
              </w:sdtContent>
            </w:sdt>
          </w:p>
        </w:tc>
      </w:tr>
      <w:tr w:rsidR="00C978F0" w:rsidRPr="00DA352E" w14:paraId="418D532D" w14:textId="77777777" w:rsidTr="003F6FFB">
        <w:tc>
          <w:tcPr>
            <w:tcW w:w="5000" w:type="pct"/>
          </w:tcPr>
          <w:p w14:paraId="25A4B180" w14:textId="1997D807" w:rsidR="00C978F0" w:rsidRDefault="000F7DAE" w:rsidP="003365A5">
            <w:pPr>
              <w:pStyle w:val="Tabletextprimarysource"/>
            </w:pPr>
            <w:r>
              <w:t>TLV-TWA recommended to protect against irritation to respiratory tract mucous membrane, nephropathy, liver cell proliferation and CNS effects.</w:t>
            </w:r>
          </w:p>
          <w:p w14:paraId="1A191B9E" w14:textId="7147461A" w:rsidR="000F7DAE" w:rsidRDefault="000F7DAE" w:rsidP="003365A5">
            <w:pPr>
              <w:pStyle w:val="Tabletextprimarysource"/>
            </w:pPr>
            <w:r>
              <w:t>TLV-STEL recommended to prevent acute irritation, neurotoxicity and CNS effects.</w:t>
            </w:r>
          </w:p>
          <w:p w14:paraId="2B0769B7" w14:textId="77777777" w:rsidR="000F7DAE" w:rsidRDefault="000F7DAE" w:rsidP="003365A5">
            <w:pPr>
              <w:pStyle w:val="Tabletextprimarysource"/>
            </w:pPr>
            <w:r>
              <w:t>Summary of data:</w:t>
            </w:r>
          </w:p>
          <w:p w14:paraId="0AAA0F77" w14:textId="2C2BD417" w:rsidR="009D6E45" w:rsidRDefault="000F7DAE" w:rsidP="0034061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TLV-TWA based on </w:t>
            </w:r>
            <w:r w:rsidR="00474678">
              <w:t>NOE</w:t>
            </w:r>
            <w:r w:rsidR="009D6E45">
              <w:t>C</w:t>
            </w:r>
            <w:r w:rsidR="00474678">
              <w:t xml:space="preserve"> of 200 ppm for adverse</w:t>
            </w:r>
            <w:r>
              <w:t xml:space="preserve"> effects i</w:t>
            </w:r>
            <w:r w:rsidR="00474678">
              <w:t>dentified in animal studies</w:t>
            </w:r>
            <w:r w:rsidR="009D4747">
              <w:t xml:space="preserve">. </w:t>
            </w:r>
          </w:p>
          <w:p w14:paraId="5F7A3669" w14:textId="763B688F" w:rsidR="000F7DAE" w:rsidRDefault="000F7DAE" w:rsidP="0034061C">
            <w:pPr>
              <w:pStyle w:val="ListBullet"/>
              <w:numPr>
                <w:ilvl w:val="0"/>
                <w:numId w:val="0"/>
              </w:numPr>
            </w:pPr>
            <w:r>
              <w:t xml:space="preserve">TLV-STEL </w:t>
            </w:r>
            <w:r w:rsidR="00474678">
              <w:t>based on animal studies suggesting the previous STEL of 250 ppm was too high to prevent acute neurotoxicity effects.</w:t>
            </w:r>
          </w:p>
          <w:p w14:paraId="363264CE" w14:textId="77777777" w:rsidR="00474678" w:rsidRDefault="00474678" w:rsidP="00474678">
            <w:pPr>
              <w:pStyle w:val="Tabletextprimarysource"/>
            </w:pPr>
            <w:r>
              <w:t>Human data:</w:t>
            </w:r>
          </w:p>
          <w:p w14:paraId="50FCB39F" w14:textId="0484E190" w:rsidR="00474678" w:rsidRDefault="00156805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to be irritating to the skin, eyes and mucous membranes although no specific concentration for irritation described</w:t>
            </w:r>
          </w:p>
          <w:p w14:paraId="28285971" w14:textId="287431B3" w:rsidR="00156805" w:rsidRDefault="00156805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Individuals exposed </w:t>
            </w:r>
            <w:r w:rsidR="009D6E45">
              <w:t>at</w:t>
            </w:r>
            <w:r>
              <w:t xml:space="preserve"> high concentrations have elevated circulating liver enzymes and complained of nausea, dizziness, </w:t>
            </w:r>
            <w:r w:rsidR="00F31649">
              <w:t>hypoacusis</w:t>
            </w:r>
            <w:r>
              <w:t>, angioedema and occipital headache</w:t>
            </w:r>
            <w:r w:rsidR="00B97216">
              <w:t>; no further information</w:t>
            </w:r>
          </w:p>
          <w:p w14:paraId="44BEA433" w14:textId="31FC5A0D" w:rsidR="009D6E45" w:rsidRDefault="00B9721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worker exposed over </w:t>
            </w:r>
            <w:r w:rsidR="00474170">
              <w:t xml:space="preserve">2 </w:t>
            </w:r>
            <w:proofErr w:type="spellStart"/>
            <w:r w:rsidR="00474170">
              <w:t>wk</w:t>
            </w:r>
            <w:proofErr w:type="spellEnd"/>
            <w:r w:rsidR="00474170">
              <w:t xml:space="preserve"> </w:t>
            </w:r>
            <w:r w:rsidR="009D6E45">
              <w:t>at</w:t>
            </w:r>
            <w:r>
              <w:t xml:space="preserve"> an unspecified concentration was hospitalised for unrelated condition</w:t>
            </w:r>
            <w:r w:rsidR="002D77DB">
              <w:t>:</w:t>
            </w:r>
            <w:r>
              <w:t xml:space="preserve"> </w:t>
            </w:r>
          </w:p>
          <w:p w14:paraId="59AA3A5F" w14:textId="39177E6A" w:rsidR="009D6E45" w:rsidRDefault="00B97216" w:rsidP="009D6E45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following enflurane anaesthesia the patient developed cerebral convulsions</w:t>
            </w:r>
            <w:r w:rsidR="002C6BDF">
              <w:t>/seizures</w:t>
            </w:r>
            <w:r>
              <w:t xml:space="preserve"> </w:t>
            </w:r>
          </w:p>
          <w:p w14:paraId="660B7A92" w14:textId="32B15F85" w:rsidR="00B97216" w:rsidRDefault="00B97216" w:rsidP="0034061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 xml:space="preserve">the authors of the case report suggested the interaction of the anaesthetic and occupational exposure to THF might have contributed to the convulsions </w:t>
            </w:r>
          </w:p>
          <w:p w14:paraId="07710CC3" w14:textId="55596C3E" w:rsidR="009D6E45" w:rsidRDefault="00F1326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Case study: </w:t>
            </w:r>
            <w:proofErr w:type="spellStart"/>
            <w:r w:rsidR="009D6E45">
              <w:t>n</w:t>
            </w:r>
            <w:r w:rsidR="004868E5">
              <w:t>eurobehavio</w:t>
            </w:r>
            <w:r w:rsidR="000C2204">
              <w:t>u</w:t>
            </w:r>
            <w:r w:rsidR="004868E5">
              <w:t>ral</w:t>
            </w:r>
            <w:proofErr w:type="spellEnd"/>
            <w:r w:rsidR="004868E5">
              <w:t xml:space="preserve"> and prevalence of headache and irritation of the nose and eyes reported in 19 workers exposed to mixed solvent exposures of </w:t>
            </w:r>
            <w:r w:rsidR="00BF79CF">
              <w:t>MEK (11</w:t>
            </w:r>
            <w:r w:rsidR="009D4747">
              <w:t>–</w:t>
            </w:r>
            <w:r w:rsidR="00BF79CF">
              <w:t>128 ppm)</w:t>
            </w:r>
            <w:r w:rsidR="004868E5">
              <w:t>, THF</w:t>
            </w:r>
            <w:r w:rsidR="00BF79CF">
              <w:t xml:space="preserve"> (7</w:t>
            </w:r>
            <w:r w:rsidR="009D4747">
              <w:t>–</w:t>
            </w:r>
            <w:r w:rsidR="00BF79CF">
              <w:t>22 ppm)</w:t>
            </w:r>
            <w:r w:rsidR="004868E5">
              <w:t>, toluene and cyclohexanone</w:t>
            </w:r>
            <w:r w:rsidR="002D77DB">
              <w:t>:</w:t>
            </w:r>
            <w:r>
              <w:t xml:space="preserve"> </w:t>
            </w:r>
          </w:p>
          <w:p w14:paraId="21AF409B" w14:textId="0B8C51CE" w:rsidR="00B97216" w:rsidRDefault="00F1326A" w:rsidP="0034061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workers exposed to the solvent mixture had poorer visual motor control and recent memory impairment when compared to non-exposed</w:t>
            </w:r>
            <w:r w:rsidR="002D77DB">
              <w:t>.</w:t>
            </w:r>
            <w:r>
              <w:t xml:space="preserve"> </w:t>
            </w:r>
            <w:r w:rsidR="00F31649">
              <w:t xml:space="preserve">No </w:t>
            </w:r>
            <w:r>
              <w:t>further information</w:t>
            </w:r>
          </w:p>
          <w:p w14:paraId="3F4A3F9C" w14:textId="6099E3FF" w:rsidR="00F1326A" w:rsidRDefault="002D77DB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784834">
              <w:t>o contact or sensitis</w:t>
            </w:r>
            <w:r w:rsidR="00F1326A">
              <w:t>ation reactions noted other than defatting action</w:t>
            </w:r>
            <w:r w:rsidR="00F31649">
              <w:t xml:space="preserve"> in an undescribed dermatitis test on 196 people</w:t>
            </w:r>
          </w:p>
          <w:p w14:paraId="19BFFB73" w14:textId="0A7D2722" w:rsidR="009D6E45" w:rsidRDefault="0078483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cohort investigation of 14,067 workers was </w:t>
            </w:r>
            <w:r w:rsidR="00F31649">
              <w:t xml:space="preserve">undertaken </w:t>
            </w:r>
            <w:r>
              <w:t>following concern</w:t>
            </w:r>
            <w:r w:rsidR="00F31649">
              <w:t>s</w:t>
            </w:r>
            <w:r>
              <w:t xml:space="preserve"> of oesophagus</w:t>
            </w:r>
            <w:r w:rsidR="002D2139">
              <w:t xml:space="preserve"> cancer in a plant</w:t>
            </w:r>
            <w:r w:rsidR="002D77DB">
              <w:t>:</w:t>
            </w:r>
            <w:r w:rsidR="002D2139">
              <w:t xml:space="preserve"> </w:t>
            </w:r>
          </w:p>
          <w:p w14:paraId="668D443B" w14:textId="50DC68CA" w:rsidR="00784834" w:rsidRDefault="002D2139" w:rsidP="0034061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a</w:t>
            </w:r>
            <w:r w:rsidR="00784834">
              <w:t xml:space="preserve"> non</w:t>
            </w:r>
            <w:r w:rsidR="00F31649">
              <w:t xml:space="preserve">-statistically </w:t>
            </w:r>
            <w:r w:rsidR="00784834">
              <w:t xml:space="preserve">significant increase in </w:t>
            </w:r>
            <w:r w:rsidR="00F31649">
              <w:t xml:space="preserve">oesophageal </w:t>
            </w:r>
            <w:r w:rsidR="00784834">
              <w:t>cancer noted (standard mortality rate [SMR]=1.140)</w:t>
            </w:r>
          </w:p>
          <w:p w14:paraId="735A1517" w14:textId="32ACEB6B" w:rsidR="009D6E45" w:rsidRDefault="00C855E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</w:t>
            </w:r>
            <w:r w:rsidR="00874CDB">
              <w:t>ermal route of entry of vapo</w:t>
            </w:r>
            <w:r>
              <w:t>u</w:t>
            </w:r>
            <w:r w:rsidR="00874CDB">
              <w:t xml:space="preserve">r at </w:t>
            </w:r>
            <w:r>
              <w:t>150 ppm for 4 h</w:t>
            </w:r>
            <w:r w:rsidR="00874CDB">
              <w:t xml:space="preserve"> compared to combined inhala</w:t>
            </w:r>
            <w:r>
              <w:t>tion and dermal routes of entry</w:t>
            </w:r>
            <w:r w:rsidR="002D77DB">
              <w:t>:</w:t>
            </w:r>
            <w:r>
              <w:t xml:space="preserve"> </w:t>
            </w:r>
          </w:p>
          <w:p w14:paraId="64972261" w14:textId="33534674" w:rsidR="00874CDB" w:rsidRDefault="00C855EC" w:rsidP="0034061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t</w:t>
            </w:r>
            <w:r w:rsidR="00874CDB">
              <w:t xml:space="preserve">he dermal route alone, accounted </w:t>
            </w:r>
            <w:r w:rsidR="004E22C1">
              <w:t>up to</w:t>
            </w:r>
            <w:r w:rsidR="00874CDB">
              <w:t xml:space="preserve"> 6% of the total body burden of both routes measured by post</w:t>
            </w:r>
            <w:r>
              <w:t>-</w:t>
            </w:r>
            <w:r w:rsidR="00874CDB">
              <w:t>exposure in blood, breath, and urine</w:t>
            </w:r>
            <w:r>
              <w:t>.</w:t>
            </w:r>
          </w:p>
          <w:p w14:paraId="38EC362D" w14:textId="77777777" w:rsidR="002D2139" w:rsidRDefault="002D2139" w:rsidP="002D2139">
            <w:pPr>
              <w:pStyle w:val="Tabletextprimarysource"/>
            </w:pPr>
            <w:r>
              <w:t>Animal data:</w:t>
            </w:r>
          </w:p>
          <w:p w14:paraId="7E3AA0C4" w14:textId="4904E053" w:rsidR="002D2139" w:rsidRDefault="002D2139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2D2139">
              <w:rPr>
                <w:vertAlign w:val="subscript"/>
              </w:rPr>
              <w:t>50</w:t>
            </w:r>
            <w:r w:rsidR="000C2204">
              <w:t>:</w:t>
            </w:r>
            <w:r>
              <w:t xml:space="preserve"> </w:t>
            </w:r>
            <w:r w:rsidR="000C2204">
              <w:t>~</w:t>
            </w:r>
            <w:r>
              <w:t xml:space="preserve">22,000 ppm </w:t>
            </w:r>
            <w:r w:rsidR="000C2204">
              <w:t>(</w:t>
            </w:r>
            <w:r>
              <w:t>mice</w:t>
            </w:r>
            <w:r w:rsidR="000C2204">
              <w:t>, 2 h)</w:t>
            </w:r>
          </w:p>
          <w:p w14:paraId="429C7D81" w14:textId="60DED311" w:rsidR="002D2139" w:rsidRDefault="002D2139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exposed at 100</w:t>
            </w:r>
            <w:r w:rsidR="009D4747">
              <w:t>–</w:t>
            </w:r>
            <w:r>
              <w:t>200 ppm for 3 h developed slight local irritant symptoms, such as redness of the nose and eyelids</w:t>
            </w:r>
            <w:r w:rsidR="002D77DB">
              <w:t>.</w:t>
            </w:r>
            <w:r>
              <w:t xml:space="preserve"> </w:t>
            </w:r>
            <w:r w:rsidR="002D77DB">
              <w:t>N</w:t>
            </w:r>
            <w:r>
              <w:t>o further information</w:t>
            </w:r>
          </w:p>
          <w:p w14:paraId="772CF318" w14:textId="5F541FE5" w:rsidR="009D6E45" w:rsidRDefault="002D2139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Male rats and female mice received either a 4</w:t>
            </w:r>
            <w:r w:rsidR="00F9748C">
              <w:t xml:space="preserve"> </w:t>
            </w:r>
            <w:r>
              <w:t>h (rats) or a 2</w:t>
            </w:r>
            <w:r w:rsidR="00F9748C">
              <w:t xml:space="preserve"> </w:t>
            </w:r>
            <w:r>
              <w:t>h (mice) inhalation exposure in a study to identify acute neurotropic effects</w:t>
            </w:r>
            <w:r w:rsidR="002D77DB">
              <w:t>:</w:t>
            </w:r>
            <w:r>
              <w:t xml:space="preserve"> </w:t>
            </w:r>
          </w:p>
          <w:p w14:paraId="7E8CD1AB" w14:textId="39588389" w:rsidR="009D6E45" w:rsidRDefault="002D2139" w:rsidP="009D6E45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criteria involved the inhibition of propagation and maintenance of electrical-evoked seizure discharge</w:t>
            </w:r>
          </w:p>
          <w:p w14:paraId="3CA3E441" w14:textId="13BAF577" w:rsidR="009D6E45" w:rsidRDefault="002D2139" w:rsidP="009D6E45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estimates of 10% and 30% depression from pre-exposure values were 290 and </w:t>
            </w:r>
            <w:r w:rsidR="009D6E45">
              <w:t>1220 </w:t>
            </w:r>
            <w:r>
              <w:t>ppm in rats and 190 and 290 ppm in mice</w:t>
            </w:r>
            <w:r w:rsidR="00AE4BA8">
              <w:t>,</w:t>
            </w:r>
            <w:r>
              <w:t xml:space="preserve"> respectively </w:t>
            </w:r>
          </w:p>
          <w:p w14:paraId="63E06846" w14:textId="23DBA70A" w:rsidR="002D2139" w:rsidRDefault="002D2139" w:rsidP="0034061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author</w:t>
            </w:r>
            <w:r w:rsidR="00B63CA7">
              <w:t>s concluded a STEL of 250 ppm did not protect exposed humans</w:t>
            </w:r>
          </w:p>
          <w:p w14:paraId="51D7F119" w14:textId="626BF882" w:rsidR="00B63CA7" w:rsidRDefault="00EB7754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and mice exposed by inhalation 6 h/d, 5 d/</w:t>
            </w:r>
            <w:proofErr w:type="spellStart"/>
            <w:r>
              <w:t>wk</w:t>
            </w:r>
            <w:proofErr w:type="spellEnd"/>
            <w:r>
              <w:t xml:space="preserve"> for 105 </w:t>
            </w:r>
            <w:proofErr w:type="spellStart"/>
            <w:r>
              <w:t>wk</w:t>
            </w:r>
            <w:proofErr w:type="spellEnd"/>
            <w:r>
              <w:t xml:space="preserve"> at 0, 200, 600, or 1</w:t>
            </w:r>
            <w:r w:rsidR="00F9748C">
              <w:t>,</w:t>
            </w:r>
            <w:r>
              <w:t>800 ppm</w:t>
            </w:r>
            <w:r w:rsidR="009D4747">
              <w:t>:</w:t>
            </w:r>
          </w:p>
          <w:p w14:paraId="04EAB564" w14:textId="12B2C153" w:rsidR="00EB7754" w:rsidRDefault="00EB7754" w:rsidP="0034061C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incidence of nephropathy </w:t>
            </w:r>
            <w:r w:rsidR="00AE4BA8">
              <w:t xml:space="preserve">statistically </w:t>
            </w:r>
            <w:r w:rsidR="002D77DB">
              <w:t>significantly</w:t>
            </w:r>
            <w:r w:rsidR="00AE4BA8">
              <w:t xml:space="preserve"> greater than the chamber controls at</w:t>
            </w:r>
            <w:r>
              <w:t xml:space="preserve"> 200</w:t>
            </w:r>
            <w:r w:rsidR="009D4747">
              <w:t xml:space="preserve"> </w:t>
            </w:r>
            <w:r>
              <w:t xml:space="preserve">ppm male </w:t>
            </w:r>
            <w:r w:rsidR="00AE4BA8">
              <w:t>mice</w:t>
            </w:r>
            <w:r>
              <w:t xml:space="preserve"> </w:t>
            </w:r>
          </w:p>
          <w:p w14:paraId="6CC1766A" w14:textId="1934F1D6" w:rsidR="00EB7754" w:rsidRDefault="00EB7754" w:rsidP="0034061C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female mice exposed to the highest concentrations showed a significant increase in hepatocellular adenomas and carcinomas, either alone or combined</w:t>
            </w:r>
          </w:p>
          <w:p w14:paraId="1F2E5884" w14:textId="6EAF5B3A" w:rsidR="0040388A" w:rsidRDefault="0040388A" w:rsidP="0034061C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at 600 and 1</w:t>
            </w:r>
            <w:r w:rsidR="00F9748C">
              <w:t>,</w:t>
            </w:r>
            <w:r>
              <w:t>800</w:t>
            </w:r>
            <w:r w:rsidR="00F9748C">
              <w:t xml:space="preserve"> </w:t>
            </w:r>
            <w:r>
              <w:t xml:space="preserve">ppm </w:t>
            </w:r>
            <w:r w:rsidR="002638CA">
              <w:t>concentrations</w:t>
            </w:r>
            <w:r w:rsidR="009D4747">
              <w:t>,</w:t>
            </w:r>
            <w:r>
              <w:t xml:space="preserve"> a non-statistically significant increased incidence of renal tubule epithelial adenomas and carcinomas combined (p=0.065 for 1800 ppm THF)</w:t>
            </w:r>
          </w:p>
          <w:p w14:paraId="02EA87E6" w14:textId="4DA05E99" w:rsidR="009D6E45" w:rsidRDefault="00AE24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 20</w:t>
            </w:r>
            <w:r w:rsidR="002638CA">
              <w:t>-</w:t>
            </w:r>
            <w:r>
              <w:t xml:space="preserve">d study was conducted to examine enzyme induction and cell proliferation (follow up to 105 </w:t>
            </w:r>
            <w:proofErr w:type="spellStart"/>
            <w:r>
              <w:t>wk</w:t>
            </w:r>
            <w:proofErr w:type="spellEnd"/>
            <w:r>
              <w:t xml:space="preserve"> study); female mice and male rats exposed by inhalation for 5 d/w for 4 </w:t>
            </w:r>
            <w:proofErr w:type="spellStart"/>
            <w:r>
              <w:t>wk</w:t>
            </w:r>
            <w:proofErr w:type="spellEnd"/>
            <w:r>
              <w:t xml:space="preserve"> at 0, 200, 600 and 1</w:t>
            </w:r>
            <w:r w:rsidR="00F9748C">
              <w:t>,</w:t>
            </w:r>
            <w:r>
              <w:t>800 ppm</w:t>
            </w:r>
            <w:r w:rsidR="002D77DB">
              <w:t>:</w:t>
            </w:r>
            <w:r w:rsidR="00015408">
              <w:t xml:space="preserve"> </w:t>
            </w:r>
          </w:p>
          <w:p w14:paraId="3C667175" w14:textId="6824D319" w:rsidR="00AE24E0" w:rsidRDefault="00015408" w:rsidP="0034061C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a NOE</w:t>
            </w:r>
            <w:r w:rsidR="009D6E45">
              <w:t>C</w:t>
            </w:r>
            <w:r>
              <w:t xml:space="preserve"> of 200 ppm determined for cell proliferation induction in the liver of female mice and in the kidney of male rats</w:t>
            </w:r>
          </w:p>
          <w:p w14:paraId="5600C021" w14:textId="6EECB23D" w:rsidR="00EB7754" w:rsidRDefault="002638CA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The following results reported in</w:t>
            </w:r>
            <w:r w:rsidR="00E5561B">
              <w:t xml:space="preserve"> </w:t>
            </w:r>
            <w:r w:rsidR="00EB7754">
              <w:t>rats and mice</w:t>
            </w:r>
            <w:r>
              <w:t xml:space="preserve"> exposed </w:t>
            </w:r>
            <w:r w:rsidR="00EB7754">
              <w:t>6 h/d, 5 d/</w:t>
            </w:r>
            <w:proofErr w:type="spellStart"/>
            <w:r w:rsidR="00EB7754">
              <w:t>wk</w:t>
            </w:r>
            <w:proofErr w:type="spellEnd"/>
            <w:r w:rsidR="00EB7754">
              <w:t xml:space="preserve"> </w:t>
            </w:r>
            <w:r>
              <w:t xml:space="preserve">for 14 </w:t>
            </w:r>
            <w:proofErr w:type="spellStart"/>
            <w:r>
              <w:t>wk</w:t>
            </w:r>
            <w:proofErr w:type="spellEnd"/>
            <w:r>
              <w:t xml:space="preserve"> </w:t>
            </w:r>
            <w:r w:rsidR="00EB7754">
              <w:t>at 0, 66, 200, 600, 1</w:t>
            </w:r>
            <w:r w:rsidR="00B04812">
              <w:t>,</w:t>
            </w:r>
            <w:r w:rsidR="00EB7754">
              <w:t>800 or 5</w:t>
            </w:r>
            <w:r w:rsidR="00B04812">
              <w:t>,</w:t>
            </w:r>
            <w:r w:rsidR="00EB7754">
              <w:t>000 ppm</w:t>
            </w:r>
            <w:r w:rsidR="002D77DB">
              <w:t>:</w:t>
            </w:r>
          </w:p>
          <w:p w14:paraId="51544763" w14:textId="4767A9DF" w:rsidR="00EB7754" w:rsidRDefault="00EB7754" w:rsidP="0034061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both male and female rats exhibited ataxia, lower thymus and spleen weights, and a higher incidence of hyperplasia</w:t>
            </w:r>
            <w:r w:rsidR="00E5561B">
              <w:t xml:space="preserve"> at 5,000 ppm</w:t>
            </w:r>
          </w:p>
          <w:p w14:paraId="7BDF6208" w14:textId="1C2E8A59" w:rsidR="00EB7754" w:rsidRDefault="00EB7754" w:rsidP="0034061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female rats exhibited lower liver weights at 5</w:t>
            </w:r>
            <w:r w:rsidR="00B04812">
              <w:t>,</w:t>
            </w:r>
            <w:r>
              <w:t>000 ppm</w:t>
            </w:r>
          </w:p>
          <w:p w14:paraId="4C9284A9" w14:textId="292BAF70" w:rsidR="00C77DBC" w:rsidRDefault="00C77DBC" w:rsidP="0034061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liver weights increased for male mice exposed at 600 ppm or greater</w:t>
            </w:r>
          </w:p>
          <w:p w14:paraId="66C8148B" w14:textId="5A3FAB1B" w:rsidR="00C77DBC" w:rsidRDefault="00C77DBC" w:rsidP="0034061C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t</w:t>
            </w:r>
            <w:r w:rsidR="00EB7754">
              <w:t>he NOE</w:t>
            </w:r>
            <w:r w:rsidR="009D6E45">
              <w:t>C</w:t>
            </w:r>
            <w:r w:rsidR="00EB7754">
              <w:t xml:space="preserve"> for increased liver weights in male mice was 200 ppm</w:t>
            </w:r>
          </w:p>
          <w:p w14:paraId="06374F44" w14:textId="57941CEC" w:rsidR="00EB7754" w:rsidRDefault="0002738D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 NOE</w:t>
            </w:r>
            <w:r w:rsidR="009D6E45">
              <w:t>C</w:t>
            </w:r>
            <w:r>
              <w:t xml:space="preserve"> of 200 ppm determined for cell proliferation induction in the liver of female mice and in the kidney of male rats</w:t>
            </w:r>
          </w:p>
          <w:p w14:paraId="308EE8FE" w14:textId="6839BDE8" w:rsidR="004E22C1" w:rsidRDefault="004B1F59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</w:t>
            </w:r>
            <w:r w:rsidR="004E22C1" w:rsidRPr="004E22C1">
              <w:t>apidly absorbed through skin of rabbits and fatal to rats when 10% body surface exposed to the liquid</w:t>
            </w:r>
          </w:p>
          <w:p w14:paraId="3C5CBB5A" w14:textId="47460920" w:rsidR="00874CDB" w:rsidRPr="00874CDB" w:rsidRDefault="00874CDB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Not mutagenic </w:t>
            </w:r>
            <w:r w:rsidRPr="00874CDB">
              <w:rPr>
                <w:i/>
              </w:rPr>
              <w:t>in vitro</w:t>
            </w:r>
            <w:r>
              <w:t xml:space="preserve"> or </w:t>
            </w:r>
            <w:r w:rsidRPr="00874CDB">
              <w:rPr>
                <w:i/>
              </w:rPr>
              <w:t>in vivo</w:t>
            </w:r>
            <w:r w:rsidR="00B04812">
              <w:rPr>
                <w:iCs/>
              </w:rPr>
              <w:t>.</w:t>
            </w:r>
          </w:p>
          <w:p w14:paraId="3240382D" w14:textId="77777777" w:rsidR="009D4747" w:rsidRDefault="009D4747" w:rsidP="00C855EC">
            <w:pPr>
              <w:pStyle w:val="Tabletextprimarysource"/>
            </w:pPr>
          </w:p>
          <w:p w14:paraId="7C0DFB11" w14:textId="77777777" w:rsidR="00874CDB" w:rsidRDefault="00C855EC" w:rsidP="00C855EC">
            <w:pPr>
              <w:pStyle w:val="Tabletextprimarysource"/>
            </w:pPr>
            <w:r>
              <w:t>Insufficient data to recommend a sensitiser notation.</w:t>
            </w:r>
          </w:p>
          <w:p w14:paraId="0CE4D35D" w14:textId="64B7D908" w:rsidR="009D4747" w:rsidRPr="00DA352E" w:rsidRDefault="009D4747" w:rsidP="00C855EC">
            <w:pPr>
              <w:pStyle w:val="Tabletextprimarysource"/>
            </w:pPr>
          </w:p>
        </w:tc>
      </w:tr>
      <w:tr w:rsidR="00C978F0" w:rsidRPr="00DA352E" w14:paraId="174F8B79" w14:textId="77777777" w:rsidTr="003F6FFB">
        <w:tc>
          <w:tcPr>
            <w:tcW w:w="5000" w:type="pct"/>
            <w:shd w:val="clear" w:color="auto" w:fill="F2F2F2" w:themeFill="background1" w:themeFillShade="F2"/>
          </w:tcPr>
          <w:p w14:paraId="65BCCE9F" w14:textId="1529378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E1A0A">
                  <w:t>1996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E1A0A">
                  <w:t>MAK: 50 ppm (150 mg/m</w:t>
                </w:r>
                <w:r w:rsidR="009E1A0A" w:rsidRPr="009E1A0A">
                  <w:rPr>
                    <w:vertAlign w:val="superscript"/>
                  </w:rPr>
                  <w:t>3</w:t>
                </w:r>
                <w:r w:rsidR="009E1A0A">
                  <w:t>)</w:t>
                </w:r>
              </w:sdtContent>
            </w:sdt>
          </w:p>
        </w:tc>
      </w:tr>
      <w:tr w:rsidR="00C978F0" w:rsidRPr="00DA352E" w14:paraId="4433014F" w14:textId="77777777" w:rsidTr="003F6FFB">
        <w:tc>
          <w:tcPr>
            <w:tcW w:w="5000" w:type="pct"/>
          </w:tcPr>
          <w:p w14:paraId="5A256DBE" w14:textId="4A266C7F" w:rsidR="00E132DE" w:rsidRDefault="00E132DE" w:rsidP="003365A5">
            <w:pPr>
              <w:pStyle w:val="Tabletextprimarysource"/>
            </w:pPr>
            <w:r>
              <w:t xml:space="preserve">MAK lowered to 50 ppm based on evidence of nasal epithelium </w:t>
            </w:r>
            <w:r w:rsidR="004B1F59">
              <w:t xml:space="preserve">damage </w:t>
            </w:r>
            <w:r>
              <w:t>of rats exposed at 100 ppm</w:t>
            </w:r>
            <w:r w:rsidR="004B1F59">
              <w:t>.</w:t>
            </w:r>
          </w:p>
          <w:p w14:paraId="4DBD17F0" w14:textId="0DADA87D" w:rsidR="00C978F0" w:rsidRDefault="0071227E" w:rsidP="003365A5">
            <w:pPr>
              <w:pStyle w:val="Tabletextprimarysource"/>
            </w:pPr>
            <w:r>
              <w:t>Summary of additional data:</w:t>
            </w:r>
          </w:p>
          <w:p w14:paraId="3D74045A" w14:textId="2BE81A58" w:rsidR="0071227E" w:rsidRDefault="002D77DB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71227E">
              <w:t>o irritati</w:t>
            </w:r>
            <w:r w:rsidR="009D6E45">
              <w:t>on</w:t>
            </w:r>
            <w:r w:rsidR="0071227E">
              <w:t xml:space="preserve"> reported 15 min after the beginning of a 3</w:t>
            </w:r>
            <w:r w:rsidR="00B04812">
              <w:t xml:space="preserve"> h</w:t>
            </w:r>
            <w:r w:rsidR="0071227E">
              <w:t xml:space="preserve"> exposure </w:t>
            </w:r>
            <w:r w:rsidR="00E5561B">
              <w:t xml:space="preserve">at </w:t>
            </w:r>
            <w:r w:rsidR="0071227E">
              <w:t>50 and 200 ppm, and 6 min after exposure to 400 ppm</w:t>
            </w:r>
            <w:r w:rsidR="00E5561B">
              <w:t xml:space="preserve"> in volunteers. No </w:t>
            </w:r>
            <w:r w:rsidR="0071227E">
              <w:t>further information</w:t>
            </w:r>
          </w:p>
          <w:p w14:paraId="4AF45571" w14:textId="0AD5CC57" w:rsidR="009D6E45" w:rsidRDefault="0071227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Slight damage to the nasal epithelium observed after rats exposed by inhalation at 100 ppm for 4 h/d, 5 d/</w:t>
            </w:r>
            <w:proofErr w:type="spellStart"/>
            <w:r>
              <w:t>wk</w:t>
            </w:r>
            <w:proofErr w:type="spellEnd"/>
            <w:r>
              <w:t xml:space="preserve"> for 3 </w:t>
            </w:r>
            <w:proofErr w:type="spellStart"/>
            <w:r>
              <w:t>wk</w:t>
            </w:r>
            <w:proofErr w:type="spellEnd"/>
            <w:r w:rsidR="002D77DB">
              <w:t>:</w:t>
            </w:r>
            <w:r>
              <w:t xml:space="preserve"> </w:t>
            </w:r>
          </w:p>
          <w:p w14:paraId="2A2A48DC" w14:textId="1F43FD85" w:rsidR="009D6E45" w:rsidRDefault="0071227E" w:rsidP="009D6E45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more marked morphological damage to the tracheal and nasal mucosa occurred</w:t>
            </w:r>
            <w:r w:rsidR="00E5561B">
              <w:t xml:space="preserve"> at 5,000 ppm. N</w:t>
            </w:r>
            <w:r>
              <w:t>o further information</w:t>
            </w:r>
            <w:r w:rsidR="00E132DE">
              <w:t xml:space="preserve"> </w:t>
            </w:r>
          </w:p>
          <w:p w14:paraId="675818C1" w14:textId="0464CD72" w:rsidR="0071227E" w:rsidRDefault="00E132DE" w:rsidP="0034061C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basis for MAK</w:t>
            </w:r>
          </w:p>
          <w:p w14:paraId="4ED7B276" w14:textId="4F193F4A" w:rsidR="0034061C" w:rsidRDefault="004E22C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</w:t>
            </w:r>
            <w:r w:rsidRPr="004E22C1">
              <w:t>nsufficient data available regarding dermal absorption</w:t>
            </w:r>
            <w:r w:rsidR="002D77DB">
              <w:t>:</w:t>
            </w:r>
            <w:r>
              <w:t xml:space="preserve"> </w:t>
            </w:r>
          </w:p>
          <w:p w14:paraId="6251E93A" w14:textId="7714E580" w:rsidR="0034061C" w:rsidRDefault="004E22C1" w:rsidP="0034061C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 w:rsidRPr="004E22C1">
              <w:lastRenderedPageBreak/>
              <w:t>very good dermal penetration is to be expected</w:t>
            </w:r>
          </w:p>
          <w:p w14:paraId="51385AD4" w14:textId="00203C71" w:rsidR="0034061C" w:rsidRDefault="0034061C" w:rsidP="0034061C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a</w:t>
            </w:r>
            <w:r w:rsidR="004E22C1" w:rsidRPr="004E22C1">
              <w:t xml:space="preserve">fter direct contact </w:t>
            </w:r>
            <w:r w:rsidR="004E22C1">
              <w:t xml:space="preserve">in workers, </w:t>
            </w:r>
            <w:r w:rsidR="004E22C1" w:rsidRPr="004E22C1">
              <w:t xml:space="preserve">high concentration in urine </w:t>
            </w:r>
            <w:r w:rsidR="004E22C1">
              <w:t>noted</w:t>
            </w:r>
            <w:r w:rsidR="004E22C1" w:rsidRPr="004E22C1">
              <w:t xml:space="preserve"> 16 </w:t>
            </w:r>
            <w:r w:rsidR="004E22C1">
              <w:t>h</w:t>
            </w:r>
            <w:r w:rsidR="004E22C1" w:rsidRPr="004E22C1">
              <w:t xml:space="preserve"> </w:t>
            </w:r>
            <w:r w:rsidR="004E22C1">
              <w:t>post</w:t>
            </w:r>
            <w:r w:rsidR="004E22C1" w:rsidRPr="004E22C1">
              <w:t xml:space="preserve"> exposure</w:t>
            </w:r>
          </w:p>
          <w:p w14:paraId="665EE357" w14:textId="6FBB604A" w:rsidR="004E22C1" w:rsidRDefault="0034061C" w:rsidP="0034061C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t</w:t>
            </w:r>
            <w:r w:rsidR="004E22C1">
              <w:t>he s</w:t>
            </w:r>
            <w:r w:rsidR="004E22C1" w:rsidRPr="004E22C1">
              <w:t>hort half-time, indicate</w:t>
            </w:r>
            <w:r w:rsidR="004E22C1">
              <w:t>s</w:t>
            </w:r>
            <w:r w:rsidR="004E22C1" w:rsidRPr="004E22C1">
              <w:t xml:space="preserve"> a</w:t>
            </w:r>
            <w:r w:rsidR="004E22C1">
              <w:t xml:space="preserve"> </w:t>
            </w:r>
            <w:r w:rsidR="004E22C1" w:rsidRPr="004E22C1">
              <w:t>skin depot</w:t>
            </w:r>
            <w:r w:rsidR="004E22C1">
              <w:t xml:space="preserve"> (no further information)</w:t>
            </w:r>
          </w:p>
          <w:p w14:paraId="1BD317F7" w14:textId="77777777" w:rsidR="004E22C1" w:rsidRDefault="004E22C1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</w:t>
            </w:r>
            <w:r w:rsidRPr="004E22C1">
              <w:t>aking into consideration the physicochemical properties designated with an “H”</w:t>
            </w:r>
            <w:r>
              <w:t xml:space="preserve"> skin notation</w:t>
            </w:r>
            <w:r w:rsidRPr="004E22C1">
              <w:t>.</w:t>
            </w:r>
          </w:p>
          <w:p w14:paraId="61A64F09" w14:textId="3C90D89F" w:rsidR="009D4747" w:rsidRPr="00DA352E" w:rsidRDefault="009D4747" w:rsidP="0034061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E6A0B2C" w14:textId="77777777" w:rsidTr="003F6FFB">
        <w:tc>
          <w:tcPr>
            <w:tcW w:w="5000" w:type="pct"/>
            <w:shd w:val="clear" w:color="auto" w:fill="F2F2F2" w:themeFill="background1" w:themeFillShade="F2"/>
          </w:tcPr>
          <w:p w14:paraId="73C602E5" w14:textId="6CBAE37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E1A0A">
                  <w:t>1992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9E1A0A">
                  <w:t>TWA: 50 ppm (120 mg/m</w:t>
                </w:r>
                <w:r w:rsidR="009E1A0A" w:rsidRPr="009E1A0A">
                  <w:rPr>
                    <w:vertAlign w:val="superscript"/>
                  </w:rPr>
                  <w:t>3</w:t>
                </w:r>
                <w:r w:rsidR="009E1A0A">
                  <w:t>); STEL: 100 ppm (300 mg/m</w:t>
                </w:r>
                <w:r w:rsidR="009E1A0A" w:rsidRPr="009E1A0A">
                  <w:rPr>
                    <w:vertAlign w:val="superscript"/>
                  </w:rPr>
                  <w:t>3</w:t>
                </w:r>
                <w:r w:rsidR="009E1A0A">
                  <w:t>)</w:t>
                </w:r>
              </w:sdtContent>
            </w:sdt>
          </w:p>
        </w:tc>
      </w:tr>
      <w:tr w:rsidR="00C978F0" w:rsidRPr="00DA352E" w14:paraId="2008D281" w14:textId="77777777" w:rsidTr="003F6FFB">
        <w:tc>
          <w:tcPr>
            <w:tcW w:w="5000" w:type="pct"/>
          </w:tcPr>
          <w:p w14:paraId="2ACF075A" w14:textId="391C7B02" w:rsidR="00465ECA" w:rsidRDefault="00465ECA" w:rsidP="003365A5">
            <w:pPr>
              <w:pStyle w:val="Tabletextprimarysource"/>
            </w:pPr>
            <w:r>
              <w:t>Summary of additional data:</w:t>
            </w:r>
          </w:p>
          <w:p w14:paraId="7815FAE6" w14:textId="64C44DC8" w:rsidR="00C978F0" w:rsidRDefault="00465ECA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TWA based on 3 </w:t>
            </w:r>
            <w:proofErr w:type="spellStart"/>
            <w:r>
              <w:t>wk</w:t>
            </w:r>
            <w:proofErr w:type="spellEnd"/>
            <w:r>
              <w:t xml:space="preserve"> study in rats as cited by DFG (1996); an UF of 2 applied to account for the transient nature of the minimal effects observed</w:t>
            </w:r>
          </w:p>
          <w:p w14:paraId="49B18949" w14:textId="77777777" w:rsidR="00465ECA" w:rsidRDefault="00465ECA" w:rsidP="0034061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derivation of STEL provided only that it should be applied to limit short-term exposure to irritant levels</w:t>
            </w:r>
            <w:r w:rsidR="00B04812">
              <w:t>.</w:t>
            </w:r>
          </w:p>
          <w:p w14:paraId="153B53C1" w14:textId="04EB15D7" w:rsidR="009D4747" w:rsidRPr="00DA352E" w:rsidRDefault="009D4747" w:rsidP="0034061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12BAB90D" w14:textId="77777777" w:rsidTr="003F6FFB">
        <w:tc>
          <w:tcPr>
            <w:tcW w:w="5000" w:type="pct"/>
            <w:shd w:val="clear" w:color="auto" w:fill="F2F2F2" w:themeFill="background1" w:themeFillShade="F2"/>
          </w:tcPr>
          <w:p w14:paraId="0D806BF8" w14:textId="265B909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E1A0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E1A0A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3F6FFB">
        <w:tc>
          <w:tcPr>
            <w:tcW w:w="5000" w:type="pct"/>
          </w:tcPr>
          <w:p w14:paraId="2059E4CB" w14:textId="470EC829" w:rsidR="00DA352E" w:rsidRPr="00DA352E" w:rsidRDefault="009E1A0A" w:rsidP="003365A5">
            <w:pPr>
              <w:pStyle w:val="Tabletextprimarysource"/>
            </w:pPr>
            <w:r>
              <w:t>No report</w:t>
            </w:r>
            <w:r w:rsidR="00B04812">
              <w:t>.</w:t>
            </w:r>
          </w:p>
        </w:tc>
      </w:tr>
      <w:tr w:rsidR="00DA352E" w:rsidRPr="00DA352E" w14:paraId="605F758C" w14:textId="77777777" w:rsidTr="003F6FFB">
        <w:tc>
          <w:tcPr>
            <w:tcW w:w="5000" w:type="pct"/>
            <w:shd w:val="clear" w:color="auto" w:fill="F2F2F2" w:themeFill="background1" w:themeFillShade="F2"/>
          </w:tcPr>
          <w:p w14:paraId="407840EC" w14:textId="17A71E7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E1A0A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65ECA">
                  <w:t>NA</w:t>
                </w:r>
              </w:sdtContent>
            </w:sdt>
          </w:p>
        </w:tc>
      </w:tr>
      <w:tr w:rsidR="00DA352E" w:rsidRPr="00DA352E" w14:paraId="7050CB3E" w14:textId="77777777" w:rsidTr="003F6FFB">
        <w:tc>
          <w:tcPr>
            <w:tcW w:w="5000" w:type="pct"/>
          </w:tcPr>
          <w:p w14:paraId="013FBABA" w14:textId="77777777" w:rsidR="00DA352E" w:rsidRDefault="00465ECA" w:rsidP="003365A5">
            <w:pPr>
              <w:pStyle w:val="Tabletextprimarysource"/>
            </w:pPr>
            <w:r>
              <w:t>Review of carcinogenicity and genotoxicity; the available data are insufficient to evaluate the carcinogenic properties of THF</w:t>
            </w:r>
            <w:r w:rsidR="00B04812">
              <w:t>.</w:t>
            </w:r>
          </w:p>
          <w:p w14:paraId="492D7791" w14:textId="3E0FDA8A" w:rsidR="009D4747" w:rsidRPr="00DA352E" w:rsidRDefault="009D4747" w:rsidP="003365A5">
            <w:pPr>
              <w:pStyle w:val="Tabletextprimarysource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3"/>
        <w:gridCol w:w="661"/>
        <w:gridCol w:w="6453"/>
      </w:tblGrid>
      <w:tr w:rsidR="004966BF" w:rsidRPr="00263255" w14:paraId="6AE89AB3" w14:textId="77777777" w:rsidTr="003F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EFB56BB" w14:textId="77777777" w:rsidTr="003F6FFB">
        <w:trPr>
          <w:cantSplit/>
        </w:trPr>
        <w:tc>
          <w:tcPr>
            <w:tcW w:w="1489" w:type="dxa"/>
          </w:tcPr>
          <w:p w14:paraId="4DCEDE53" w14:textId="10D5E92C" w:rsidR="004966BF" w:rsidRPr="004C23F4" w:rsidRDefault="00E751F2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433FA09" w14:textId="784A8F3C" w:rsidR="004966BF" w:rsidRPr="00CE617F" w:rsidRDefault="003F6FF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8368101"/>
                <w:placeholder>
                  <w:docPart w:val="29D96B65566944F4988BAEB665EF7897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751F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90BE39E" w14:textId="49155AE7" w:rsidR="004966BF" w:rsidRPr="004C23F4" w:rsidRDefault="00E751F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3" w:type="dxa"/>
          </w:tcPr>
          <w:p w14:paraId="59F34191" w14:textId="77777777" w:rsidR="004966BF" w:rsidRPr="00F114A8" w:rsidRDefault="00E751F2" w:rsidP="0034061C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F114A8">
              <w:t>No contact dermatitis or sensitisation observed in 196 volunteers exposed to the chemical dermally (exposure concentration not reported) </w:t>
            </w:r>
          </w:p>
          <w:p w14:paraId="4827EEA7" w14:textId="25D2C67A" w:rsidR="00E751F2" w:rsidRPr="00F114A8" w:rsidRDefault="00B50E92" w:rsidP="0034061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114A8">
              <w:t xml:space="preserve">A </w:t>
            </w:r>
            <w:r w:rsidRPr="00F114A8">
              <w:rPr>
                <w:rFonts w:cs="Arial"/>
              </w:rPr>
              <w:t xml:space="preserve">NOAEC of 200 ppm, for nasal and ocular secretions (1/20) reported in </w:t>
            </w:r>
            <w:r w:rsidR="00E751F2" w:rsidRPr="00F114A8">
              <w:t xml:space="preserve">13 </w:t>
            </w:r>
            <w:proofErr w:type="spellStart"/>
            <w:r w:rsidR="00E751F2" w:rsidRPr="00F114A8">
              <w:t>wk</w:t>
            </w:r>
            <w:proofErr w:type="spellEnd"/>
            <w:r w:rsidR="00E751F2" w:rsidRPr="00F114A8">
              <w:t xml:space="preserve"> study in</w:t>
            </w:r>
            <w:r w:rsidRPr="00F114A8">
              <w:t xml:space="preserve"> mice (study cited by ACGIH</w:t>
            </w:r>
            <w:r w:rsidR="00541BFF">
              <w:t xml:space="preserve">, </w:t>
            </w:r>
            <w:r w:rsidRPr="00F114A8">
              <w:t>2018)</w:t>
            </w:r>
            <w:r w:rsidR="009D4747">
              <w:t>.</w:t>
            </w:r>
          </w:p>
        </w:tc>
      </w:tr>
      <w:tr w:rsidR="004966BF" w:rsidRPr="004C23F4" w14:paraId="67214C13" w14:textId="77777777" w:rsidTr="003F6FFB">
        <w:trPr>
          <w:cantSplit/>
        </w:trPr>
        <w:tc>
          <w:tcPr>
            <w:tcW w:w="1489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0C4C69B9" w:rsidR="004966BF" w:rsidRPr="00CE617F" w:rsidRDefault="003F6FF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A108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61D54966" w:rsidR="004966BF" w:rsidRPr="004C23F4" w:rsidRDefault="00EA108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3" w:type="dxa"/>
          </w:tcPr>
          <w:p w14:paraId="2B21D2A8" w14:textId="52AF4A1B" w:rsidR="00EA1087" w:rsidRPr="00F114A8" w:rsidRDefault="00B239B7" w:rsidP="0034061C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F114A8">
              <w:rPr>
                <w:rStyle w:val="Emphasis"/>
                <w:rFonts w:cs="Arial"/>
              </w:rPr>
              <w:t>C</w:t>
            </w:r>
            <w:r w:rsidR="00EA1087" w:rsidRPr="00F114A8">
              <w:rPr>
                <w:rStyle w:val="Emphasis"/>
                <w:rFonts w:cs="Arial"/>
              </w:rPr>
              <w:t>lear evidence of carcinogenic activity</w:t>
            </w:r>
            <w:r w:rsidR="00EA1087" w:rsidRPr="00F114A8">
              <w:rPr>
                <w:rFonts w:cs="Arial"/>
              </w:rPr>
              <w:t xml:space="preserve"> in female mice based on increased incidence of hepatocellular adenoma or carcinoma</w:t>
            </w:r>
            <w:r w:rsidR="0040388A" w:rsidRPr="00F114A8">
              <w:rPr>
                <w:rFonts w:cs="Arial"/>
              </w:rPr>
              <w:t xml:space="preserve">; </w:t>
            </w:r>
            <w:r w:rsidR="0040388A" w:rsidRPr="00F114A8">
              <w:rPr>
                <w:rStyle w:val="Emphasis"/>
                <w:rFonts w:cs="Arial"/>
              </w:rPr>
              <w:t>some evidence of carcinogenic activity</w:t>
            </w:r>
            <w:r w:rsidR="0040388A" w:rsidRPr="00F114A8">
              <w:rPr>
                <w:rFonts w:cs="Arial"/>
              </w:rPr>
              <w:t xml:space="preserve"> in male rats based on increased incidence of combined renal tubule neoplasms (either adenoma or carcinoma) (cited by ACGIH, 2018)</w:t>
            </w:r>
          </w:p>
          <w:p w14:paraId="5621CC45" w14:textId="011C13DB" w:rsidR="004966BF" w:rsidRPr="00F114A8" w:rsidRDefault="0034061C" w:rsidP="0034061C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EA1087" w:rsidRPr="00F114A8">
              <w:rPr>
                <w:rFonts w:cs="Arial"/>
              </w:rPr>
              <w:t xml:space="preserve">o genotoxicity </w:t>
            </w:r>
            <w:r w:rsidR="00EA1087" w:rsidRPr="00F114A8">
              <w:rPr>
                <w:rFonts w:cs="Arial"/>
                <w:i/>
              </w:rPr>
              <w:t>in vitro</w:t>
            </w:r>
            <w:r w:rsidR="00EA1087" w:rsidRPr="00F114A8">
              <w:rPr>
                <w:rFonts w:cs="Arial"/>
              </w:rPr>
              <w:t xml:space="preserve"> and </w:t>
            </w:r>
            <w:r w:rsidR="00EA1087" w:rsidRPr="00F114A8">
              <w:rPr>
                <w:rFonts w:cs="Arial"/>
                <w:i/>
              </w:rPr>
              <w:t>in vivo</w:t>
            </w:r>
            <w:r w:rsidR="00EA1087" w:rsidRPr="00F114A8">
              <w:rPr>
                <w:rFonts w:cs="Arial"/>
              </w:rPr>
              <w:t xml:space="preserve"> and causes carcinogenic activity only at high doses levels</w:t>
            </w:r>
          </w:p>
          <w:p w14:paraId="73E52B4E" w14:textId="3473FBA2" w:rsidR="0034061C" w:rsidRDefault="0040388A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F114A8">
              <w:rPr>
                <w:rFonts w:cs="Arial"/>
              </w:rPr>
              <w:t>R</w:t>
            </w:r>
            <w:r w:rsidR="00EA1087" w:rsidRPr="00F114A8">
              <w:rPr>
                <w:rFonts w:cs="Arial"/>
              </w:rPr>
              <w:t>odent carcinogenicity data considered relevant to humans</w:t>
            </w:r>
            <w:r w:rsidR="002D77DB">
              <w:rPr>
                <w:rFonts w:cs="Arial"/>
              </w:rPr>
              <w:t>:</w:t>
            </w:r>
            <w:r w:rsidR="00EA1087" w:rsidRPr="00F114A8">
              <w:rPr>
                <w:rFonts w:cs="Arial"/>
              </w:rPr>
              <w:t xml:space="preserve"> </w:t>
            </w:r>
          </w:p>
          <w:p w14:paraId="0076C2F1" w14:textId="2D326571" w:rsidR="00EA1087" w:rsidRPr="00F114A8" w:rsidRDefault="00EA1087" w:rsidP="0034061C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 w:rsidRPr="00F114A8">
              <w:rPr>
                <w:rFonts w:cs="Arial"/>
              </w:rPr>
              <w:t>exposures leading to these tumours are outside the range considered relevant for long term human exposure</w:t>
            </w:r>
            <w:r w:rsidR="00B239B7" w:rsidRPr="00F114A8">
              <w:rPr>
                <w:rFonts w:cs="Arial"/>
              </w:rPr>
              <w:t>.</w:t>
            </w:r>
          </w:p>
        </w:tc>
        <w:bookmarkStart w:id="1" w:name="_GoBack"/>
        <w:bookmarkEnd w:id="1"/>
      </w:tr>
    </w:tbl>
    <w:bookmarkEnd w:id="0"/>
    <w:p w14:paraId="04408E2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E751F2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14C84B71" w:rsidR="002E0D61" w:rsidRDefault="00E751F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E751F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682C7754" w:rsidR="008A36CF" w:rsidRPr="006901A2" w:rsidRDefault="00E751F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3F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3F6FFB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D8579A5" w:rsidR="00687890" w:rsidRPr="00DD2F9B" w:rsidRDefault="0009139A" w:rsidP="00DD2F9B">
            <w:pPr>
              <w:pStyle w:val="Tablefont"/>
            </w:pPr>
            <w:r>
              <w:t>Skin</w:t>
            </w:r>
          </w:p>
        </w:tc>
      </w:tr>
      <w:tr w:rsidR="007925F0" w:rsidRPr="004C23F4" w14:paraId="2A0C13EF" w14:textId="77777777" w:rsidTr="003F6FFB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59E4803C" w:rsidR="007925F0" w:rsidRPr="00DD2F9B" w:rsidRDefault="0009139A" w:rsidP="00DD2F9B">
            <w:pPr>
              <w:pStyle w:val="Tablefont"/>
            </w:pPr>
            <w:r w:rsidRPr="0009139A">
              <w:t>Carcinogenicity – category 2</w:t>
            </w:r>
          </w:p>
        </w:tc>
      </w:tr>
      <w:tr w:rsidR="00AF483F" w:rsidRPr="004C23F4" w14:paraId="4C1044B3" w14:textId="77777777" w:rsidTr="003F6FFB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1DE5CA95" w:rsidR="00AF483F" w:rsidRPr="00DD2F9B" w:rsidRDefault="0009139A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812F0EC" w14:textId="77777777" w:rsidTr="003F6FFB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1099E3AE" w:rsidR="00687890" w:rsidRPr="00DD2F9B" w:rsidRDefault="0009139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3F6FFB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411F523E" w:rsidR="00E41A26" w:rsidRPr="00DD2F9B" w:rsidRDefault="0009139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3F6FFB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15FB6DC4" w:rsidR="002E0D61" w:rsidRPr="004E22C1" w:rsidRDefault="00E41F62" w:rsidP="00DD2F9B">
            <w:pPr>
              <w:pStyle w:val="Tablefont"/>
            </w:pPr>
            <w:r w:rsidRPr="004E22C1">
              <w:t>Carcinogenicity – A3</w:t>
            </w:r>
            <w:r w:rsidR="00E04937" w:rsidRPr="004E22C1">
              <w:t>, Skin</w:t>
            </w:r>
          </w:p>
        </w:tc>
      </w:tr>
      <w:tr w:rsidR="002E0D61" w:rsidRPr="004C23F4" w14:paraId="43FA3590" w14:textId="77777777" w:rsidTr="003F6FFB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BFF7A52" w:rsidR="002E0D61" w:rsidRPr="004E22C1" w:rsidRDefault="00E41F62" w:rsidP="00DD2F9B">
            <w:pPr>
              <w:pStyle w:val="Tablefont"/>
            </w:pPr>
            <w:r w:rsidRPr="004E22C1">
              <w:t>Carcinogenicity – 4, H (skin)</w:t>
            </w:r>
          </w:p>
        </w:tc>
      </w:tr>
      <w:tr w:rsidR="002E0D61" w:rsidRPr="004C23F4" w14:paraId="2AC7B866" w14:textId="77777777" w:rsidTr="003F6FFB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09E7EDB" w:rsidR="002E0D61" w:rsidRPr="004E22C1" w:rsidRDefault="00E41F62" w:rsidP="00DD2F9B">
            <w:pPr>
              <w:pStyle w:val="Tablefont"/>
            </w:pPr>
            <w:r w:rsidRPr="004E22C1">
              <w:t>Skin</w:t>
            </w:r>
          </w:p>
        </w:tc>
      </w:tr>
      <w:tr w:rsidR="002E0D61" w:rsidRPr="004C23F4" w14:paraId="1BE6EC07" w14:textId="77777777" w:rsidTr="003F6FFB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FB9F5D4" w:rsidR="002E0D61" w:rsidRPr="00DD2F9B" w:rsidRDefault="00E41F62" w:rsidP="00DD2F9B">
            <w:pPr>
              <w:pStyle w:val="Tablefont"/>
            </w:pPr>
            <w:r w:rsidRPr="00E41F62">
              <w:t>Carcinogenicity – category 3</w:t>
            </w:r>
          </w:p>
        </w:tc>
      </w:tr>
      <w:tr w:rsidR="00386093" w:rsidRPr="004C23F4" w14:paraId="5F6A6A8E" w14:textId="77777777" w:rsidTr="003F6FFB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32464B39" w:rsidR="00386093" w:rsidRPr="00DD2F9B" w:rsidRDefault="00E41F62" w:rsidP="00DD2F9B">
            <w:pPr>
              <w:pStyle w:val="Tablefont"/>
            </w:pPr>
            <w:r w:rsidRPr="00E41F62">
              <w:t>Carcinogenicity – Group 2B</w:t>
            </w:r>
          </w:p>
        </w:tc>
      </w:tr>
      <w:tr w:rsidR="00386093" w:rsidRPr="004C23F4" w14:paraId="7461DB0E" w14:textId="77777777" w:rsidTr="003F6FFB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6A4E8484" w:rsidR="00386093" w:rsidRPr="00DD2F9B" w:rsidRDefault="00E41F6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12182ED9" w:rsidR="00932DCE" w:rsidRPr="004C23F4" w:rsidRDefault="00B239B7" w:rsidP="00F9496B">
            <w:pPr>
              <w:pStyle w:val="Tablefont"/>
            </w:pPr>
            <w:r>
              <w:t>Insufficient data to assign a skin notation</w:t>
            </w:r>
            <w:r w:rsidR="0034061C">
              <w:t>.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02EBC074" w:rsidR="00EB3D1B" w:rsidRDefault="00337E12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58A63B4A" w:rsidR="001B79E5" w:rsidRDefault="00E41F62" w:rsidP="001B79E5">
                <w:pPr>
                  <w:pStyle w:val="Tablefont"/>
                </w:pPr>
                <w:r w:rsidRPr="00E41F62">
                  <w:t>72.11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44F08F32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41F62">
                  <w:t>2.95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41F62">
                  <w:t>0.34</w:t>
                </w:r>
              </w:sdtContent>
            </w:sdt>
            <w:r w:rsidRPr="00E41F62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25556676" w:rsidR="00E06F40" w:rsidRPr="00A006A0" w:rsidRDefault="003F6FF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183D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39348F8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E41F62">
        <w:t>2004</w:t>
      </w:r>
      <w:r>
        <w:t xml:space="preserve">) </w:t>
      </w:r>
      <w:r w:rsidR="00E41F62" w:rsidRPr="00E41F62">
        <w:t>Tetrahydrofuran</w:t>
      </w:r>
      <w:r>
        <w:t xml:space="preserve"> – MAK value documentation.</w:t>
      </w:r>
    </w:p>
    <w:p w14:paraId="3A4FF805" w14:textId="6CD64465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E41F62">
        <w:t>1992</w:t>
      </w:r>
      <w:r>
        <w:t xml:space="preserve">) Recommendation from the Scientific Committee on Occupational Exposure Limits for </w:t>
      </w:r>
      <w:r w:rsidR="00E41F62" w:rsidRPr="00E41F62">
        <w:t>Tetrahydrofuran</w:t>
      </w:r>
      <w:r>
        <w:t>. SCOEL/</w:t>
      </w:r>
      <w:r w:rsidR="00E41F62">
        <w:t>SUM/12C</w:t>
      </w:r>
      <w:r>
        <w:t>.</w:t>
      </w:r>
    </w:p>
    <w:p w14:paraId="28EAA9C1" w14:textId="28D84631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E41F62" w:rsidRPr="00E41F62">
        <w:t>2012</w:t>
      </w:r>
      <w:r>
        <w:t xml:space="preserve">) </w:t>
      </w:r>
      <w:r w:rsidR="00E41F62" w:rsidRPr="00E41F62">
        <w:t>Tetrahydrofuran</w:t>
      </w:r>
      <w:r w:rsidRPr="005F7416">
        <w:t xml:space="preserve">. Health-based calculated occupational cancer risk values. The Hague: Health Council of the Netherlands; publication no. </w:t>
      </w:r>
      <w:r w:rsidR="00E41F62" w:rsidRPr="00E41F62">
        <w:t>2012/23</w:t>
      </w:r>
      <w:r>
        <w:t>.</w:t>
      </w:r>
    </w:p>
    <w:p w14:paraId="4D7F094F" w14:textId="6FFC2CD6" w:rsidR="008E4F1F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077555">
        <w:t>2019</w:t>
      </w:r>
      <w:r>
        <w:t xml:space="preserve">) </w:t>
      </w:r>
      <w:r w:rsidR="00E41F62" w:rsidRPr="00E41F62">
        <w:t>Tetrahydrofuran</w:t>
      </w:r>
      <w:r>
        <w:t>. IARC Monographs on the evaluation of the carcinogenic risk to humans.</w:t>
      </w:r>
    </w:p>
    <w:p w14:paraId="1D94FE62" w14:textId="023510B4" w:rsidR="008E4F1F" w:rsidRDefault="008E4F1F" w:rsidP="008E4F1F">
      <w:r w:rsidRPr="002022B6">
        <w:t>National Industrial Chemicals Notification and Assessment Scheme (NICNAS)</w:t>
      </w:r>
      <w:r>
        <w:t xml:space="preserve"> (</w:t>
      </w:r>
      <w:r w:rsidR="00077555" w:rsidRPr="00077555">
        <w:t>2013</w:t>
      </w:r>
      <w:r>
        <w:t xml:space="preserve">) </w:t>
      </w:r>
      <w:r w:rsidR="00077555" w:rsidRPr="00077555">
        <w:t>Furan, tetrahydro</w:t>
      </w:r>
      <w:r w:rsidRPr="0071660C">
        <w:t xml:space="preserve">: Human health </w:t>
      </w:r>
      <w:r w:rsidR="00077555" w:rsidRPr="00077555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7CE8991E" w14:textId="020A78E0" w:rsidR="0040388A" w:rsidRDefault="0040388A" w:rsidP="0040388A">
      <w:pPr>
        <w:rPr>
          <w:b/>
        </w:rPr>
      </w:pPr>
      <w:r w:rsidRPr="002022B6">
        <w:t>National Industrial Chemicals Notification and Assessment Scheme (NICNAS)</w:t>
      </w:r>
      <w:r>
        <w:t xml:space="preserve"> (2016) </w:t>
      </w:r>
      <w:r w:rsidRPr="00077555">
        <w:t>Furan, tetrahydro</w:t>
      </w:r>
      <w:r w:rsidRPr="0071660C">
        <w:t xml:space="preserve">: Human health </w:t>
      </w:r>
      <w:r w:rsidRPr="00077555">
        <w:t>tier II</w:t>
      </w:r>
      <w:r>
        <w:t xml:space="preserve">I </w:t>
      </w:r>
      <w:r w:rsidRPr="0071660C">
        <w:t>assessment</w:t>
      </w:r>
      <w:r>
        <w:t xml:space="preserve"> – IMAP report.</w:t>
      </w:r>
    </w:p>
    <w:p w14:paraId="417B0753" w14:textId="14A675E1" w:rsidR="008E4F1F" w:rsidRPr="00351FE0" w:rsidRDefault="008E4F1F" w:rsidP="00B239B7">
      <w:r w:rsidRPr="00D86E03">
        <w:t>US National Institute for Occupational Safety and Health (NIOSH)</w:t>
      </w:r>
      <w:r>
        <w:t xml:space="preserve"> (</w:t>
      </w:r>
      <w:r w:rsidR="00077555" w:rsidRPr="00077555">
        <w:t>1994</w:t>
      </w:r>
      <w:r>
        <w:t xml:space="preserve">) Immediately dangerous to life or health concentrations – </w:t>
      </w:r>
      <w:r w:rsidR="00077555" w:rsidRPr="00077555">
        <w:t>Tetrahydrofuran</w:t>
      </w:r>
      <w:r>
        <w:t>.</w:t>
      </w:r>
      <w:r w:rsidR="00B239B7">
        <w:t xml:space="preserve">  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1F973" w14:textId="77777777" w:rsidR="00592ED2" w:rsidRDefault="00592ED2" w:rsidP="00F43AD5">
      <w:pPr>
        <w:spacing w:after="0" w:line="240" w:lineRule="auto"/>
      </w:pPr>
      <w:r>
        <w:separator/>
      </w:r>
    </w:p>
  </w:endnote>
  <w:endnote w:type="continuationSeparator" w:id="0">
    <w:p w14:paraId="19771A59" w14:textId="77777777" w:rsidR="00592ED2" w:rsidRDefault="00592ED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8FB8" w14:textId="77777777" w:rsidR="003F6FFB" w:rsidRDefault="003F6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01CF01FB" w:rsidR="008A36CF" w:rsidRDefault="00337E12" w:rsidP="0034744C">
        <w:pPr>
          <w:pStyle w:val="Footer"/>
          <w:rPr>
            <w:sz w:val="18"/>
            <w:szCs w:val="18"/>
          </w:rPr>
        </w:pPr>
        <w:r w:rsidRPr="00337E12">
          <w:rPr>
            <w:b/>
            <w:sz w:val="18"/>
            <w:szCs w:val="18"/>
          </w:rPr>
          <w:t>Tetrahydrofuran</w:t>
        </w:r>
        <w:r w:rsidR="008A36CF">
          <w:rPr>
            <w:b/>
            <w:sz w:val="18"/>
            <w:szCs w:val="18"/>
          </w:rPr>
          <w:t xml:space="preserve"> (</w:t>
        </w:r>
        <w:r w:rsidRPr="00337E12">
          <w:rPr>
            <w:b/>
            <w:sz w:val="18"/>
            <w:szCs w:val="18"/>
          </w:rPr>
          <w:t>109-99-9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0C2204" w:rsidRPr="00F43AD5">
          <w:rPr>
            <w:sz w:val="18"/>
            <w:szCs w:val="18"/>
          </w:rPr>
          <w:t>20</w:t>
        </w:r>
        <w:r w:rsidR="000C2204">
          <w:rPr>
            <w:sz w:val="18"/>
            <w:szCs w:val="18"/>
          </w:rPr>
          <w:t>20</w:t>
        </w:r>
      </w:p>
      <w:p w14:paraId="2D517F5E" w14:textId="035FCB2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B6CA6">
          <w:rPr>
            <w:noProof/>
            <w:sz w:val="18"/>
            <w:szCs w:val="18"/>
          </w:rPr>
          <w:t>8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07A9" w14:textId="77777777" w:rsidR="003F6FFB" w:rsidRDefault="003F6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053D" w14:textId="77777777" w:rsidR="00592ED2" w:rsidRDefault="00592ED2" w:rsidP="00F43AD5">
      <w:pPr>
        <w:spacing w:after="0" w:line="240" w:lineRule="auto"/>
      </w:pPr>
      <w:r>
        <w:separator/>
      </w:r>
    </w:p>
  </w:footnote>
  <w:footnote w:type="continuationSeparator" w:id="0">
    <w:p w14:paraId="59E9AA9F" w14:textId="77777777" w:rsidR="00592ED2" w:rsidRDefault="00592ED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814A" w14:textId="77777777" w:rsidR="003F6FFB" w:rsidRDefault="003F6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052D" w14:textId="6128FDB6" w:rsidR="003F6FFB" w:rsidRDefault="003F6FFB" w:rsidP="003F6FFB">
    <w:pPr>
      <w:pStyle w:val="Header"/>
      <w:jc w:val="right"/>
    </w:pPr>
    <w:r>
      <w:pict w14:anchorId="7CF781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E3532F7" wp14:editId="25163CD8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041D9" w14:textId="77777777" w:rsidR="003F6FFB" w:rsidRDefault="003F6FFB" w:rsidP="003F6FFB">
    <w:pPr>
      <w:pStyle w:val="Header"/>
    </w:pPr>
  </w:p>
  <w:p w14:paraId="4DAA8792" w14:textId="352F91C2" w:rsidR="008A36CF" w:rsidRPr="003F6FFB" w:rsidRDefault="008A36CF" w:rsidP="003F6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7358" w14:textId="77777777" w:rsidR="003F6FFB" w:rsidRDefault="003F6F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162F" w14:textId="287A06C3" w:rsidR="003F6FFB" w:rsidRDefault="003F6FFB" w:rsidP="003F6FFB">
    <w:pPr>
      <w:pStyle w:val="Header"/>
      <w:jc w:val="right"/>
    </w:pPr>
    <w:r>
      <w:pict w14:anchorId="3E6CEC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3BD4CCC" wp14:editId="7E33E8E1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7EE74" w14:textId="77777777" w:rsidR="003F6FFB" w:rsidRDefault="003F6FFB" w:rsidP="003F6FFB">
    <w:pPr>
      <w:pStyle w:val="Header"/>
    </w:pP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307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E0593"/>
    <w:multiLevelType w:val="hybridMultilevel"/>
    <w:tmpl w:val="15D00F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B36B7"/>
    <w:multiLevelType w:val="hybridMultilevel"/>
    <w:tmpl w:val="BF9A0BD4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9BA62A9"/>
    <w:multiLevelType w:val="hybridMultilevel"/>
    <w:tmpl w:val="90964486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C3F0D4E"/>
    <w:multiLevelType w:val="hybridMultilevel"/>
    <w:tmpl w:val="306622D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2F4A8C"/>
    <w:multiLevelType w:val="hybridMultilevel"/>
    <w:tmpl w:val="25AED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A07B54"/>
    <w:multiLevelType w:val="hybridMultilevel"/>
    <w:tmpl w:val="16F887E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9746043"/>
    <w:multiLevelType w:val="hybridMultilevel"/>
    <w:tmpl w:val="7AB4C6E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EE450C8"/>
    <w:multiLevelType w:val="hybridMultilevel"/>
    <w:tmpl w:val="4DFE6EE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5408"/>
    <w:rsid w:val="00017C82"/>
    <w:rsid w:val="0002738D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7555"/>
    <w:rsid w:val="000803E1"/>
    <w:rsid w:val="000841DE"/>
    <w:rsid w:val="00084513"/>
    <w:rsid w:val="00084859"/>
    <w:rsid w:val="0009139A"/>
    <w:rsid w:val="00092D94"/>
    <w:rsid w:val="000B0868"/>
    <w:rsid w:val="000B3E12"/>
    <w:rsid w:val="000B3E78"/>
    <w:rsid w:val="000B7B48"/>
    <w:rsid w:val="000C096D"/>
    <w:rsid w:val="000C139A"/>
    <w:rsid w:val="000C2053"/>
    <w:rsid w:val="000C2204"/>
    <w:rsid w:val="000C248C"/>
    <w:rsid w:val="000D0643"/>
    <w:rsid w:val="000D291C"/>
    <w:rsid w:val="000E5A54"/>
    <w:rsid w:val="000E63D3"/>
    <w:rsid w:val="000E67CF"/>
    <w:rsid w:val="000F7DAE"/>
    <w:rsid w:val="0010461E"/>
    <w:rsid w:val="00106FAA"/>
    <w:rsid w:val="00113443"/>
    <w:rsid w:val="001269A7"/>
    <w:rsid w:val="00131092"/>
    <w:rsid w:val="00136F53"/>
    <w:rsid w:val="00140E6A"/>
    <w:rsid w:val="00146545"/>
    <w:rsid w:val="00146B75"/>
    <w:rsid w:val="0015266D"/>
    <w:rsid w:val="0015288A"/>
    <w:rsid w:val="00155999"/>
    <w:rsid w:val="00156805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0591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38CA"/>
    <w:rsid w:val="00276494"/>
    <w:rsid w:val="00277B0C"/>
    <w:rsid w:val="002B1A2C"/>
    <w:rsid w:val="002C34F2"/>
    <w:rsid w:val="002C58FF"/>
    <w:rsid w:val="002C6BDF"/>
    <w:rsid w:val="002C7AFE"/>
    <w:rsid w:val="002D05D2"/>
    <w:rsid w:val="002D2139"/>
    <w:rsid w:val="002D77DB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376AE"/>
    <w:rsid w:val="00337E12"/>
    <w:rsid w:val="0034061C"/>
    <w:rsid w:val="00347192"/>
    <w:rsid w:val="0034744C"/>
    <w:rsid w:val="00350945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6FFB"/>
    <w:rsid w:val="004030BC"/>
    <w:rsid w:val="0040388A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5ECA"/>
    <w:rsid w:val="00472A11"/>
    <w:rsid w:val="00472AAD"/>
    <w:rsid w:val="00474170"/>
    <w:rsid w:val="00474678"/>
    <w:rsid w:val="00474E33"/>
    <w:rsid w:val="00476803"/>
    <w:rsid w:val="00485BFD"/>
    <w:rsid w:val="004867A2"/>
    <w:rsid w:val="004868E5"/>
    <w:rsid w:val="004873F2"/>
    <w:rsid w:val="00490D4C"/>
    <w:rsid w:val="00493A35"/>
    <w:rsid w:val="0049527A"/>
    <w:rsid w:val="004966BF"/>
    <w:rsid w:val="00497984"/>
    <w:rsid w:val="004A5088"/>
    <w:rsid w:val="004B1F59"/>
    <w:rsid w:val="004C1E3F"/>
    <w:rsid w:val="004C23F4"/>
    <w:rsid w:val="004C3475"/>
    <w:rsid w:val="004C58B6"/>
    <w:rsid w:val="004D16A3"/>
    <w:rsid w:val="004D4AA1"/>
    <w:rsid w:val="004D6D68"/>
    <w:rsid w:val="004E22C1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1BFF"/>
    <w:rsid w:val="005446A2"/>
    <w:rsid w:val="00544D2F"/>
    <w:rsid w:val="00551BD8"/>
    <w:rsid w:val="00581055"/>
    <w:rsid w:val="00581B06"/>
    <w:rsid w:val="00591E38"/>
    <w:rsid w:val="00592ED2"/>
    <w:rsid w:val="005A19C5"/>
    <w:rsid w:val="005A3034"/>
    <w:rsid w:val="005A462D"/>
    <w:rsid w:val="005B253B"/>
    <w:rsid w:val="005B6CA6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2FDF"/>
    <w:rsid w:val="006B160A"/>
    <w:rsid w:val="006B4E6C"/>
    <w:rsid w:val="006B50B6"/>
    <w:rsid w:val="006D79EA"/>
    <w:rsid w:val="006E4A82"/>
    <w:rsid w:val="006E5D05"/>
    <w:rsid w:val="00701053"/>
    <w:rsid w:val="00701507"/>
    <w:rsid w:val="0071227E"/>
    <w:rsid w:val="00714021"/>
    <w:rsid w:val="00716A0F"/>
    <w:rsid w:val="00717D45"/>
    <w:rsid w:val="007208F7"/>
    <w:rsid w:val="007218AF"/>
    <w:rsid w:val="00723A55"/>
    <w:rsid w:val="00735DB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4834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4CDB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4747"/>
    <w:rsid w:val="009D6E45"/>
    <w:rsid w:val="009E0C05"/>
    <w:rsid w:val="009E0D1C"/>
    <w:rsid w:val="009E1A0A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3B18"/>
    <w:rsid w:val="00AB43C4"/>
    <w:rsid w:val="00AC32E7"/>
    <w:rsid w:val="00AC3A9F"/>
    <w:rsid w:val="00AC6D2F"/>
    <w:rsid w:val="00AE24E0"/>
    <w:rsid w:val="00AE2745"/>
    <w:rsid w:val="00AE2F64"/>
    <w:rsid w:val="00AE4BA8"/>
    <w:rsid w:val="00AF42CB"/>
    <w:rsid w:val="00AF483F"/>
    <w:rsid w:val="00AF5E07"/>
    <w:rsid w:val="00AF5F06"/>
    <w:rsid w:val="00B00A25"/>
    <w:rsid w:val="00B04812"/>
    <w:rsid w:val="00B1422A"/>
    <w:rsid w:val="00B1765C"/>
    <w:rsid w:val="00B213C4"/>
    <w:rsid w:val="00B239B7"/>
    <w:rsid w:val="00B3183D"/>
    <w:rsid w:val="00B40C60"/>
    <w:rsid w:val="00B479A9"/>
    <w:rsid w:val="00B50E92"/>
    <w:rsid w:val="00B52EDF"/>
    <w:rsid w:val="00B63CA7"/>
    <w:rsid w:val="00B71188"/>
    <w:rsid w:val="00B76A41"/>
    <w:rsid w:val="00B82010"/>
    <w:rsid w:val="00B87D4C"/>
    <w:rsid w:val="00B93646"/>
    <w:rsid w:val="00B97216"/>
    <w:rsid w:val="00BA0B38"/>
    <w:rsid w:val="00BA1DBB"/>
    <w:rsid w:val="00BA4510"/>
    <w:rsid w:val="00BA529A"/>
    <w:rsid w:val="00BB612A"/>
    <w:rsid w:val="00BD499F"/>
    <w:rsid w:val="00BD56DE"/>
    <w:rsid w:val="00BF2406"/>
    <w:rsid w:val="00BF79CF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7DBC"/>
    <w:rsid w:val="00C850A0"/>
    <w:rsid w:val="00C855EC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43D3"/>
    <w:rsid w:val="00DC7694"/>
    <w:rsid w:val="00DD0C27"/>
    <w:rsid w:val="00DD1BF6"/>
    <w:rsid w:val="00DD2F9B"/>
    <w:rsid w:val="00DE2513"/>
    <w:rsid w:val="00DE26E8"/>
    <w:rsid w:val="00DF6F36"/>
    <w:rsid w:val="00E0084C"/>
    <w:rsid w:val="00E025AB"/>
    <w:rsid w:val="00E02B23"/>
    <w:rsid w:val="00E04937"/>
    <w:rsid w:val="00E06F40"/>
    <w:rsid w:val="00E07CE8"/>
    <w:rsid w:val="00E132DE"/>
    <w:rsid w:val="00E26A07"/>
    <w:rsid w:val="00E32595"/>
    <w:rsid w:val="00E37CFD"/>
    <w:rsid w:val="00E41A26"/>
    <w:rsid w:val="00E41F62"/>
    <w:rsid w:val="00E46BCB"/>
    <w:rsid w:val="00E51CAF"/>
    <w:rsid w:val="00E5561B"/>
    <w:rsid w:val="00E60F04"/>
    <w:rsid w:val="00E62AAC"/>
    <w:rsid w:val="00E67C2F"/>
    <w:rsid w:val="00E67EF5"/>
    <w:rsid w:val="00E751F2"/>
    <w:rsid w:val="00E804EA"/>
    <w:rsid w:val="00E80A71"/>
    <w:rsid w:val="00E82337"/>
    <w:rsid w:val="00E92499"/>
    <w:rsid w:val="00E949AF"/>
    <w:rsid w:val="00E96077"/>
    <w:rsid w:val="00EA0A06"/>
    <w:rsid w:val="00EA1087"/>
    <w:rsid w:val="00EA6243"/>
    <w:rsid w:val="00EA74AB"/>
    <w:rsid w:val="00EB3D1B"/>
    <w:rsid w:val="00EB7754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4A8"/>
    <w:rsid w:val="00F11C71"/>
    <w:rsid w:val="00F1326A"/>
    <w:rsid w:val="00F16019"/>
    <w:rsid w:val="00F20E68"/>
    <w:rsid w:val="00F22093"/>
    <w:rsid w:val="00F236DF"/>
    <w:rsid w:val="00F31649"/>
    <w:rsid w:val="00F43AD5"/>
    <w:rsid w:val="00F4402E"/>
    <w:rsid w:val="00F56DD0"/>
    <w:rsid w:val="00F6491C"/>
    <w:rsid w:val="00F67BBB"/>
    <w:rsid w:val="00F872CB"/>
    <w:rsid w:val="00F87D92"/>
    <w:rsid w:val="00F90AA7"/>
    <w:rsid w:val="00F92498"/>
    <w:rsid w:val="00F9496B"/>
    <w:rsid w:val="00F970C9"/>
    <w:rsid w:val="00F9748C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F7DAE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EA108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B6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C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CA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CA6"/>
    <w:rPr>
      <w:b/>
      <w:bCs/>
      <w:szCs w:val="20"/>
    </w:rPr>
  </w:style>
  <w:style w:type="paragraph" w:styleId="Revision">
    <w:name w:val="Revision"/>
    <w:hidden/>
    <w:uiPriority w:val="99"/>
    <w:semiHidden/>
    <w:rsid w:val="00E0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9D96B65566944F4988BAEB665EF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4377-69B3-4023-8099-F52F57137B43}"/>
      </w:docPartPr>
      <w:docPartBody>
        <w:p w:rsidR="00D21A9F" w:rsidRDefault="00D21A9F">
          <w:pPr>
            <w:pStyle w:val="29D96B65566944F4988BAEB665EF7897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D1014CBCA92493B974E721C0ADD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2E35-5627-446C-8DC8-1D892A6387FC}"/>
      </w:docPartPr>
      <w:docPartBody>
        <w:p w:rsidR="0068555E" w:rsidRDefault="009B4898" w:rsidP="009B4898">
          <w:pPr>
            <w:pStyle w:val="8D1014CBCA92493B974E721C0ADD1F67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9DA753A3A844EB582AFC35D378B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09E6-F440-47F6-ACC0-783388DB7930}"/>
      </w:docPartPr>
      <w:docPartBody>
        <w:p w:rsidR="0068555E" w:rsidRDefault="009B4898" w:rsidP="009B4898">
          <w:pPr>
            <w:pStyle w:val="F9DA753A3A844EB582AFC35D378BB17D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A2602"/>
    <w:rsid w:val="003E0149"/>
    <w:rsid w:val="003E2FE6"/>
    <w:rsid w:val="005A7394"/>
    <w:rsid w:val="0068555E"/>
    <w:rsid w:val="00755FBF"/>
    <w:rsid w:val="009B4898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89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DA3C539BFDAA4D338AD4D5E1503F159F">
    <w:name w:val="DA3C539BFDAA4D338AD4D5E1503F159F"/>
    <w:rsid w:val="003E2FE6"/>
  </w:style>
  <w:style w:type="paragraph" w:customStyle="1" w:styleId="AEE582E5D918427698CBE54F4AAADFFB">
    <w:name w:val="AEE582E5D918427698CBE54F4AAADFFB"/>
    <w:rsid w:val="009B4898"/>
  </w:style>
  <w:style w:type="paragraph" w:customStyle="1" w:styleId="9148079EFC8D4711A19A6808018CED01">
    <w:name w:val="9148079EFC8D4711A19A6808018CED01"/>
    <w:rsid w:val="009B4898"/>
  </w:style>
  <w:style w:type="paragraph" w:customStyle="1" w:styleId="C4EE4D6F20AB4685895C8C3E37D686A9">
    <w:name w:val="C4EE4D6F20AB4685895C8C3E37D686A9"/>
    <w:rsid w:val="009B4898"/>
  </w:style>
  <w:style w:type="paragraph" w:customStyle="1" w:styleId="72F87677A50F4A30A0BBA0D25EE6652B">
    <w:name w:val="72F87677A50F4A30A0BBA0D25EE6652B"/>
    <w:rsid w:val="009B4898"/>
  </w:style>
  <w:style w:type="paragraph" w:customStyle="1" w:styleId="8D1014CBCA92493B974E721C0ADD1F67">
    <w:name w:val="8D1014CBCA92493B974E721C0ADD1F67"/>
    <w:rsid w:val="009B4898"/>
  </w:style>
  <w:style w:type="paragraph" w:customStyle="1" w:styleId="F9DA753A3A844EB582AFC35D378BB17D">
    <w:name w:val="F9DA753A3A844EB582AFC35D378BB17D"/>
    <w:rsid w:val="009B4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7ACD-0F5F-41BF-AE6D-9476EC3AD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infopath/2007/PartnerControls"/>
    <ds:schemaRef ds:uri="bf54d604-3e62-4e70-ba33-9e9084b96a66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6021C9-BB90-4E53-AA64-B1834043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30</cp:revision>
  <cp:lastPrinted>2020-03-03T00:01:00Z</cp:lastPrinted>
  <dcterms:created xsi:type="dcterms:W3CDTF">2019-10-16T00:30:00Z</dcterms:created>
  <dcterms:modified xsi:type="dcterms:W3CDTF">2020-07-21T01:41:00Z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