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0D7C0B2B" w:rsidR="00BD499F" w:rsidRPr="004C23F4" w:rsidRDefault="008E221E" w:rsidP="00B40C60">
          <w:pPr>
            <w:pStyle w:val="Heading1"/>
            <w:jc w:val="center"/>
            <w:rPr>
              <w:rFonts w:ascii="Arial" w:hAnsi="Arial" w:cs="Arial"/>
            </w:rPr>
          </w:pPr>
          <w:r w:rsidRPr="008E221E">
            <w:rPr>
              <w:rFonts w:ascii="Arial" w:hAnsi="Arial" w:cs="Arial"/>
            </w:rPr>
            <w:t>Tetramethyl succinonitrile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189D6E38" w14:textId="77777777" w:rsidTr="00A2645D">
        <w:trPr>
          <w:cantSplit/>
          <w:tblHeader/>
        </w:trPr>
        <w:tc>
          <w:tcPr>
            <w:tcW w:w="3976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50" w:type="dxa"/>
          </w:tcPr>
          <w:p w14:paraId="3EDBFD9E" w14:textId="0F89F83D" w:rsidR="00F43AD5" w:rsidRPr="00717D45" w:rsidRDefault="00822A34" w:rsidP="00B76A41">
            <w:pPr>
              <w:pStyle w:val="Tablefont"/>
            </w:pPr>
            <w:r w:rsidRPr="00822A34">
              <w:t>3333-52-6</w:t>
            </w:r>
          </w:p>
        </w:tc>
      </w:tr>
      <w:tr w:rsidR="00F43AD5" w:rsidRPr="004C23F4" w14:paraId="562A9F51" w14:textId="77777777" w:rsidTr="00A2645D">
        <w:trPr>
          <w:cantSplit/>
        </w:trPr>
        <w:tc>
          <w:tcPr>
            <w:tcW w:w="3976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50" w:type="dxa"/>
          </w:tcPr>
          <w:p w14:paraId="32648AB9" w14:textId="757E61CF" w:rsidR="00F43AD5" w:rsidRPr="00717D45" w:rsidRDefault="00822A34" w:rsidP="00B76A41">
            <w:pPr>
              <w:pStyle w:val="Tablefont"/>
            </w:pPr>
            <w:r>
              <w:t>Tetramethylsuccinic acid dinitrile, TMSN</w:t>
            </w:r>
          </w:p>
        </w:tc>
      </w:tr>
      <w:tr w:rsidR="00F43AD5" w:rsidRPr="004C23F4" w14:paraId="6EE54A08" w14:textId="77777777" w:rsidTr="00A2645D">
        <w:trPr>
          <w:cantSplit/>
        </w:trPr>
        <w:tc>
          <w:tcPr>
            <w:tcW w:w="3976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50" w:type="dxa"/>
          </w:tcPr>
          <w:p w14:paraId="69369B00" w14:textId="76ACD67A" w:rsidR="00F43AD5" w:rsidRPr="00717D45" w:rsidRDefault="00822A34" w:rsidP="00B76A41">
            <w:pPr>
              <w:pStyle w:val="Tablefont"/>
            </w:pPr>
            <w:r>
              <w:t>C</w:t>
            </w:r>
            <w:r w:rsidRPr="00822A34">
              <w:rPr>
                <w:vertAlign w:val="subscript"/>
              </w:rPr>
              <w:t>8</w:t>
            </w:r>
            <w:r>
              <w:t>H</w:t>
            </w:r>
            <w:r w:rsidRPr="00822A34">
              <w:rPr>
                <w:vertAlign w:val="subscript"/>
              </w:rPr>
              <w:t>12</w:t>
            </w:r>
            <w:r>
              <w:t>N</w:t>
            </w:r>
            <w:r w:rsidRPr="00822A34">
              <w:rPr>
                <w:vertAlign w:val="subscript"/>
              </w:rPr>
              <w:t>2</w:t>
            </w:r>
          </w:p>
        </w:tc>
      </w:tr>
    </w:tbl>
    <w:p w14:paraId="71D72173" w14:textId="7EB1FCD6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B5CE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2D413FCB" w:rsidR="002C7AFE" w:rsidRPr="000B5CE3" w:rsidRDefault="000B5CE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0.5 ppm (2.8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49CE4596" w:rsidR="00037E52" w:rsidRPr="00EB3D1B" w:rsidRDefault="000B5CE3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0DBB19C3" w:rsidR="00037E52" w:rsidRPr="00EB3D1B" w:rsidRDefault="00822A34" w:rsidP="00037E52">
            <w:pPr>
              <w:pStyle w:val="Tablefont"/>
              <w:rPr>
                <w:b/>
              </w:rPr>
            </w:pPr>
            <w:r w:rsidRPr="00822A34">
              <w:rPr>
                <w:b/>
              </w:rPr>
              <w:t>5 ppm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53FA36A6" w:rsidR="00155999" w:rsidRPr="00EB3D1B" w:rsidRDefault="00155999" w:rsidP="00037E52">
            <w:pPr>
              <w:pStyle w:val="Tablefont"/>
              <w:rPr>
                <w:b/>
              </w:rPr>
            </w:pPr>
            <w:r w:rsidRPr="00A52705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12666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2E24BAF6" w:rsidR="006639B4" w:rsidRPr="004C23F4" w:rsidRDefault="000B5CE3" w:rsidP="000C139A">
      <w:pPr>
        <w:rPr>
          <w:rFonts w:cs="Arial"/>
        </w:rPr>
      </w:pPr>
      <w:r>
        <w:rPr>
          <w:rFonts w:cs="Arial"/>
        </w:rPr>
        <w:t>A</w:t>
      </w:r>
      <w:r w:rsidRPr="000B5CE3">
        <w:rPr>
          <w:rFonts w:cs="Arial"/>
        </w:rPr>
        <w:t xml:space="preserve"> TWA of </w:t>
      </w:r>
      <w:r>
        <w:rPr>
          <w:rFonts w:cs="Arial"/>
        </w:rPr>
        <w:t>0.</w:t>
      </w:r>
      <w:r w:rsidRPr="000B5CE3">
        <w:rPr>
          <w:rFonts w:cs="Arial"/>
        </w:rPr>
        <w:t>5 ppm</w:t>
      </w:r>
      <w:r>
        <w:rPr>
          <w:rFonts w:cs="Arial"/>
        </w:rPr>
        <w:t xml:space="preserve"> (2.8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0B5CE3">
        <w:rPr>
          <w:rFonts w:cs="Arial"/>
        </w:rPr>
        <w:t xml:space="preserve"> is recommended to </w:t>
      </w:r>
      <w:r>
        <w:rPr>
          <w:rFonts w:cs="Arial"/>
        </w:rPr>
        <w:t>protect for headaches</w:t>
      </w:r>
      <w:r w:rsidR="00C878B6">
        <w:rPr>
          <w:rFonts w:cs="Arial"/>
        </w:rPr>
        <w:t xml:space="preserve"> and </w:t>
      </w:r>
      <w:r>
        <w:rPr>
          <w:rFonts w:cs="Arial"/>
        </w:rPr>
        <w:t>nausea and</w:t>
      </w:r>
      <w:r w:rsidRPr="000B5CE3">
        <w:rPr>
          <w:rFonts w:cs="Arial"/>
        </w:rPr>
        <w:t xml:space="preserve"> effects </w:t>
      </w:r>
      <w:r w:rsidR="00C878B6">
        <w:rPr>
          <w:rFonts w:cs="Arial"/>
        </w:rPr>
        <w:t>on</w:t>
      </w:r>
      <w:r>
        <w:rPr>
          <w:rFonts w:cs="Arial"/>
        </w:rPr>
        <w:t xml:space="preserve"> the central nervous system (CNS) </w:t>
      </w:r>
      <w:r w:rsidR="00146CB1">
        <w:rPr>
          <w:rFonts w:cs="Arial"/>
        </w:rPr>
        <w:t>in</w:t>
      </w:r>
      <w:r>
        <w:rPr>
          <w:rFonts w:cs="Arial"/>
        </w:rPr>
        <w:t xml:space="preserve"> exposed workers.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0C12A53" w14:textId="77777777" w:rsidR="00A2645D" w:rsidRDefault="00E00C70" w:rsidP="006639B4">
      <w:r>
        <w:rPr>
          <w:rFonts w:cs="Arial"/>
        </w:rPr>
        <w:t xml:space="preserve">Tetramethyl succinonitrile (TMSN) </w:t>
      </w:r>
      <w:r w:rsidR="00E12666">
        <w:t xml:space="preserve">is a by-product </w:t>
      </w:r>
      <w:r>
        <w:t>during the production of vinyl foa</w:t>
      </w:r>
      <w:r w:rsidR="00E12666">
        <w:t xml:space="preserve">m and from its use as a </w:t>
      </w:r>
      <w:r>
        <w:t xml:space="preserve">polymerisation catalyst in photocopier toner. </w:t>
      </w:r>
    </w:p>
    <w:p w14:paraId="706885AF" w14:textId="224FCC3B" w:rsidR="00E00C70" w:rsidRDefault="00E00C70" w:rsidP="006639B4">
      <w:r>
        <w:t xml:space="preserve">Critical effects </w:t>
      </w:r>
      <w:r w:rsidR="00E12666">
        <w:t xml:space="preserve">of </w:t>
      </w:r>
      <w:r>
        <w:t>exposure are headache, nausea and CNS toxicity that can result in convulsions.</w:t>
      </w:r>
      <w:r w:rsidR="00A2645D">
        <w:t xml:space="preserve"> </w:t>
      </w:r>
      <w:r>
        <w:t xml:space="preserve">Very limited data are available. </w:t>
      </w:r>
      <w:r w:rsidR="00A2645D">
        <w:t>There are c</w:t>
      </w:r>
      <w:r>
        <w:t>ase reports of headaches, nausea, convulsions and coma in workers employed at vinyl chloride foam makin</w:t>
      </w:r>
      <w:r w:rsidR="00192D81">
        <w:t xml:space="preserve">g plants. Exposure details are not specified and possible exposure to other chemicals may have occurred. It is reported </w:t>
      </w:r>
      <w:r w:rsidR="00A2645D">
        <w:t>to be</w:t>
      </w:r>
      <w:r w:rsidR="00192D81">
        <w:t xml:space="preserve"> a potent convulsant in rodents (A</w:t>
      </w:r>
      <w:r w:rsidR="00E12666">
        <w:t>C</w:t>
      </w:r>
      <w:r w:rsidR="00192D81">
        <w:t>GIH, 2018). A NOAEL of 1 mg/kg</w:t>
      </w:r>
      <w:r w:rsidR="00C878B6">
        <w:t>/</w:t>
      </w:r>
      <w:r w:rsidR="00192D81">
        <w:t>d</w:t>
      </w:r>
      <w:r w:rsidR="00C878B6">
        <w:t>ay</w:t>
      </w:r>
      <w:r w:rsidR="00192D81">
        <w:t xml:space="preserve"> is </w:t>
      </w:r>
      <w:r w:rsidR="000B5CE3">
        <w:t>reported for liver effects</w:t>
      </w:r>
      <w:r w:rsidR="00192D81">
        <w:t xml:space="preserve"> </w:t>
      </w:r>
      <w:r w:rsidR="000B5CE3">
        <w:t>in</w:t>
      </w:r>
      <w:r w:rsidR="00192D81">
        <w:t xml:space="preserve"> both dogs and rats from sub-chronic oral studies </w:t>
      </w:r>
      <w:r w:rsidR="000B5CE3">
        <w:t>(HCOTN, 2002).</w:t>
      </w:r>
    </w:p>
    <w:p w14:paraId="36E6BA99" w14:textId="76EAEA4B" w:rsidR="009952FF" w:rsidRPr="00192D81" w:rsidRDefault="000B5CE3" w:rsidP="006639B4">
      <w:pPr>
        <w:rPr>
          <w:rFonts w:cs="Arial"/>
        </w:rPr>
      </w:pPr>
      <w:r w:rsidRPr="000B5CE3">
        <w:rPr>
          <w:rFonts w:cs="Arial"/>
        </w:rPr>
        <w:t xml:space="preserve">Given the limited available data, the TWA of </w:t>
      </w:r>
      <w:r>
        <w:rPr>
          <w:rFonts w:cs="Arial"/>
        </w:rPr>
        <w:t>0.</w:t>
      </w:r>
      <w:r w:rsidRPr="000B5CE3">
        <w:rPr>
          <w:rFonts w:cs="Arial"/>
        </w:rPr>
        <w:t>5 ppm</w:t>
      </w:r>
      <w:r>
        <w:rPr>
          <w:rFonts w:cs="Arial"/>
        </w:rPr>
        <w:t xml:space="preserve"> (2.8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0B5CE3">
        <w:rPr>
          <w:rFonts w:cs="Arial"/>
        </w:rPr>
        <w:t xml:space="preserve"> is recommended to be retained to limit effects </w:t>
      </w:r>
      <w:r w:rsidR="00B25C86">
        <w:rPr>
          <w:rFonts w:cs="Arial"/>
        </w:rPr>
        <w:t>on</w:t>
      </w:r>
      <w:r>
        <w:rPr>
          <w:rFonts w:cs="Arial"/>
        </w:rPr>
        <w:t xml:space="preserve"> the CNS </w:t>
      </w:r>
      <w:r w:rsidRPr="000B5CE3">
        <w:rPr>
          <w:rFonts w:cs="Arial"/>
        </w:rPr>
        <w:t>based on the recommendation by ACGIH</w:t>
      </w:r>
      <w:r w:rsidR="00C47FED">
        <w:rPr>
          <w:rFonts w:cs="Arial"/>
        </w:rPr>
        <w:t xml:space="preserve"> (2018)</w:t>
      </w:r>
      <w:r>
        <w:rPr>
          <w:rFonts w:cs="Arial"/>
        </w:rPr>
        <w:t>. The TWA is consistent across the primary sources.</w:t>
      </w:r>
    </w:p>
    <w:p w14:paraId="273B44AD" w14:textId="77777777" w:rsidR="004529F0" w:rsidRPr="000B5CE3" w:rsidRDefault="004529F0" w:rsidP="004529F0">
      <w:pPr>
        <w:pStyle w:val="Heading2"/>
      </w:pPr>
      <w:r w:rsidRPr="000B5CE3">
        <w:t>Recommendation for notations</w:t>
      </w:r>
    </w:p>
    <w:p w14:paraId="27C6755E" w14:textId="77777777" w:rsidR="008E4F1F" w:rsidRPr="000B5CE3" w:rsidRDefault="008E4F1F" w:rsidP="008E4F1F">
      <w:pPr>
        <w:rPr>
          <w:rFonts w:cs="Arial"/>
        </w:rPr>
      </w:pPr>
      <w:r w:rsidRPr="000B5CE3">
        <w:rPr>
          <w:rFonts w:cs="Arial"/>
        </w:rPr>
        <w:t>Not classified as a carcinogen according to the Globally Harmonized System of</w:t>
      </w:r>
      <w:r w:rsidR="00155999" w:rsidRPr="000B5CE3">
        <w:rPr>
          <w:rFonts w:cs="Arial"/>
        </w:rPr>
        <w:t xml:space="preserve"> Classification and Labelling of</w:t>
      </w:r>
      <w:r w:rsidRPr="000B5CE3">
        <w:rPr>
          <w:rFonts w:cs="Arial"/>
        </w:rPr>
        <w:t xml:space="preserve"> Chemicals (GHS). </w:t>
      </w:r>
    </w:p>
    <w:p w14:paraId="03916CCC" w14:textId="77777777" w:rsidR="008E4F1F" w:rsidRPr="000B5CE3" w:rsidRDefault="008E4F1F" w:rsidP="008E4F1F">
      <w:pPr>
        <w:rPr>
          <w:rFonts w:cs="Arial"/>
        </w:rPr>
      </w:pPr>
      <w:r w:rsidRPr="000B5CE3">
        <w:rPr>
          <w:rFonts w:cs="Arial"/>
        </w:rPr>
        <w:t xml:space="preserve">Not classified as a skin </w:t>
      </w:r>
      <w:r w:rsidR="00155999" w:rsidRPr="000B5CE3">
        <w:rPr>
          <w:rFonts w:cs="Arial"/>
        </w:rPr>
        <w:t xml:space="preserve">sensitiser </w:t>
      </w:r>
      <w:r w:rsidRPr="000B5CE3">
        <w:rPr>
          <w:rFonts w:cs="Arial"/>
        </w:rPr>
        <w:t>or respiratory sensitiser according to the GHS.</w:t>
      </w:r>
    </w:p>
    <w:p w14:paraId="21CCE2A5" w14:textId="408A959B" w:rsidR="0025734A" w:rsidRPr="004C23F4" w:rsidRDefault="000B5CE3">
      <w:pPr>
        <w:rPr>
          <w:rFonts w:cs="Arial"/>
        </w:rPr>
      </w:pPr>
      <w:r>
        <w:rPr>
          <w:rFonts w:cs="Arial"/>
        </w:rPr>
        <w:t>A</w:t>
      </w:r>
      <w:r w:rsidR="008E4F1F" w:rsidRPr="000B5CE3">
        <w:rPr>
          <w:rFonts w:cs="Arial"/>
        </w:rPr>
        <w:t xml:space="preserve"> skin no</w:t>
      </w:r>
      <w:r>
        <w:rPr>
          <w:rFonts w:cs="Arial"/>
        </w:rPr>
        <w:t>tation is recommended based on evidence of systemic effects following dermal uptake in animals.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1F441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1F441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21FD6AE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22A34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C6398">
                  <w:t>TWA: 0.5 ppm (2.8 mg/m</w:t>
                </w:r>
                <w:r w:rsidR="004C6398" w:rsidRPr="004C6398">
                  <w:rPr>
                    <w:vertAlign w:val="superscript"/>
                  </w:rPr>
                  <w:t>3</w:t>
                </w:r>
                <w:r w:rsidR="004C6398">
                  <w:t>)</w:t>
                </w:r>
              </w:sdtContent>
            </w:sdt>
          </w:p>
        </w:tc>
      </w:tr>
      <w:tr w:rsidR="00C978F0" w:rsidRPr="00DA352E" w14:paraId="26087DDB" w14:textId="77777777" w:rsidTr="001F4414">
        <w:trPr>
          <w:gridAfter w:val="1"/>
          <w:wAfter w:w="8" w:type="pct"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1F441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1411FFF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C639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C6398">
                  <w:t>TLV-TWA: 0.5 ppm (2.8 mg/m</w:t>
                </w:r>
                <w:r w:rsidR="004C6398" w:rsidRPr="004C6398">
                  <w:rPr>
                    <w:vertAlign w:val="superscript"/>
                  </w:rPr>
                  <w:t>3</w:t>
                </w:r>
                <w:r w:rsidR="004C6398">
                  <w:t>)</w:t>
                </w:r>
              </w:sdtContent>
            </w:sdt>
          </w:p>
        </w:tc>
      </w:tr>
      <w:tr w:rsidR="00C978F0" w:rsidRPr="00DA352E" w14:paraId="418D532D" w14:textId="77777777" w:rsidTr="001F4414">
        <w:trPr>
          <w:gridAfter w:val="1"/>
          <w:wAfter w:w="8" w:type="pct"/>
        </w:trPr>
        <w:tc>
          <w:tcPr>
            <w:tcW w:w="4992" w:type="pct"/>
          </w:tcPr>
          <w:p w14:paraId="7797C9C8" w14:textId="6EC5B68E" w:rsidR="00C978F0" w:rsidRDefault="00EC6070" w:rsidP="003365A5">
            <w:pPr>
              <w:pStyle w:val="Tabletextprimarysource"/>
            </w:pPr>
            <w:r>
              <w:t>TLV-TWA recommended to minimise the potential for headache, nausea, and CNS toxicity.</w:t>
            </w:r>
          </w:p>
          <w:p w14:paraId="0F816CCE" w14:textId="64D7F19A" w:rsidR="00EC6070" w:rsidRDefault="00EC6070" w:rsidP="003365A5">
            <w:pPr>
              <w:pStyle w:val="Tabletextprimarysource"/>
            </w:pPr>
            <w:r>
              <w:t>Summary of data</w:t>
            </w:r>
            <w:r w:rsidR="00D3025D">
              <w:t>:</w:t>
            </w:r>
          </w:p>
          <w:p w14:paraId="11A5832F" w14:textId="0DE828C3" w:rsidR="00A2645D" w:rsidRDefault="00D3025D" w:rsidP="00A2645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TLV recommend since 1967; no derivation presented</w:t>
            </w:r>
            <w:r w:rsidR="00D07BDF">
              <w:t xml:space="preserve">. </w:t>
            </w:r>
          </w:p>
          <w:p w14:paraId="67A5A787" w14:textId="4A2D95B5" w:rsidR="00D3025D" w:rsidRDefault="00D3025D" w:rsidP="00A2645D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Limited toxicological data are available</w:t>
            </w:r>
            <w:r w:rsidR="00146CB1">
              <w:t>.</w:t>
            </w:r>
          </w:p>
          <w:p w14:paraId="775C96E8" w14:textId="77777777" w:rsidR="00EC6070" w:rsidRDefault="0086053F" w:rsidP="0086053F">
            <w:pPr>
              <w:pStyle w:val="Tabletextprimarysource"/>
            </w:pPr>
            <w:r>
              <w:t>Human data:</w:t>
            </w:r>
          </w:p>
          <w:p w14:paraId="35F1D8C2" w14:textId="1C5B2385" w:rsidR="00473F12" w:rsidRDefault="00473F12" w:rsidP="00A26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Several workers in a </w:t>
            </w:r>
            <w:r w:rsidR="00E12666">
              <w:t>PVC</w:t>
            </w:r>
            <w:r>
              <w:t xml:space="preserve"> foam plant complained of headaches and nausea; no further information</w:t>
            </w:r>
          </w:p>
          <w:p w14:paraId="29077594" w14:textId="15347A4C" w:rsidR="00A2645D" w:rsidRDefault="00473F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 of headaches, nausea, convulsions and coma</w:t>
            </w:r>
            <w:r w:rsidR="00E00C70">
              <w:t xml:space="preserve"> (no further information)</w:t>
            </w:r>
            <w:r>
              <w:t xml:space="preserve"> in 7</w:t>
            </w:r>
            <w:r w:rsidR="00146CB1">
              <w:t> </w:t>
            </w:r>
            <w:r>
              <w:t>women and 9 men employed making vinyl foam products</w:t>
            </w:r>
            <w:r w:rsidR="009952FF">
              <w:t>:</w:t>
            </w:r>
            <w:r>
              <w:t xml:space="preserve"> </w:t>
            </w:r>
          </w:p>
          <w:p w14:paraId="0BDF74A6" w14:textId="23142823" w:rsidR="00A2645D" w:rsidRDefault="00473F12" w:rsidP="00A2645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of the 16</w:t>
            </w:r>
            <w:r w:rsidR="00F421D3">
              <w:t xml:space="preserve"> workers</w:t>
            </w:r>
            <w:r>
              <w:t xml:space="preserve">, 12 complained of headaches and 5 experienced convulsions; </w:t>
            </w:r>
          </w:p>
          <w:p w14:paraId="20258481" w14:textId="71915660" w:rsidR="0086053F" w:rsidRDefault="00473F12" w:rsidP="00A2645D">
            <w:pPr>
              <w:pStyle w:val="ListBullet"/>
              <w:numPr>
                <w:ilvl w:val="0"/>
                <w:numId w:val="3"/>
              </w:numPr>
              <w:spacing w:before="60" w:after="60"/>
              <w:contextualSpacing w:val="0"/>
            </w:pPr>
            <w:r>
              <w:t>presence of TMSN not confirmed</w:t>
            </w:r>
            <w:r w:rsidR="00D3025D">
              <w:t xml:space="preserve"> and possible exposure to vinyl chloride and other chemicals</w:t>
            </w:r>
            <w:r w:rsidR="00F421D3">
              <w:t>. N</w:t>
            </w:r>
            <w:r>
              <w:t>o further information</w:t>
            </w:r>
            <w:r w:rsidR="00146CB1">
              <w:t>.</w:t>
            </w:r>
          </w:p>
          <w:p w14:paraId="63A03015" w14:textId="77777777" w:rsidR="00473F12" w:rsidRDefault="00D3025D" w:rsidP="00D3025D">
            <w:pPr>
              <w:pStyle w:val="Tabletextprimarysource"/>
            </w:pPr>
            <w:r>
              <w:t>Animal data:</w:t>
            </w:r>
          </w:p>
          <w:p w14:paraId="37428AE4" w14:textId="77777777" w:rsidR="00D3025D" w:rsidRDefault="00D3025D" w:rsidP="00A26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Potent convulsant in rodents</w:t>
            </w:r>
          </w:p>
          <w:p w14:paraId="7212018A" w14:textId="5B957450" w:rsidR="00D3025D" w:rsidRDefault="00D3025D" w:rsidP="00A26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Lethal in rats inhaling 60 ppm for 2</w:t>
            </w:r>
            <w:r w:rsidR="00D07BDF">
              <w:t>–</w:t>
            </w:r>
            <w:r>
              <w:t>3 h or 6 ppm for 30 h</w:t>
            </w:r>
          </w:p>
          <w:p w14:paraId="62450558" w14:textId="31F9846E" w:rsidR="00D3025D" w:rsidRDefault="00D3025D" w:rsidP="00A26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Overt maternal toxicity in reproductive studies in rats following parenteral injection</w:t>
            </w:r>
            <w:r w:rsidR="00146CB1">
              <w:t>.</w:t>
            </w:r>
          </w:p>
          <w:p w14:paraId="11C95FA4" w14:textId="77777777" w:rsidR="00D07BDF" w:rsidRDefault="00D07BDF" w:rsidP="00D3025D">
            <w:pPr>
              <w:pStyle w:val="Tabletextprimarysource"/>
            </w:pPr>
          </w:p>
          <w:p w14:paraId="6C26418C" w14:textId="5C0DA03E" w:rsidR="00D3025D" w:rsidRDefault="00D3025D" w:rsidP="00D3025D">
            <w:pPr>
              <w:pStyle w:val="Tabletextprimarysource"/>
            </w:pPr>
            <w:r>
              <w:t>Skin notation recommended based on structural similarity to other dinitriles that can be dermal</w:t>
            </w:r>
            <w:r w:rsidR="00E12666">
              <w:t xml:space="preserve">ly </w:t>
            </w:r>
            <w:r>
              <w:t>absorbed causing systemic toxicity and death in animals.</w:t>
            </w:r>
          </w:p>
          <w:p w14:paraId="02D57319" w14:textId="77777777" w:rsidR="00D3025D" w:rsidRDefault="00D3025D" w:rsidP="00D3025D">
            <w:pPr>
              <w:pStyle w:val="Tabletextprimarysource"/>
            </w:pPr>
            <w:r>
              <w:t>Insufficient data to recommend a sensitiser or carcinogenicity notation of TLV-STEL.</w:t>
            </w:r>
          </w:p>
          <w:p w14:paraId="0CE4D35D" w14:textId="7566C661" w:rsidR="00D07BDF" w:rsidRPr="00DA352E" w:rsidRDefault="00D07BDF" w:rsidP="00D3025D">
            <w:pPr>
              <w:pStyle w:val="Tabletextprimarysource"/>
            </w:pPr>
          </w:p>
        </w:tc>
      </w:tr>
      <w:tr w:rsidR="00C978F0" w:rsidRPr="00DA352E" w14:paraId="174F8B79" w14:textId="77777777" w:rsidTr="001F441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2A6249A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C639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C6398">
                  <w:t>Not assigned</w:t>
                </w:r>
              </w:sdtContent>
            </w:sdt>
          </w:p>
        </w:tc>
      </w:tr>
      <w:tr w:rsidR="00C978F0" w:rsidRPr="00DA352E" w14:paraId="4433014F" w14:textId="77777777" w:rsidTr="001F4414">
        <w:trPr>
          <w:gridAfter w:val="1"/>
          <w:wAfter w:w="8" w:type="pct"/>
        </w:trPr>
        <w:tc>
          <w:tcPr>
            <w:tcW w:w="4992" w:type="pct"/>
          </w:tcPr>
          <w:p w14:paraId="0D2CB30B" w14:textId="77777777" w:rsidR="00C978F0" w:rsidRDefault="00CF1936" w:rsidP="003365A5">
            <w:pPr>
              <w:pStyle w:val="Tabletextprimarysource"/>
            </w:pPr>
            <w:r>
              <w:t>Insufficient data in humans and animals to derive a MAK.</w:t>
            </w:r>
          </w:p>
          <w:p w14:paraId="7EFBA3CF" w14:textId="32CF649D" w:rsidR="00CF1936" w:rsidRDefault="00CF1936" w:rsidP="00A26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The lowest</w:t>
            </w:r>
            <w:r w:rsidR="000B5CE3">
              <w:t xml:space="preserve"> dermal</w:t>
            </w:r>
            <w:r>
              <w:t xml:space="preserve"> lethal dose for rabbits with 24</w:t>
            </w:r>
            <w:r w:rsidR="004F020C">
              <w:t xml:space="preserve"> </w:t>
            </w:r>
            <w:r w:rsidR="00146CB1">
              <w:t>h</w:t>
            </w:r>
            <w:r>
              <w:t xml:space="preserve"> patch is 79.4 mg/kg</w:t>
            </w:r>
            <w:r w:rsidR="00146CB1">
              <w:t>.</w:t>
            </w:r>
          </w:p>
          <w:p w14:paraId="61A64F09" w14:textId="51AD434C" w:rsidR="00D07BDF" w:rsidRPr="00DA352E" w:rsidRDefault="00D07BDF" w:rsidP="00A2645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E6A0B2C" w14:textId="77777777" w:rsidTr="001F441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2EE9E25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C639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C6398">
                  <w:t>NA</w:t>
                </w:r>
              </w:sdtContent>
            </w:sdt>
          </w:p>
        </w:tc>
      </w:tr>
      <w:tr w:rsidR="00C978F0" w:rsidRPr="00DA352E" w14:paraId="2008D281" w14:textId="77777777" w:rsidTr="001F4414">
        <w:trPr>
          <w:gridAfter w:val="1"/>
          <w:wAfter w:w="8" w:type="pct"/>
        </w:trPr>
        <w:tc>
          <w:tcPr>
            <w:tcW w:w="4992" w:type="pct"/>
          </w:tcPr>
          <w:p w14:paraId="153B53C1" w14:textId="6A0FA340" w:rsidR="00C978F0" w:rsidRPr="00DA352E" w:rsidRDefault="004C6398" w:rsidP="003365A5">
            <w:pPr>
              <w:pStyle w:val="Tabletextprimarysource"/>
            </w:pPr>
            <w:r>
              <w:t>No report</w:t>
            </w:r>
            <w:r w:rsidR="00146CB1">
              <w:t>.</w:t>
            </w:r>
          </w:p>
        </w:tc>
      </w:tr>
      <w:tr w:rsidR="00DA352E" w:rsidRPr="00DA352E" w14:paraId="12BAB90D" w14:textId="77777777" w:rsidTr="001F441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1D1F474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C639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4C6398">
                  <w:t>NA</w:t>
                </w:r>
              </w:sdtContent>
            </w:sdt>
          </w:p>
        </w:tc>
      </w:tr>
      <w:tr w:rsidR="00DA352E" w:rsidRPr="00DA352E" w14:paraId="33AAF4A6" w14:textId="77777777" w:rsidTr="001F4414">
        <w:trPr>
          <w:gridAfter w:val="1"/>
          <w:wAfter w:w="8" w:type="pct"/>
        </w:trPr>
        <w:tc>
          <w:tcPr>
            <w:tcW w:w="4992" w:type="pct"/>
          </w:tcPr>
          <w:p w14:paraId="2059E4CB" w14:textId="74F6C323" w:rsidR="00DA352E" w:rsidRPr="00DA352E" w:rsidRDefault="004C6398" w:rsidP="003365A5">
            <w:pPr>
              <w:pStyle w:val="Tabletextprimarysource"/>
            </w:pPr>
            <w:r>
              <w:t>No report</w:t>
            </w:r>
            <w:r w:rsidR="00146CB1">
              <w:t>.</w:t>
            </w:r>
          </w:p>
        </w:tc>
      </w:tr>
      <w:tr w:rsidR="00DA352E" w:rsidRPr="00DA352E" w14:paraId="605F758C" w14:textId="77777777" w:rsidTr="001F441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4A5E36F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C6398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4C6398">
                  <w:t>TWA: 0.5 ppm (3 mg/m</w:t>
                </w:r>
                <w:r w:rsidR="004C6398" w:rsidRPr="004C6398">
                  <w:rPr>
                    <w:vertAlign w:val="superscript"/>
                  </w:rPr>
                  <w:t>3</w:t>
                </w:r>
                <w:r w:rsidR="004C6398">
                  <w:t>)</w:t>
                </w:r>
              </w:sdtContent>
            </w:sdt>
          </w:p>
        </w:tc>
      </w:tr>
      <w:tr w:rsidR="00DA352E" w:rsidRPr="00DA352E" w14:paraId="7050CB3E" w14:textId="77777777" w:rsidTr="001F4414">
        <w:trPr>
          <w:gridAfter w:val="1"/>
          <w:wAfter w:w="8" w:type="pct"/>
        </w:trPr>
        <w:tc>
          <w:tcPr>
            <w:tcW w:w="4992" w:type="pct"/>
          </w:tcPr>
          <w:p w14:paraId="6A97D7F6" w14:textId="77777777" w:rsidR="00DA352E" w:rsidRDefault="00071754" w:rsidP="003365A5">
            <w:pPr>
              <w:pStyle w:val="Tabletextprimarysource"/>
            </w:pPr>
            <w:r>
              <w:t>Administrative OEL</w:t>
            </w:r>
          </w:p>
          <w:p w14:paraId="4104E950" w14:textId="77777777" w:rsidR="00071754" w:rsidRDefault="00071754" w:rsidP="003365A5">
            <w:pPr>
              <w:pStyle w:val="Tabletextprimarysource"/>
            </w:pPr>
            <w:r>
              <w:t>Summary of additional data:</w:t>
            </w:r>
          </w:p>
          <w:p w14:paraId="6DD3E486" w14:textId="5FC71A5A" w:rsidR="00A2645D" w:rsidRDefault="00071754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15 male and 15 female rats administered by gavage 0, 1, 3 or 10 mg/kg/d over 90</w:t>
            </w:r>
            <w:r w:rsidR="00146CB1">
              <w:t> </w:t>
            </w:r>
            <w:r>
              <w:t>d; treatment-related morphological changes in the kidney of male</w:t>
            </w:r>
            <w:r w:rsidR="00A2645D">
              <w:t xml:space="preserve"> and</w:t>
            </w:r>
            <w:r>
              <w:t xml:space="preserve"> not female rats at all dosage levels</w:t>
            </w:r>
            <w:r w:rsidR="009952FF">
              <w:t>:</w:t>
            </w:r>
            <w:r>
              <w:t xml:space="preserve"> </w:t>
            </w:r>
          </w:p>
          <w:p w14:paraId="090599C1" w14:textId="4BFABD0E" w:rsidR="00A2645D" w:rsidRDefault="00071754" w:rsidP="00A2645D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treatment-related liver changes in male and female rats given 10</w:t>
            </w:r>
            <w:r w:rsidR="00E12666">
              <w:t> </w:t>
            </w:r>
            <w:r>
              <w:t xml:space="preserve">mg/kg/d </w:t>
            </w:r>
          </w:p>
          <w:p w14:paraId="0866B1CD" w14:textId="6D33AA9C" w:rsidR="00A2645D" w:rsidRDefault="00071754" w:rsidP="00A2645D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absolute and relative liver weights significantly increased in rats exposed to doses of 3</w:t>
            </w:r>
            <w:r w:rsidR="00B25C86">
              <w:t> </w:t>
            </w:r>
            <w:r>
              <w:t xml:space="preserve">mg/kg/d </w:t>
            </w:r>
          </w:p>
          <w:p w14:paraId="5F93B6F0" w14:textId="36E849DF" w:rsidR="00071754" w:rsidRDefault="00071754" w:rsidP="00A2645D">
            <w:pPr>
              <w:pStyle w:val="ListBullet"/>
              <w:numPr>
                <w:ilvl w:val="0"/>
                <w:numId w:val="4"/>
              </w:numPr>
              <w:spacing w:before="60" w:after="60"/>
              <w:contextualSpacing w:val="0"/>
            </w:pPr>
            <w:r>
              <w:t>NOAEL of 1 mg/kg/d</w:t>
            </w:r>
          </w:p>
          <w:p w14:paraId="774D816B" w14:textId="2B085D5B" w:rsidR="00A2645D" w:rsidRDefault="006D62E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4 </w:t>
            </w:r>
            <w:r w:rsidR="007C6D84">
              <w:t>groups of 4 male and 4 female</w:t>
            </w:r>
            <w:r>
              <w:t xml:space="preserve"> dogs, administered TMSN </w:t>
            </w:r>
            <w:r w:rsidRPr="00A2645D">
              <w:rPr>
                <w:i/>
              </w:rPr>
              <w:t>via</w:t>
            </w:r>
            <w:r>
              <w:t xml:space="preserve"> capsules </w:t>
            </w:r>
            <w:r w:rsidR="00F421D3">
              <w:t xml:space="preserve">(0, 0.3, 1.0 and 3.0 mg/kg/d) </w:t>
            </w:r>
            <w:r>
              <w:t>for 90</w:t>
            </w:r>
            <w:r w:rsidR="006851C3">
              <w:t> </w:t>
            </w:r>
            <w:r>
              <w:t>d</w:t>
            </w:r>
            <w:r w:rsidR="009952FF">
              <w:t>:</w:t>
            </w:r>
            <w:r w:rsidR="00F421D3">
              <w:t xml:space="preserve"> </w:t>
            </w:r>
          </w:p>
          <w:p w14:paraId="1DA4BD71" w14:textId="72250B6B" w:rsidR="00A2645D" w:rsidRDefault="006D62E1" w:rsidP="00A2645D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female dogs body weight gain was slightly suppressed </w:t>
            </w:r>
          </w:p>
          <w:p w14:paraId="46700D95" w14:textId="23A4E526" w:rsidR="00A2645D" w:rsidRDefault="00F421D3" w:rsidP="00A2645D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relative liver weights significantly increased at necropsy </w:t>
            </w:r>
            <w:r w:rsidR="006D62E1">
              <w:t>in 4</w:t>
            </w:r>
            <w:r w:rsidR="00E12666">
              <w:t>/</w:t>
            </w:r>
            <w:r w:rsidR="006D62E1">
              <w:t xml:space="preserve">8 dogs (3 female, </w:t>
            </w:r>
            <w:r w:rsidR="006851C3">
              <w:t>1</w:t>
            </w:r>
            <w:r w:rsidR="006D62E1">
              <w:t xml:space="preserve"> male) of the highest dose group</w:t>
            </w:r>
            <w:r>
              <w:t xml:space="preserve">. </w:t>
            </w:r>
            <w:r w:rsidR="00617A86">
              <w:t>N</w:t>
            </w:r>
            <w:r w:rsidR="006D62E1">
              <w:t xml:space="preserve">o (microscopic) histological effects related to treatment in either liver or kidney found </w:t>
            </w:r>
          </w:p>
          <w:p w14:paraId="72C3E83C" w14:textId="54045CFC" w:rsidR="006D62E1" w:rsidRDefault="006D62E1" w:rsidP="00A2645D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>authors concluded NOAEL of 1 mg/kg/d</w:t>
            </w:r>
          </w:p>
          <w:p w14:paraId="02DA0A11" w14:textId="752D1CC1" w:rsidR="006D62E1" w:rsidRDefault="0067623B" w:rsidP="00A2645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A </w:t>
            </w:r>
            <w:r w:rsidR="00E00C70">
              <w:t xml:space="preserve">recommended </w:t>
            </w:r>
            <w:r w:rsidR="00E12666">
              <w:t>HBROEL</w:t>
            </w:r>
            <w:r>
              <w:t xml:space="preserve"> derived by starting with the NOAEL of 1</w:t>
            </w:r>
            <w:r w:rsidR="00D07BDF">
              <w:t> </w:t>
            </w:r>
            <w:r>
              <w:t>mg/kg/d reported in animals</w:t>
            </w:r>
            <w:r w:rsidR="00D07BDF">
              <w:t>:</w:t>
            </w:r>
          </w:p>
          <w:p w14:paraId="1B1F9D4E" w14:textId="22B48CF1" w:rsidR="0067623B" w:rsidRDefault="0067623B" w:rsidP="00A2645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since workers are exposed for 5 d/wk the NOAEL from a continuous feeding study is adjusted by multiplying with a factor of 7/5, resulting in a N</w:t>
            </w:r>
            <w:r w:rsidR="00617A86">
              <w:t>O</w:t>
            </w:r>
            <w:r>
              <w:t>AEL of 1.4 mg/kg/d</w:t>
            </w:r>
          </w:p>
          <w:p w14:paraId="07553189" w14:textId="39F210C2" w:rsidR="0067623B" w:rsidRDefault="0067623B" w:rsidP="00A2645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for differences in caloric demand between rats and humans a scaling factor of 4 is applied</w:t>
            </w:r>
          </w:p>
          <w:p w14:paraId="3B40D6B6" w14:textId="77A5A33F" w:rsidR="0067623B" w:rsidRDefault="0067623B" w:rsidP="00A2645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overall </w:t>
            </w:r>
            <w:r w:rsidR="00A52705">
              <w:t>UF</w:t>
            </w:r>
            <w:r>
              <w:t xml:space="preserve"> of 12 is applied to account for inter- and intraspecies variation and the duration of exposure</w:t>
            </w:r>
          </w:p>
          <w:p w14:paraId="58E0EFFD" w14:textId="439A33CE" w:rsidR="0067623B" w:rsidRDefault="0067623B" w:rsidP="00A2645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assuming 100% absorption, 70 kg </w:t>
            </w:r>
            <w:r w:rsidR="00617A86">
              <w:t xml:space="preserve">body weight </w:t>
            </w:r>
            <w:r>
              <w:t>and a breathing volume of 10 m</w:t>
            </w:r>
            <w:r w:rsidRPr="0067623B">
              <w:rPr>
                <w:vertAlign w:val="superscript"/>
              </w:rPr>
              <w:t>3</w:t>
            </w:r>
            <w:r>
              <w:t xml:space="preserve"> </w:t>
            </w:r>
            <w:r w:rsidR="00617A86">
              <w:t xml:space="preserve">8 h </w:t>
            </w:r>
            <w:r>
              <w:t>per working day</w:t>
            </w:r>
          </w:p>
          <w:p w14:paraId="6C759B6F" w14:textId="08A44DF8" w:rsidR="0067623B" w:rsidRDefault="009952FF" w:rsidP="00A2645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d</w:t>
            </w:r>
            <w:r w:rsidR="00617A86">
              <w:t>erive</w:t>
            </w:r>
            <w:r w:rsidR="0067623B">
              <w:t xml:space="preserve"> a health-based OEL of 0.2 mg/m</w:t>
            </w:r>
            <w:r w:rsidR="0067623B">
              <w:rPr>
                <w:vertAlign w:val="superscript"/>
              </w:rPr>
              <w:t xml:space="preserve">3 </w:t>
            </w:r>
            <w:r w:rsidR="0067623B">
              <w:t>TWA</w:t>
            </w:r>
            <w:r w:rsidR="006851C3">
              <w:t>.</w:t>
            </w:r>
          </w:p>
          <w:p w14:paraId="492D7791" w14:textId="18255D36" w:rsidR="00D07BDF" w:rsidRPr="00DA352E" w:rsidRDefault="00D07BDF" w:rsidP="00A2645D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21C7ACE5" w14:textId="78FC715E" w:rsidR="007E2A4B" w:rsidRDefault="006851C3">
      <w:r>
        <w:t>NIL</w:t>
      </w:r>
      <w:r w:rsidR="00E12666">
        <w:t>.</w:t>
      </w:r>
    </w:p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0B5CE3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6F456E8D" w:rsidR="002E0D61" w:rsidRDefault="000B5CE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0B5CE3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3F7A90CD" w:rsidR="008A36CF" w:rsidRDefault="000B5CE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A2645D" w14:paraId="4D6DDFA3" w14:textId="77777777" w:rsidTr="00F35728">
        <w:trPr>
          <w:trHeight w:val="454"/>
        </w:trPr>
        <w:sdt>
          <w:sdtPr>
            <w:rPr>
              <w:b/>
            </w:rPr>
            <w:id w:val="1830936485"/>
            <w:placeholder>
              <w:docPart w:val="D32D4EDCE2C041AEBF146B3E2A4009BB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07DC00C8" w:rsidR="00A2645D" w:rsidRDefault="00A2645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1F4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32D44898" w14:textId="77777777" w:rsidTr="001F4414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7DEC7DB1" w:rsidR="00687890" w:rsidRPr="00DD2F9B" w:rsidRDefault="00AE18C5" w:rsidP="00DD2F9B">
            <w:pPr>
              <w:pStyle w:val="Tablefont"/>
            </w:pPr>
            <w:r w:rsidRPr="00AE18C5">
              <w:t>Skin</w:t>
            </w:r>
          </w:p>
        </w:tc>
      </w:tr>
      <w:tr w:rsidR="007925F0" w:rsidRPr="004C23F4" w14:paraId="2A0C13EF" w14:textId="77777777" w:rsidTr="001F4414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26D9FAC5" w:rsidR="007925F0" w:rsidRPr="00DD2F9B" w:rsidRDefault="00AE18C5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1F4414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21CE0A96" w:rsidR="00AF483F" w:rsidRPr="00DD2F9B" w:rsidRDefault="00AE18C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1F4414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725C180E" w:rsidR="00687890" w:rsidRPr="00DD2F9B" w:rsidRDefault="00AE18C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1F4414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lastRenderedPageBreak/>
              <w:t>ECHA</w:t>
            </w:r>
          </w:p>
        </w:tc>
        <w:tc>
          <w:tcPr>
            <w:tcW w:w="6015" w:type="dxa"/>
          </w:tcPr>
          <w:p w14:paraId="778B90CD" w14:textId="25C27B19" w:rsidR="00E41A26" w:rsidRPr="00DD2F9B" w:rsidRDefault="00AE18C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1F4414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47FF43E6" w:rsidR="002E0D61" w:rsidRPr="00DD2F9B" w:rsidRDefault="00AE18C5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43FA3590" w14:textId="77777777" w:rsidTr="001F4414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42A7A041" w:rsidR="002E0D61" w:rsidRPr="00DD2F9B" w:rsidRDefault="00AE18C5" w:rsidP="00DD2F9B">
            <w:pPr>
              <w:pStyle w:val="Tablefont"/>
            </w:pPr>
            <w:r>
              <w:t>H(skin)</w:t>
            </w:r>
          </w:p>
        </w:tc>
      </w:tr>
      <w:tr w:rsidR="002E0D61" w:rsidRPr="004C23F4" w14:paraId="2AC7B866" w14:textId="77777777" w:rsidTr="001F4414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5D2B7EC9" w:rsidR="002E0D61" w:rsidRPr="00DD2F9B" w:rsidRDefault="00CC705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1F4414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57DDE2AC" w:rsidR="002E0D61" w:rsidRPr="00DD2F9B" w:rsidRDefault="00CC705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5F6A6A8E" w14:textId="77777777" w:rsidTr="001F4414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7BB49EC4" w:rsidR="00386093" w:rsidRPr="00DD2F9B" w:rsidRDefault="00CC705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1F4414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BA03EE7" w:rsidR="00386093" w:rsidRPr="00DD2F9B" w:rsidRDefault="00CC705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89" w:type="dxa"/>
              <w:tblLook w:val="04A0" w:firstRow="1" w:lastRow="0" w:firstColumn="1" w:lastColumn="0" w:noHBand="0" w:noVBand="1"/>
            </w:tblPr>
            <w:tblGrid>
              <w:gridCol w:w="3585"/>
              <w:gridCol w:w="1057"/>
              <w:gridCol w:w="1057"/>
              <w:gridCol w:w="3111"/>
            </w:tblGrid>
            <w:tr w:rsidR="000B5CE3" w:rsidRPr="000B5CE3" w14:paraId="1A6F5CA8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7B914E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8264BC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5F3C76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9F7599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5CE3" w:rsidRPr="000B5CE3" w14:paraId="10D3E1BB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4245FD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283D427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6E9C76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75087F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5CE3" w:rsidRPr="000B5CE3" w14:paraId="624E62CA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87847F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F2D382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A8CDC2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EA79C5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5CE3" w:rsidRPr="000B5CE3" w14:paraId="5C6C5279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30D2B2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0FE569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E0B29A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30A665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5CE3" w:rsidRPr="000B5CE3" w14:paraId="1F2088FF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A4C75F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815211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3625BF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530CD8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5CE3" w:rsidRPr="000B5CE3" w14:paraId="43D2AF24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345FE6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4FDC68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C78A86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1A238D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5CE3" w:rsidRPr="000B5CE3" w14:paraId="717A67ED" w14:textId="77777777" w:rsidTr="000B5CE3">
              <w:trPr>
                <w:trHeight w:val="336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95C688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EE09B4" w14:textId="77777777" w:rsidR="000B5CE3" w:rsidRPr="000B5CE3" w:rsidRDefault="000B5CE3" w:rsidP="000B5CE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F6FE01" w14:textId="77777777" w:rsidR="000B5CE3" w:rsidRPr="000B5CE3" w:rsidRDefault="000B5CE3" w:rsidP="000B5CE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7B4E60" w14:textId="77777777" w:rsidR="000B5CE3" w:rsidRPr="000B5CE3" w:rsidRDefault="000B5CE3" w:rsidP="000B5CE3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5CE3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329D664C" w14:textId="12661D37" w:rsidR="00932DCE" w:rsidRPr="000B5CE3" w:rsidRDefault="00932DCE" w:rsidP="000B5CE3">
            <w:pPr>
              <w:pStyle w:val="Tabletextprimarysource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5F015F5B" w:rsidR="00EB3D1B" w:rsidRDefault="00CC7059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09A74B2E" w:rsidR="001B79E5" w:rsidRDefault="00CC7059" w:rsidP="001B79E5">
                <w:pPr>
                  <w:pStyle w:val="Tablefont"/>
                </w:pPr>
                <w:r w:rsidRPr="00CC7059">
                  <w:t>136.2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6C5E6559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CC7059">
                  <w:t>5.56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CC7059">
                  <w:t>0.180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23936AD0" w:rsidR="00687890" w:rsidRPr="004C23F4" w:rsidRDefault="00A52705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6B02F30" w:rsidR="00687890" w:rsidRPr="004C23F4" w:rsidRDefault="00A52705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1F441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6851C3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A52705">
      <w:pPr>
        <w:keepNext/>
      </w:pPr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2A47EC94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CC7059">
        <w:t>2001</w:t>
      </w:r>
      <w:r>
        <w:t xml:space="preserve">) </w:t>
      </w:r>
      <w:proofErr w:type="spellStart"/>
      <w:r w:rsidR="00CC7059">
        <w:t>Tetramethylsuccinonitril</w:t>
      </w:r>
      <w:proofErr w:type="spellEnd"/>
      <w:r>
        <w:t xml:space="preserve"> – MAK value documentation.</w:t>
      </w:r>
    </w:p>
    <w:p w14:paraId="28EAA9C1" w14:textId="0A907860" w:rsidR="008E4F1F" w:rsidRDefault="008E4F1F" w:rsidP="008E4F1F">
      <w:pPr>
        <w:rPr>
          <w:b/>
        </w:rPr>
      </w:pPr>
      <w:r w:rsidRPr="002022B6">
        <w:t>Health Council of the Netherlands</w:t>
      </w:r>
      <w:r>
        <w:t xml:space="preserve"> (HCOTN) (</w:t>
      </w:r>
      <w:r w:rsidR="00CC7059" w:rsidRPr="00CC7059">
        <w:t>2002</w:t>
      </w:r>
      <w:r>
        <w:t xml:space="preserve">) </w:t>
      </w:r>
      <w:r w:rsidR="00CC7059" w:rsidRPr="00CC7059">
        <w:t>Tetramethyl succinonitrile</w:t>
      </w:r>
      <w:r w:rsidRPr="005F7416">
        <w:t xml:space="preserve">. Health-based calculated occupational cancer risk values. The Hague: Health Council of the Netherlands; publication no. </w:t>
      </w:r>
      <w:r w:rsidR="00CC7059" w:rsidRPr="00CC7059">
        <w:t>2000/15OSH/041</w:t>
      </w:r>
      <w:r>
        <w:t>.</w:t>
      </w:r>
    </w:p>
    <w:p w14:paraId="77EFB18B" w14:textId="32D30481" w:rsidR="008E4F1F" w:rsidRDefault="008E4F1F" w:rsidP="008E4F1F">
      <w:pPr>
        <w:rPr>
          <w:b/>
        </w:rPr>
      </w:pPr>
      <w:r w:rsidRPr="00D86E03">
        <w:t>US National Institute for Occupational Safety and Health (NIOSH)</w:t>
      </w:r>
      <w:r>
        <w:t xml:space="preserve"> (</w:t>
      </w:r>
      <w:r w:rsidR="00CC7059" w:rsidRPr="00CC7059">
        <w:t>1994</w:t>
      </w:r>
      <w:r>
        <w:t xml:space="preserve">) Immediately dangerous to life or health concentrations – </w:t>
      </w:r>
      <w:r w:rsidR="00CC7059" w:rsidRPr="00CC7059">
        <w:t>Tetramethyl succinonitrile</w:t>
      </w:r>
      <w:r>
        <w:t>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D13C" w14:textId="77777777" w:rsidR="00462F68" w:rsidRDefault="00462F68" w:rsidP="00F43AD5">
      <w:pPr>
        <w:spacing w:after="0" w:line="240" w:lineRule="auto"/>
      </w:pPr>
      <w:r>
        <w:separator/>
      </w:r>
    </w:p>
  </w:endnote>
  <w:endnote w:type="continuationSeparator" w:id="0">
    <w:p w14:paraId="446AB45E" w14:textId="77777777" w:rsidR="00462F68" w:rsidRDefault="00462F6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ADC9" w14:textId="77777777" w:rsidR="001F4414" w:rsidRDefault="001F4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03E2D58E" w:rsidR="008A36CF" w:rsidRPr="00617A86" w:rsidRDefault="00822A34" w:rsidP="0034744C">
        <w:pPr>
          <w:pStyle w:val="Footer"/>
          <w:rPr>
            <w:sz w:val="18"/>
            <w:szCs w:val="18"/>
          </w:rPr>
        </w:pPr>
        <w:r w:rsidRPr="00617A86">
          <w:rPr>
            <w:b/>
            <w:sz w:val="18"/>
            <w:szCs w:val="18"/>
          </w:rPr>
          <w:t>Tetramethyl succinonitrile</w:t>
        </w:r>
        <w:r w:rsidR="008A36CF" w:rsidRPr="00617A86">
          <w:rPr>
            <w:b/>
            <w:sz w:val="18"/>
            <w:szCs w:val="18"/>
          </w:rPr>
          <w:t xml:space="preserve"> (</w:t>
        </w:r>
        <w:r w:rsidRPr="00617A86">
          <w:rPr>
            <w:b/>
            <w:sz w:val="18"/>
            <w:szCs w:val="18"/>
          </w:rPr>
          <w:t>3333-52-6</w:t>
        </w:r>
        <w:r w:rsidR="008A36CF" w:rsidRPr="00617A86">
          <w:rPr>
            <w:b/>
            <w:sz w:val="18"/>
            <w:szCs w:val="18"/>
          </w:rPr>
          <w:t>)</w:t>
        </w:r>
        <w:r w:rsidR="008A36CF" w:rsidRPr="00617A86">
          <w:rPr>
            <w:sz w:val="18"/>
            <w:szCs w:val="18"/>
          </w:rPr>
          <w:br/>
          <w:t xml:space="preserve">Safe Work Australia </w:t>
        </w:r>
        <w:r w:rsidR="008A36CF" w:rsidRPr="00617A86">
          <w:rPr>
            <w:rFonts w:ascii="Courier New" w:hAnsi="Courier New" w:cs="Courier New"/>
            <w:sz w:val="18"/>
            <w:szCs w:val="18"/>
          </w:rPr>
          <w:t>—</w:t>
        </w:r>
        <w:r w:rsidR="008A36CF" w:rsidRPr="00617A86">
          <w:rPr>
            <w:sz w:val="18"/>
            <w:szCs w:val="18"/>
          </w:rPr>
          <w:t xml:space="preserve"> 20</w:t>
        </w:r>
        <w:r w:rsidR="00E12666" w:rsidRPr="00617A86">
          <w:rPr>
            <w:sz w:val="18"/>
            <w:szCs w:val="18"/>
          </w:rPr>
          <w:t>20</w:t>
        </w:r>
      </w:p>
      <w:p w14:paraId="2D517F5E" w14:textId="7D7ECA8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0B5CE3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0EB9" w14:textId="77777777" w:rsidR="001F4414" w:rsidRDefault="001F4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C2ACF" w14:textId="77777777" w:rsidR="00462F68" w:rsidRDefault="00462F68" w:rsidP="00F43AD5">
      <w:pPr>
        <w:spacing w:after="0" w:line="240" w:lineRule="auto"/>
      </w:pPr>
      <w:r>
        <w:separator/>
      </w:r>
    </w:p>
  </w:footnote>
  <w:footnote w:type="continuationSeparator" w:id="0">
    <w:p w14:paraId="5713399D" w14:textId="77777777" w:rsidR="00462F68" w:rsidRDefault="00462F6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276C" w14:textId="77777777" w:rsidR="001F4414" w:rsidRDefault="001F4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4A80" w14:textId="6703242B" w:rsidR="001F4414" w:rsidRDefault="001F4414" w:rsidP="001F4414">
    <w:pPr>
      <w:pStyle w:val="Header"/>
      <w:jc w:val="right"/>
    </w:pPr>
    <w:r>
      <w:pict w14:anchorId="628B86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1DB2E06C" wp14:editId="07EE9628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F0457" w14:textId="77777777" w:rsidR="001F4414" w:rsidRDefault="001F4414" w:rsidP="001F4414">
    <w:pPr>
      <w:pStyle w:val="Header"/>
    </w:pPr>
  </w:p>
  <w:p w14:paraId="4DAA8792" w14:textId="22EFBF53" w:rsidR="008A36CF" w:rsidRPr="001F4414" w:rsidRDefault="008A36CF" w:rsidP="001F4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0D8F" w14:textId="77777777" w:rsidR="001F4414" w:rsidRDefault="001F44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F1C0" w14:textId="24AA062A" w:rsidR="001F4414" w:rsidRDefault="001F4414" w:rsidP="001F4414">
    <w:pPr>
      <w:pStyle w:val="Header"/>
      <w:jc w:val="right"/>
    </w:pPr>
    <w:r>
      <w:pict w14:anchorId="608B8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4394683" wp14:editId="2B923FE5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110446" w14:textId="77777777" w:rsidR="001F4414" w:rsidRDefault="001F4414" w:rsidP="001F4414">
    <w:pPr>
      <w:pStyle w:val="Header"/>
    </w:pP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C65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8C6DE0"/>
    <w:multiLevelType w:val="hybridMultilevel"/>
    <w:tmpl w:val="11BCB44E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132297E"/>
    <w:multiLevelType w:val="hybridMultilevel"/>
    <w:tmpl w:val="1E867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B65842"/>
    <w:multiLevelType w:val="hybridMultilevel"/>
    <w:tmpl w:val="3C14570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4967F4E"/>
    <w:multiLevelType w:val="hybridMultilevel"/>
    <w:tmpl w:val="6418675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754"/>
    <w:rsid w:val="00071807"/>
    <w:rsid w:val="000803E1"/>
    <w:rsid w:val="0008099F"/>
    <w:rsid w:val="00084513"/>
    <w:rsid w:val="00084859"/>
    <w:rsid w:val="00092D94"/>
    <w:rsid w:val="000B0868"/>
    <w:rsid w:val="000B3E12"/>
    <w:rsid w:val="000B3E78"/>
    <w:rsid w:val="000B5CE3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46CB1"/>
    <w:rsid w:val="0015266D"/>
    <w:rsid w:val="0015288A"/>
    <w:rsid w:val="00155999"/>
    <w:rsid w:val="00160F47"/>
    <w:rsid w:val="00177CA1"/>
    <w:rsid w:val="00183823"/>
    <w:rsid w:val="00183942"/>
    <w:rsid w:val="001915F6"/>
    <w:rsid w:val="00192D81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414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2F68"/>
    <w:rsid w:val="00472A11"/>
    <w:rsid w:val="00472AAD"/>
    <w:rsid w:val="00473F12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C6398"/>
    <w:rsid w:val="004D16A3"/>
    <w:rsid w:val="004D4AA1"/>
    <w:rsid w:val="004D6D68"/>
    <w:rsid w:val="004E5EDD"/>
    <w:rsid w:val="004F020C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7A86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623B"/>
    <w:rsid w:val="00677D9B"/>
    <w:rsid w:val="006851C3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62E1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C6D84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2A34"/>
    <w:rsid w:val="00826F21"/>
    <w:rsid w:val="00834CC8"/>
    <w:rsid w:val="00835E00"/>
    <w:rsid w:val="00837113"/>
    <w:rsid w:val="008414E4"/>
    <w:rsid w:val="00843E21"/>
    <w:rsid w:val="0084508E"/>
    <w:rsid w:val="00857A8A"/>
    <w:rsid w:val="0086053F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221E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52FF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645D"/>
    <w:rsid w:val="00A27E2D"/>
    <w:rsid w:val="00A31D99"/>
    <w:rsid w:val="00A357BA"/>
    <w:rsid w:val="00A35ADC"/>
    <w:rsid w:val="00A402A3"/>
    <w:rsid w:val="00A52705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18C5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5C86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47FED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36E8"/>
    <w:rsid w:val="00C74833"/>
    <w:rsid w:val="00C850A0"/>
    <w:rsid w:val="00C85A86"/>
    <w:rsid w:val="00C878B6"/>
    <w:rsid w:val="00C978F0"/>
    <w:rsid w:val="00CA58FE"/>
    <w:rsid w:val="00CB1CB1"/>
    <w:rsid w:val="00CB6BC1"/>
    <w:rsid w:val="00CB6CB8"/>
    <w:rsid w:val="00CC1A68"/>
    <w:rsid w:val="00CC2123"/>
    <w:rsid w:val="00CC7059"/>
    <w:rsid w:val="00CD2BFD"/>
    <w:rsid w:val="00CE5AD6"/>
    <w:rsid w:val="00CE617F"/>
    <w:rsid w:val="00CE78EF"/>
    <w:rsid w:val="00CF1936"/>
    <w:rsid w:val="00D048F7"/>
    <w:rsid w:val="00D0517E"/>
    <w:rsid w:val="00D07BDF"/>
    <w:rsid w:val="00D140FC"/>
    <w:rsid w:val="00D21D8C"/>
    <w:rsid w:val="00D3025D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0C70"/>
    <w:rsid w:val="00E025AB"/>
    <w:rsid w:val="00E02B23"/>
    <w:rsid w:val="00E06F40"/>
    <w:rsid w:val="00E07CE8"/>
    <w:rsid w:val="00E12666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6070"/>
    <w:rsid w:val="00ED1D89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21D3"/>
    <w:rsid w:val="00F43AD5"/>
    <w:rsid w:val="00F4402E"/>
    <w:rsid w:val="00F5299C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EC607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0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99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99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9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D32D4EDCE2C041AEBF146B3E2A40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2CAE-EFAE-4F7B-A1D8-C6AC42999690}"/>
      </w:docPartPr>
      <w:docPartBody>
        <w:p w:rsidR="000A1460" w:rsidRDefault="00272C26" w:rsidP="00272C26">
          <w:pPr>
            <w:pStyle w:val="D32D4EDCE2C041AEBF146B3E2A4009BB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A1460"/>
    <w:rsid w:val="00110D93"/>
    <w:rsid w:val="00272C26"/>
    <w:rsid w:val="00347D16"/>
    <w:rsid w:val="003E0149"/>
    <w:rsid w:val="00755FBF"/>
    <w:rsid w:val="00953F28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C2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D32D4EDCE2C041AEBF146B3E2A4009BB">
    <w:name w:val="D32D4EDCE2C041AEBF146B3E2A4009BB"/>
    <w:rsid w:val="00272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bf54d604-3e62-4e70-ba33-9e9084b96a6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2C700-E197-44FE-A907-5445BCF9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F9463-3D52-4D00-9449-A53B3264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20</cp:revision>
  <cp:lastPrinted>2018-10-22T22:41:00Z</cp:lastPrinted>
  <dcterms:created xsi:type="dcterms:W3CDTF">2019-10-16T02:13:00Z</dcterms:created>
  <dcterms:modified xsi:type="dcterms:W3CDTF">2020-07-21T01:42:00Z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