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7862CEC" w14:textId="426E5779" w:rsidR="00BD499F" w:rsidRPr="004C23F4" w:rsidRDefault="007C7DE5" w:rsidP="00B40C60">
          <w:pPr>
            <w:pStyle w:val="Heading1"/>
            <w:jc w:val="center"/>
            <w:rPr>
              <w:rFonts w:ascii="Arial" w:hAnsi="Arial" w:cs="Arial"/>
            </w:rPr>
          </w:pPr>
          <w:r w:rsidRPr="007C7DE5">
            <w:rPr>
              <w:rFonts w:ascii="Arial" w:hAnsi="Arial" w:cs="Arial"/>
            </w:rPr>
            <w:t>Tetryl</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61"/>
        <w:gridCol w:w="5065"/>
      </w:tblGrid>
      <w:tr w:rsidR="00F43AD5" w:rsidRPr="004C23F4" w14:paraId="189D6E38" w14:textId="77777777" w:rsidTr="00900BC0">
        <w:trPr>
          <w:cantSplit/>
          <w:tblHeader/>
        </w:trPr>
        <w:tc>
          <w:tcPr>
            <w:tcW w:w="3961" w:type="dxa"/>
          </w:tcPr>
          <w:p w14:paraId="517634FF" w14:textId="77777777" w:rsidR="00F43AD5" w:rsidRPr="00921DE7" w:rsidRDefault="00CB1CB1" w:rsidP="00B76A41">
            <w:pPr>
              <w:pStyle w:val="Tablerowright"/>
            </w:pPr>
            <w:r w:rsidRPr="00921DE7">
              <w:t>CAS number:</w:t>
            </w:r>
          </w:p>
        </w:tc>
        <w:tc>
          <w:tcPr>
            <w:tcW w:w="5065" w:type="dxa"/>
          </w:tcPr>
          <w:p w14:paraId="3EDBFD9E" w14:textId="285E214F" w:rsidR="00F43AD5" w:rsidRPr="00717D45" w:rsidRDefault="00B55B72" w:rsidP="00B76A41">
            <w:pPr>
              <w:pStyle w:val="Tablefont"/>
            </w:pPr>
            <w:r w:rsidRPr="00B55B72">
              <w:t>479-45-8</w:t>
            </w:r>
          </w:p>
        </w:tc>
      </w:tr>
      <w:tr w:rsidR="00F43AD5" w:rsidRPr="00163BAB" w14:paraId="562A9F51" w14:textId="77777777" w:rsidTr="00900BC0">
        <w:trPr>
          <w:cantSplit/>
        </w:trPr>
        <w:tc>
          <w:tcPr>
            <w:tcW w:w="3961" w:type="dxa"/>
          </w:tcPr>
          <w:p w14:paraId="6A9A0952" w14:textId="77777777" w:rsidR="00F43AD5" w:rsidRPr="00921DE7" w:rsidRDefault="00CB1CB1" w:rsidP="00B76A41">
            <w:pPr>
              <w:pStyle w:val="Tablerowright"/>
            </w:pPr>
            <w:r w:rsidRPr="00921DE7">
              <w:t>Synonyms:</w:t>
            </w:r>
          </w:p>
        </w:tc>
        <w:tc>
          <w:tcPr>
            <w:tcW w:w="5065" w:type="dxa"/>
          </w:tcPr>
          <w:p w14:paraId="32648AB9" w14:textId="0A26F07A" w:rsidR="00F43AD5" w:rsidRPr="00163BAB" w:rsidRDefault="00B55B72" w:rsidP="00B76A41">
            <w:pPr>
              <w:pStyle w:val="Tablefont"/>
              <w:rPr>
                <w:lang w:val="it-IT"/>
              </w:rPr>
            </w:pPr>
            <w:r w:rsidRPr="00163BAB">
              <w:rPr>
                <w:lang w:val="it-IT"/>
              </w:rPr>
              <w:t>N-methyl-N,2,4,6-tetranitroaniline, nitramine, tetralite, 2,4,6-trinitrophenylmethylnitramine</w:t>
            </w:r>
          </w:p>
        </w:tc>
      </w:tr>
      <w:tr w:rsidR="00F43AD5" w:rsidRPr="004C23F4" w14:paraId="6EE54A08" w14:textId="77777777" w:rsidTr="00900BC0">
        <w:trPr>
          <w:cantSplit/>
        </w:trPr>
        <w:tc>
          <w:tcPr>
            <w:tcW w:w="3961" w:type="dxa"/>
          </w:tcPr>
          <w:p w14:paraId="3C2EC489" w14:textId="77777777" w:rsidR="00F43AD5" w:rsidRPr="00921DE7" w:rsidRDefault="00CB1CB1" w:rsidP="00B76A41">
            <w:pPr>
              <w:pStyle w:val="Tablerowright"/>
            </w:pPr>
            <w:r w:rsidRPr="00921DE7">
              <w:t>Chemical formula:</w:t>
            </w:r>
          </w:p>
        </w:tc>
        <w:tc>
          <w:tcPr>
            <w:tcW w:w="5065" w:type="dxa"/>
          </w:tcPr>
          <w:p w14:paraId="69369B00" w14:textId="707D3E2D" w:rsidR="00F43AD5" w:rsidRPr="00717D45" w:rsidRDefault="00F421C5" w:rsidP="00B76A41">
            <w:pPr>
              <w:pStyle w:val="Tablefont"/>
            </w:pPr>
            <w:r>
              <w:t>C</w:t>
            </w:r>
            <w:r w:rsidRPr="00F421C5">
              <w:rPr>
                <w:vertAlign w:val="subscript"/>
              </w:rPr>
              <w:t>7</w:t>
            </w:r>
            <w:r>
              <w:t>H</w:t>
            </w:r>
            <w:r w:rsidRPr="00F421C5">
              <w:rPr>
                <w:vertAlign w:val="subscript"/>
              </w:rPr>
              <w:t>5</w:t>
            </w:r>
            <w:r>
              <w:t>N</w:t>
            </w:r>
            <w:r w:rsidRPr="00F421C5">
              <w:rPr>
                <w:vertAlign w:val="subscript"/>
              </w:rPr>
              <w:t>5</w:t>
            </w:r>
            <w:r>
              <w:t>O</w:t>
            </w:r>
            <w:r w:rsidRPr="00F421C5">
              <w:rPr>
                <w:vertAlign w:val="subscript"/>
              </w:rPr>
              <w:t>8</w:t>
            </w:r>
          </w:p>
        </w:tc>
      </w:tr>
    </w:tbl>
    <w:p w14:paraId="71D72173" w14:textId="4E0E81A0"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0C76AC">
            <w:rPr>
              <w:rStyle w:val="WESstatus"/>
            </w:rPr>
            <w:t>(interim)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38011720" w14:textId="77777777" w:rsidTr="00037E52">
        <w:trPr>
          <w:cantSplit/>
          <w:tblHeader/>
        </w:trPr>
        <w:tc>
          <w:tcPr>
            <w:tcW w:w="4010" w:type="dxa"/>
            <w:vAlign w:val="center"/>
          </w:tcPr>
          <w:p w14:paraId="652B29B1" w14:textId="77777777" w:rsidR="002C7AFE" w:rsidRPr="002C58FF" w:rsidRDefault="00921DE7" w:rsidP="00921DE7">
            <w:pPr>
              <w:pStyle w:val="Tablerowright"/>
            </w:pPr>
            <w:r>
              <w:t>TWA:</w:t>
            </w:r>
          </w:p>
        </w:tc>
        <w:tc>
          <w:tcPr>
            <w:tcW w:w="5016" w:type="dxa"/>
          </w:tcPr>
          <w:p w14:paraId="43EB6150" w14:textId="7593F345" w:rsidR="002C7AFE" w:rsidRPr="00AA64A2" w:rsidRDefault="00AA64A2" w:rsidP="00017C82">
            <w:pPr>
              <w:pStyle w:val="Tablefont"/>
              <w:rPr>
                <w:b/>
                <w:bCs/>
              </w:rPr>
            </w:pPr>
            <w:r w:rsidRPr="00AA64A2">
              <w:rPr>
                <w:rFonts w:cs="Arial"/>
                <w:b/>
                <w:bCs/>
              </w:rPr>
              <w:t>1.5 mg/m</w:t>
            </w:r>
            <w:r w:rsidRPr="00AA64A2">
              <w:rPr>
                <w:rFonts w:cs="Arial"/>
                <w:b/>
                <w:bCs/>
                <w:vertAlign w:val="superscript"/>
              </w:rPr>
              <w:t>3</w:t>
            </w:r>
          </w:p>
        </w:tc>
      </w:tr>
      <w:tr w:rsidR="00037E52" w:rsidRPr="004C23F4" w14:paraId="0EF58FD6" w14:textId="77777777" w:rsidTr="00037E52">
        <w:trPr>
          <w:cantSplit/>
        </w:trPr>
        <w:tc>
          <w:tcPr>
            <w:tcW w:w="4010" w:type="dxa"/>
            <w:vAlign w:val="center"/>
          </w:tcPr>
          <w:p w14:paraId="1CE0F108" w14:textId="77777777" w:rsidR="00037E52" w:rsidRPr="002C58FF" w:rsidRDefault="00037E52" w:rsidP="00037E52">
            <w:pPr>
              <w:pStyle w:val="Tablerowright"/>
            </w:pPr>
            <w:r w:rsidRPr="002C58FF">
              <w:t>STEL</w:t>
            </w:r>
            <w:r>
              <w:t>:</w:t>
            </w:r>
          </w:p>
        </w:tc>
        <w:tc>
          <w:tcPr>
            <w:tcW w:w="5016" w:type="dxa"/>
          </w:tcPr>
          <w:p w14:paraId="7C8B818A" w14:textId="77777777" w:rsidR="00037E52" w:rsidRPr="00EB3D1B" w:rsidRDefault="00037E52" w:rsidP="00037E52">
            <w:pPr>
              <w:pStyle w:val="Tablefont"/>
              <w:rPr>
                <w:b/>
              </w:rPr>
            </w:pPr>
            <w:r>
              <w:rPr>
                <w:b/>
              </w:rPr>
              <w:t>—</w:t>
            </w:r>
          </w:p>
        </w:tc>
      </w:tr>
      <w:tr w:rsidR="00037E52" w:rsidRPr="004C23F4" w14:paraId="09DF5A7D" w14:textId="77777777" w:rsidTr="00037E52">
        <w:trPr>
          <w:cantSplit/>
        </w:trPr>
        <w:tc>
          <w:tcPr>
            <w:tcW w:w="4010" w:type="dxa"/>
            <w:vAlign w:val="center"/>
          </w:tcPr>
          <w:p w14:paraId="7D9BAC3A" w14:textId="77777777" w:rsidR="00037E52" w:rsidRPr="002C58FF" w:rsidRDefault="00037E52" w:rsidP="00037E52">
            <w:pPr>
              <w:pStyle w:val="Tablerowright"/>
            </w:pPr>
            <w:r>
              <w:t>Peak limitation:</w:t>
            </w:r>
          </w:p>
        </w:tc>
        <w:tc>
          <w:tcPr>
            <w:tcW w:w="5016" w:type="dxa"/>
          </w:tcPr>
          <w:p w14:paraId="582B22B5" w14:textId="77777777" w:rsidR="00037E52" w:rsidRPr="00EB3D1B" w:rsidRDefault="00037E52" w:rsidP="00037E52">
            <w:pPr>
              <w:pStyle w:val="Tablefont"/>
              <w:rPr>
                <w:b/>
              </w:rPr>
            </w:pPr>
            <w:r>
              <w:rPr>
                <w:b/>
              </w:rPr>
              <w:t>—</w:t>
            </w:r>
          </w:p>
        </w:tc>
      </w:tr>
      <w:tr w:rsidR="00037E52" w:rsidRPr="004C23F4" w14:paraId="368D7039" w14:textId="77777777" w:rsidTr="00037E52">
        <w:trPr>
          <w:cantSplit/>
        </w:trPr>
        <w:tc>
          <w:tcPr>
            <w:tcW w:w="4010" w:type="dxa"/>
          </w:tcPr>
          <w:p w14:paraId="589F33FE"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6E9A7528" w14:textId="77777777" w:rsidR="00037E52" w:rsidRPr="00EB3D1B" w:rsidRDefault="00037E52" w:rsidP="00037E52">
            <w:pPr>
              <w:pStyle w:val="Tablefont"/>
              <w:rPr>
                <w:b/>
              </w:rPr>
            </w:pPr>
            <w:r>
              <w:rPr>
                <w:b/>
              </w:rPr>
              <w:t>—</w:t>
            </w:r>
          </w:p>
        </w:tc>
      </w:tr>
      <w:tr w:rsidR="00037E52" w:rsidRPr="004C23F4" w14:paraId="5FFAC073" w14:textId="77777777" w:rsidTr="00037E52">
        <w:trPr>
          <w:cantSplit/>
        </w:trPr>
        <w:tc>
          <w:tcPr>
            <w:tcW w:w="4010" w:type="dxa"/>
            <w:vAlign w:val="center"/>
          </w:tcPr>
          <w:p w14:paraId="6B171BBD" w14:textId="77777777" w:rsidR="00037E52" w:rsidRPr="002C58FF" w:rsidRDefault="00037E52" w:rsidP="00037E52">
            <w:pPr>
              <w:pStyle w:val="Tablerowright"/>
            </w:pPr>
            <w:r>
              <w:t>IDLH:</w:t>
            </w:r>
          </w:p>
        </w:tc>
        <w:tc>
          <w:tcPr>
            <w:tcW w:w="5016" w:type="dxa"/>
          </w:tcPr>
          <w:p w14:paraId="7090041D" w14:textId="3D857AA2" w:rsidR="00037E52" w:rsidRPr="00EB3D1B" w:rsidRDefault="00F421C5" w:rsidP="00037E52">
            <w:pPr>
              <w:pStyle w:val="Tablefont"/>
              <w:rPr>
                <w:b/>
              </w:rPr>
            </w:pPr>
            <w:r w:rsidRPr="00F421C5">
              <w:rPr>
                <w:b/>
              </w:rPr>
              <w:t>750 mg/m</w:t>
            </w:r>
            <w:r w:rsidRPr="00F421C5">
              <w:rPr>
                <w:b/>
                <w:vertAlign w:val="superscript"/>
              </w:rPr>
              <w:t>3</w:t>
            </w:r>
          </w:p>
        </w:tc>
      </w:tr>
      <w:tr w:rsidR="00155999" w:rsidRPr="004C23F4" w14:paraId="27D0E012" w14:textId="77777777" w:rsidTr="004549A3">
        <w:trPr>
          <w:cantSplit/>
        </w:trPr>
        <w:tc>
          <w:tcPr>
            <w:tcW w:w="9026" w:type="dxa"/>
            <w:gridSpan w:val="2"/>
            <w:vAlign w:val="center"/>
          </w:tcPr>
          <w:p w14:paraId="31B5D59E" w14:textId="47E881DF" w:rsidR="00155999" w:rsidRPr="00EB3D1B" w:rsidRDefault="00155999" w:rsidP="00037E52">
            <w:pPr>
              <w:pStyle w:val="Tablefont"/>
              <w:rPr>
                <w:b/>
              </w:rPr>
            </w:pPr>
            <w:r w:rsidRPr="00AA64A2">
              <w:rPr>
                <w:b/>
                <w:bCs/>
              </w:rPr>
              <w:t>Sampling and analysis:</w:t>
            </w:r>
            <w:r w:rsidRPr="00EC521E">
              <w:rPr>
                <w:rStyle w:val="WESstatus"/>
                <w:color w:val="auto"/>
              </w:rPr>
              <w:t xml:space="preserve"> </w:t>
            </w:r>
            <w:sdt>
              <w:sdtPr>
                <w:rPr>
                  <w:rStyle w:val="WESstatus"/>
                  <w:bCs/>
                  <w:color w:val="auto"/>
                </w:r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AA64A2">
                  <w:rPr>
                    <w:rStyle w:val="WESstatus"/>
                    <w:bCs/>
                    <w:color w:val="auto"/>
                  </w:rPr>
                  <w:t xml:space="preserve">The recommended value is quantifiable through available sampling and analysis techniques. </w:t>
                </w:r>
              </w:sdtContent>
            </w:sdt>
          </w:p>
        </w:tc>
      </w:tr>
    </w:tbl>
    <w:p w14:paraId="1330EBEE" w14:textId="77777777" w:rsidR="00CB1CB1" w:rsidRPr="003365A5" w:rsidRDefault="00F10C97" w:rsidP="003365A5">
      <w:pPr>
        <w:pStyle w:val="Heading2"/>
      </w:pPr>
      <w:r>
        <w:t>Recommendation and basis for workplace exposure standard</w:t>
      </w:r>
    </w:p>
    <w:p w14:paraId="56D7D7AF" w14:textId="4B217300" w:rsidR="006639B4" w:rsidRDefault="00B270B7" w:rsidP="000C139A">
      <w:pPr>
        <w:rPr>
          <w:rFonts w:cs="Arial"/>
        </w:rPr>
      </w:pPr>
      <w:r>
        <w:rPr>
          <w:rFonts w:cs="Arial"/>
        </w:rPr>
        <w:t>A TWA of 1.5 mg/m</w:t>
      </w:r>
      <w:r>
        <w:rPr>
          <w:rFonts w:cs="Arial"/>
          <w:vertAlign w:val="superscript"/>
        </w:rPr>
        <w:t>3</w:t>
      </w:r>
      <w:r>
        <w:rPr>
          <w:rFonts w:cs="Arial"/>
        </w:rPr>
        <w:t xml:space="preserve"> is recommended to protect for irritation</w:t>
      </w:r>
      <w:r w:rsidR="00875965">
        <w:rPr>
          <w:rFonts w:cs="Arial"/>
        </w:rPr>
        <w:t xml:space="preserve"> </w:t>
      </w:r>
      <w:r w:rsidR="000C76AC">
        <w:rPr>
          <w:rFonts w:cs="Arial"/>
        </w:rPr>
        <w:t xml:space="preserve">of the skin, mucous membrane and respiratory tract </w:t>
      </w:r>
      <w:r w:rsidR="00875965">
        <w:rPr>
          <w:rFonts w:cs="Arial"/>
        </w:rPr>
        <w:t>and</w:t>
      </w:r>
      <w:r>
        <w:rPr>
          <w:rFonts w:cs="Arial"/>
        </w:rPr>
        <w:t xml:space="preserve"> liver and kidney effects</w:t>
      </w:r>
      <w:r w:rsidR="00640D1D">
        <w:rPr>
          <w:rFonts w:cs="Arial"/>
        </w:rPr>
        <w:t xml:space="preserve"> in exposed workers</w:t>
      </w:r>
      <w:r>
        <w:rPr>
          <w:rFonts w:cs="Arial"/>
        </w:rPr>
        <w:t>.</w:t>
      </w:r>
    </w:p>
    <w:p w14:paraId="626823BC" w14:textId="77777777" w:rsidR="00DB5678" w:rsidRDefault="00DB5678" w:rsidP="00DB5678">
      <w:pPr>
        <w:rPr>
          <w:rFonts w:cs="Arial"/>
        </w:rPr>
      </w:pPr>
      <w:r>
        <w:rPr>
          <w:rFonts w:cs="Arial"/>
        </w:rPr>
        <w:t>Given the limited data available from the primary sources, it is recommended that a review of additional sources be conducted at the next scheduled review.</w:t>
      </w:r>
    </w:p>
    <w:p w14:paraId="317A46B1" w14:textId="77777777" w:rsidR="00C7155E" w:rsidRPr="004C23F4" w:rsidRDefault="00F10C97" w:rsidP="003365A5">
      <w:pPr>
        <w:pStyle w:val="Heading2"/>
      </w:pPr>
      <w:r>
        <w:t>Discussion and conclusions</w:t>
      </w:r>
    </w:p>
    <w:p w14:paraId="62F41BBE" w14:textId="77777777" w:rsidR="00640D1D" w:rsidRDefault="00E925DA" w:rsidP="00371043">
      <w:r>
        <w:t xml:space="preserve">Tetryl is used as an explosive in detonators and primers and may also be employed as an explosive charge. </w:t>
      </w:r>
    </w:p>
    <w:p w14:paraId="1E9ECA63" w14:textId="77777777" w:rsidR="00163BAB" w:rsidRDefault="00E925DA" w:rsidP="006639B4">
      <w:r>
        <w:t xml:space="preserve">Critical effects </w:t>
      </w:r>
      <w:r w:rsidR="00AA64A2">
        <w:t xml:space="preserve">of </w:t>
      </w:r>
      <w:r>
        <w:t xml:space="preserve">exposure are skin, mucous membrane and upper respiratory tract irritation, contact dermatitis and possible respiratory and skin sensitisation. Liver and kidney effects </w:t>
      </w:r>
      <w:r w:rsidR="00640D1D">
        <w:t>are</w:t>
      </w:r>
      <w:r>
        <w:t xml:space="preserve"> also reported.</w:t>
      </w:r>
      <w:r w:rsidR="00640D1D">
        <w:t xml:space="preserve"> </w:t>
      </w:r>
    </w:p>
    <w:p w14:paraId="25435B6A" w14:textId="512A2C71" w:rsidR="00E925DA" w:rsidRDefault="00640D1D" w:rsidP="006639B4">
      <w:r>
        <w:t>There are c</w:t>
      </w:r>
      <w:r w:rsidR="00624A8A">
        <w:t>ase reports of workers experiencing irritation of the mucous membranes of the upper respiratory tract, resulting in sore throats, nosebleeds and coughing of varying degrees of severity presumably associated with exposure to tetryl. I</w:t>
      </w:r>
      <w:r w:rsidR="00624A8A" w:rsidRPr="00624A8A">
        <w:t>rritation of the skin and upper respiratory passages</w:t>
      </w:r>
      <w:r w:rsidR="00624A8A">
        <w:t xml:space="preserve"> and </w:t>
      </w:r>
      <w:r w:rsidR="00624A8A" w:rsidRPr="00624A8A">
        <w:t>liver damage</w:t>
      </w:r>
      <w:r w:rsidR="00624A8A">
        <w:t xml:space="preserve"> </w:t>
      </w:r>
      <w:r>
        <w:t xml:space="preserve">is </w:t>
      </w:r>
      <w:r w:rsidR="00624A8A">
        <w:t xml:space="preserve">reported in a study of </w:t>
      </w:r>
      <w:r w:rsidR="00624A8A" w:rsidRPr="00624A8A">
        <w:t xml:space="preserve">11 </w:t>
      </w:r>
      <w:r w:rsidR="00624A8A">
        <w:t>workers at a munition factory</w:t>
      </w:r>
      <w:r w:rsidR="00624A8A" w:rsidRPr="00624A8A">
        <w:t xml:space="preserve"> exposed for </w:t>
      </w:r>
      <w:r w:rsidR="00624A8A">
        <w:t xml:space="preserve">between </w:t>
      </w:r>
      <w:r w:rsidR="0082322C">
        <w:t>one and four</w:t>
      </w:r>
      <w:r w:rsidR="00624A8A" w:rsidRPr="00624A8A">
        <w:t xml:space="preserve"> y</w:t>
      </w:r>
      <w:r w:rsidR="00624A8A">
        <w:t>ea</w:t>
      </w:r>
      <w:r w:rsidR="00624A8A" w:rsidRPr="00624A8A">
        <w:t>r</w:t>
      </w:r>
      <w:r w:rsidR="00624A8A">
        <w:t>s</w:t>
      </w:r>
      <w:r w:rsidR="00624A8A" w:rsidRPr="00624A8A">
        <w:t xml:space="preserve"> at 0.88</w:t>
      </w:r>
      <w:r w:rsidR="00624A8A">
        <w:t xml:space="preserve"> to </w:t>
      </w:r>
      <w:r w:rsidR="00624A8A" w:rsidRPr="00624A8A">
        <w:t>17.7</w:t>
      </w:r>
      <w:r w:rsidR="00624A8A">
        <w:t xml:space="preserve"> mg/m</w:t>
      </w:r>
      <w:r w:rsidR="00624A8A">
        <w:rPr>
          <w:vertAlign w:val="superscript"/>
        </w:rPr>
        <w:t>3</w:t>
      </w:r>
      <w:r w:rsidR="00371043">
        <w:t xml:space="preserve"> (ACGIH, 2018; DFG, 1995)</w:t>
      </w:r>
      <w:r w:rsidR="00624A8A">
        <w:t xml:space="preserve">. </w:t>
      </w:r>
      <w:r w:rsidR="002C4440">
        <w:t xml:space="preserve">No cases of systemic poisoning </w:t>
      </w:r>
      <w:r>
        <w:t>a</w:t>
      </w:r>
      <w:r w:rsidR="002C4440">
        <w:t>re</w:t>
      </w:r>
      <w:r w:rsidR="00624A8A">
        <w:t xml:space="preserve"> reported in a </w:t>
      </w:r>
      <w:r w:rsidR="00E925DA">
        <w:t>study</w:t>
      </w:r>
      <w:r w:rsidR="00371043">
        <w:t xml:space="preserve"> of several thousand workers</w:t>
      </w:r>
      <w:r w:rsidR="00E925DA">
        <w:t xml:space="preserve"> </w:t>
      </w:r>
      <w:r w:rsidR="002C4440">
        <w:t xml:space="preserve">over </w:t>
      </w:r>
      <w:r w:rsidR="00E925DA">
        <w:t xml:space="preserve">a </w:t>
      </w:r>
      <w:r w:rsidR="00163BAB">
        <w:t>10-</w:t>
      </w:r>
      <w:r w:rsidR="00371043">
        <w:t>year</w:t>
      </w:r>
      <w:r w:rsidR="00E925DA">
        <w:t xml:space="preserve"> period </w:t>
      </w:r>
      <w:r w:rsidR="00371043">
        <w:t>with airborne</w:t>
      </w:r>
      <w:r w:rsidR="00E925DA">
        <w:t xml:space="preserve"> concentrations not exceed</w:t>
      </w:r>
      <w:r w:rsidR="00371043">
        <w:t>ing</w:t>
      </w:r>
      <w:r w:rsidR="00E925DA">
        <w:t xml:space="preserve"> 1.5 mg/m</w:t>
      </w:r>
      <w:r w:rsidR="00E925DA" w:rsidRPr="001061FA">
        <w:rPr>
          <w:vertAlign w:val="superscript"/>
        </w:rPr>
        <w:t>3</w:t>
      </w:r>
      <w:r w:rsidR="00371043">
        <w:t xml:space="preserve"> (DFG, 1995). Tetryl workers </w:t>
      </w:r>
      <w:r>
        <w:t>a</w:t>
      </w:r>
      <w:r w:rsidR="00371043">
        <w:t xml:space="preserve">re reported to have left operations due to severe asthma-like bouts of coughing </w:t>
      </w:r>
      <w:r>
        <w:t>that</w:t>
      </w:r>
      <w:r w:rsidR="00371043">
        <w:t xml:space="preserve"> were particularly troublesome at night. No further information was provided (ACGIH, 2018; DFG, 1995)</w:t>
      </w:r>
      <w:r w:rsidR="00EB6024">
        <w:t>.</w:t>
      </w:r>
      <w:r w:rsidR="0016538D">
        <w:t xml:space="preserve"> DFG (1995) noted that </w:t>
      </w:r>
      <w:r w:rsidR="0016538D" w:rsidRPr="0016538D">
        <w:t>it is structurally like trinitrotoluene, for which there is adequate evidence of a carcinogenic effect</w:t>
      </w:r>
      <w:r w:rsidR="00163BAB">
        <w:t xml:space="preserve">; </w:t>
      </w:r>
      <w:r w:rsidR="0016538D">
        <w:t>however</w:t>
      </w:r>
      <w:r w:rsidR="00163BAB">
        <w:t>,</w:t>
      </w:r>
      <w:r w:rsidR="0016538D">
        <w:t xml:space="preserve"> no further evidence was identified.</w:t>
      </w:r>
    </w:p>
    <w:p w14:paraId="2735F183" w14:textId="3E94FB25" w:rsidR="00371043" w:rsidRPr="00B270B7" w:rsidRDefault="00B270B7" w:rsidP="006639B4">
      <w:pPr>
        <w:rPr>
          <w:rFonts w:cs="Arial"/>
        </w:rPr>
      </w:pPr>
      <w:r>
        <w:rPr>
          <w:rFonts w:cs="Arial"/>
        </w:rPr>
        <w:t>Limited data are available to derive a health-based TWA. Given this, the TWA of 1.5 mg/m</w:t>
      </w:r>
      <w:r>
        <w:rPr>
          <w:rFonts w:cs="Arial"/>
          <w:vertAlign w:val="superscript"/>
        </w:rPr>
        <w:t xml:space="preserve">3 </w:t>
      </w:r>
      <w:r>
        <w:rPr>
          <w:rFonts w:cs="Arial"/>
        </w:rPr>
        <w:t>is recommended to be retained</w:t>
      </w:r>
      <w:r w:rsidR="00163BAB">
        <w:rPr>
          <w:rFonts w:cs="Arial"/>
        </w:rPr>
        <w:t xml:space="preserve"> in the interim</w:t>
      </w:r>
      <w:r>
        <w:rPr>
          <w:rFonts w:cs="Arial"/>
        </w:rPr>
        <w:t xml:space="preserve">. </w:t>
      </w:r>
      <w:r>
        <w:t>Noting the lack of data</w:t>
      </w:r>
      <w:r w:rsidR="0016538D">
        <w:t xml:space="preserve"> and the consideration of </w:t>
      </w:r>
      <w:r w:rsidR="0016538D">
        <w:lastRenderedPageBreak/>
        <w:t>carcinogenic potential noted by the DFG (1995)</w:t>
      </w:r>
      <w:r>
        <w:t>, it is recommended that an investigation of additional data sources is undertaken at the next scheduled review.</w:t>
      </w:r>
    </w:p>
    <w:p w14:paraId="273B44AD" w14:textId="77777777" w:rsidR="004529F0" w:rsidRPr="004C23F4" w:rsidRDefault="004529F0" w:rsidP="004529F0">
      <w:pPr>
        <w:pStyle w:val="Heading2"/>
      </w:pPr>
      <w:r>
        <w:t>Recommendation for notations</w:t>
      </w:r>
    </w:p>
    <w:p w14:paraId="27C6755E" w14:textId="77777777" w:rsidR="008E4F1F" w:rsidRPr="00E925DA" w:rsidRDefault="008E4F1F" w:rsidP="008E4F1F">
      <w:pPr>
        <w:rPr>
          <w:rFonts w:cs="Arial"/>
        </w:rPr>
      </w:pPr>
      <w:r w:rsidRPr="00E925DA">
        <w:rPr>
          <w:rFonts w:cs="Arial"/>
        </w:rPr>
        <w:t>Not classified as a carcinogen according to the Globally Harmonized System of</w:t>
      </w:r>
      <w:r w:rsidR="00155999" w:rsidRPr="00E925DA">
        <w:rPr>
          <w:rFonts w:cs="Arial"/>
        </w:rPr>
        <w:t xml:space="preserve"> Classification and Labelling of</w:t>
      </w:r>
      <w:r w:rsidRPr="00E925DA">
        <w:rPr>
          <w:rFonts w:cs="Arial"/>
        </w:rPr>
        <w:t xml:space="preserve"> Chemicals (GHS). </w:t>
      </w:r>
    </w:p>
    <w:p w14:paraId="03916CCC" w14:textId="6647311B" w:rsidR="008E4F1F" w:rsidRPr="00E925DA" w:rsidRDefault="008E4F1F" w:rsidP="008E4F1F">
      <w:pPr>
        <w:rPr>
          <w:rFonts w:cs="Arial"/>
        </w:rPr>
      </w:pPr>
      <w:r w:rsidRPr="00E925DA">
        <w:rPr>
          <w:rFonts w:cs="Arial"/>
        </w:rPr>
        <w:t xml:space="preserve">Not classified as a skin </w:t>
      </w:r>
      <w:r w:rsidR="00155999" w:rsidRPr="00E925DA">
        <w:rPr>
          <w:rFonts w:cs="Arial"/>
        </w:rPr>
        <w:t xml:space="preserve">sensitiser </w:t>
      </w:r>
      <w:r w:rsidRPr="00E925DA">
        <w:rPr>
          <w:rFonts w:cs="Arial"/>
        </w:rPr>
        <w:t xml:space="preserve">or respiratory </w:t>
      </w:r>
      <w:r w:rsidR="00E925DA">
        <w:rPr>
          <w:rFonts w:cs="Arial"/>
        </w:rPr>
        <w:t>sensitiser according to the GHS. A review of the sensitiser classifications is recommended as h</w:t>
      </w:r>
      <w:r w:rsidR="00860EF0" w:rsidRPr="00E925DA">
        <w:t>uman case reports suggest tetryl is a skin a</w:t>
      </w:r>
      <w:r w:rsidR="00E925DA">
        <w:t>nd possible respiratory sensitis</w:t>
      </w:r>
      <w:r w:rsidR="00860EF0" w:rsidRPr="00E925DA">
        <w:t>e</w:t>
      </w:r>
      <w:r w:rsidR="00E925DA">
        <w:t>r.</w:t>
      </w:r>
    </w:p>
    <w:p w14:paraId="7D0772D2" w14:textId="09C842F5" w:rsidR="004529F0" w:rsidRPr="004C23F4" w:rsidRDefault="00AA64A2" w:rsidP="008E4F1F">
      <w:pPr>
        <w:rPr>
          <w:rFonts w:cs="Arial"/>
        </w:rPr>
      </w:pPr>
      <w:r>
        <w:rPr>
          <w:rFonts w:cs="Arial"/>
        </w:rPr>
        <w:t>There are i</w:t>
      </w:r>
      <w:r w:rsidR="008E4F1F" w:rsidRPr="00E925DA">
        <w:rPr>
          <w:rFonts w:cs="Arial"/>
        </w:rPr>
        <w:t xml:space="preserve">nsufficient </w:t>
      </w:r>
      <w:r>
        <w:rPr>
          <w:rFonts w:cs="Arial"/>
        </w:rPr>
        <w:t>data</w:t>
      </w:r>
      <w:r w:rsidRPr="00E925DA">
        <w:rPr>
          <w:rFonts w:cs="Arial"/>
        </w:rPr>
        <w:t xml:space="preserve"> </w:t>
      </w:r>
      <w:r w:rsidR="008E4F1F" w:rsidRPr="00E925DA">
        <w:rPr>
          <w:rFonts w:cs="Arial"/>
        </w:rPr>
        <w:t>to recommend a skin notation.</w:t>
      </w:r>
      <w:r w:rsidR="009052FE">
        <w:rPr>
          <w:rFonts w:cs="Arial"/>
        </w:rPr>
        <w:t xml:space="preserve"> A further literature review is recommended given evidence of contact dermatitis in humans and structural similarly to trinitrotoluene which is readily absorbed </w:t>
      </w:r>
      <w:r w:rsidR="00640D1D">
        <w:rPr>
          <w:rFonts w:cs="Arial"/>
        </w:rPr>
        <w:t>through the</w:t>
      </w:r>
      <w:r w:rsidR="009052FE">
        <w:rPr>
          <w:rFonts w:cs="Arial"/>
        </w:rPr>
        <w:t xml:space="preserve"> skin.</w:t>
      </w:r>
    </w:p>
    <w:p w14:paraId="21CCE2A5" w14:textId="77777777" w:rsidR="0025734A" w:rsidRPr="004C23F4" w:rsidRDefault="0025734A">
      <w:pPr>
        <w:rPr>
          <w:rFonts w:cs="Arial"/>
        </w:rPr>
      </w:pPr>
    </w:p>
    <w:p w14:paraId="4C1F8D43"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17B1B74"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1AD9225C"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257268B5" w14:textId="77777777" w:rsidTr="00FC0E2C">
        <w:trPr>
          <w:gridAfter w:val="1"/>
          <w:cnfStyle w:val="100000000000" w:firstRow="1" w:lastRow="0" w:firstColumn="0" w:lastColumn="0" w:oddVBand="0" w:evenVBand="0" w:oddHBand="0" w:evenHBand="0" w:firstRowFirstColumn="0" w:firstRowLastColumn="0" w:lastRowFirstColumn="0" w:lastRowLastColumn="0"/>
          <w:wAfter w:w="8" w:type="pct"/>
          <w:cantSplit/>
          <w:trHeight w:val="393"/>
          <w:tblHeader/>
        </w:trPr>
        <w:tc>
          <w:tcPr>
            <w:tcW w:w="4992" w:type="pct"/>
            <w:shd w:val="clear" w:color="auto" w:fill="BFBFBF" w:themeFill="background1" w:themeFillShade="BF"/>
            <w:vAlign w:val="center"/>
          </w:tcPr>
          <w:p w14:paraId="1707E895"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5B240DF2" w14:textId="77777777" w:rsidTr="00FC0E2C">
        <w:trPr>
          <w:cantSplit/>
        </w:trPr>
        <w:tc>
          <w:tcPr>
            <w:tcW w:w="5000" w:type="pct"/>
            <w:gridSpan w:val="2"/>
            <w:shd w:val="clear" w:color="auto" w:fill="F2F2F2" w:themeFill="background1" w:themeFillShade="F2"/>
          </w:tcPr>
          <w:p w14:paraId="3127B3A8" w14:textId="3D9D3985"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F421C5">
                  <w:t>1991</w:t>
                </w:r>
              </w:sdtContent>
            </w:sdt>
            <w:r w:rsidRPr="003365A5">
              <w:tab/>
            </w:r>
            <w:r>
              <w:tab/>
            </w:r>
            <w:sdt>
              <w:sdtPr>
                <w:alias w:val="SWA WES"/>
                <w:tag w:val="SWA WES"/>
                <w:id w:val="857077202"/>
                <w:placeholder>
                  <w:docPart w:val="81CFEC2FDBC5451289F394E66D92D1A0"/>
                </w:placeholder>
              </w:sdtPr>
              <w:sdtEndPr/>
              <w:sdtContent>
                <w:r w:rsidR="00F421C5">
                  <w:t>TWA: 1.5 mg/m</w:t>
                </w:r>
                <w:r w:rsidR="00F421C5" w:rsidRPr="00F421C5">
                  <w:rPr>
                    <w:vertAlign w:val="superscript"/>
                  </w:rPr>
                  <w:t>3</w:t>
                </w:r>
              </w:sdtContent>
            </w:sdt>
          </w:p>
        </w:tc>
      </w:tr>
      <w:tr w:rsidR="00C978F0" w:rsidRPr="00DA352E" w14:paraId="26087DDB" w14:textId="77777777" w:rsidTr="00FC0E2C">
        <w:trPr>
          <w:gridAfter w:val="1"/>
          <w:wAfter w:w="8" w:type="pct"/>
          <w:cantSplit/>
        </w:trPr>
        <w:tc>
          <w:tcPr>
            <w:tcW w:w="4992" w:type="pct"/>
          </w:tcPr>
          <w:p w14:paraId="1137D58F" w14:textId="77777777" w:rsidR="00C978F0" w:rsidRPr="00DA352E" w:rsidRDefault="00C978F0" w:rsidP="003365A5">
            <w:pPr>
              <w:pStyle w:val="Tabletextprimarysource"/>
            </w:pPr>
          </w:p>
        </w:tc>
      </w:tr>
      <w:tr w:rsidR="00C978F0" w:rsidRPr="00DA352E" w14:paraId="24593221" w14:textId="77777777" w:rsidTr="00FC0E2C">
        <w:trPr>
          <w:gridAfter w:val="1"/>
          <w:wAfter w:w="8" w:type="pct"/>
          <w:cantSplit/>
        </w:trPr>
        <w:tc>
          <w:tcPr>
            <w:tcW w:w="4992" w:type="pct"/>
            <w:shd w:val="clear" w:color="auto" w:fill="F2F2F2" w:themeFill="background1" w:themeFillShade="F2"/>
          </w:tcPr>
          <w:p w14:paraId="2ED10929" w14:textId="55457A5B"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F421C5">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F421C5">
                  <w:t>TLV-TWA: 1.5 mg/m</w:t>
                </w:r>
                <w:r w:rsidR="00F421C5" w:rsidRPr="00F421C5">
                  <w:rPr>
                    <w:vertAlign w:val="superscript"/>
                  </w:rPr>
                  <w:t>3</w:t>
                </w:r>
              </w:sdtContent>
            </w:sdt>
          </w:p>
        </w:tc>
      </w:tr>
      <w:tr w:rsidR="00C978F0" w:rsidRPr="00DA352E" w14:paraId="418D532D" w14:textId="77777777" w:rsidTr="00FC0E2C">
        <w:trPr>
          <w:gridAfter w:val="1"/>
          <w:wAfter w:w="8" w:type="pct"/>
        </w:trPr>
        <w:tc>
          <w:tcPr>
            <w:tcW w:w="0" w:type="pct"/>
          </w:tcPr>
          <w:p w14:paraId="262A94AE" w14:textId="217E4A87" w:rsidR="00C978F0" w:rsidRDefault="00CB10C8" w:rsidP="003365A5">
            <w:pPr>
              <w:pStyle w:val="Tabletextprimarysource"/>
            </w:pPr>
            <w:r>
              <w:t>TLV-TWA recommended to reduce the potential for skin, mucous membrane and upper respiratory tract irritation</w:t>
            </w:r>
            <w:r w:rsidR="00640D1D">
              <w:t>,</w:t>
            </w:r>
            <w:r>
              <w:t xml:space="preserve"> contact dermatitis and possible respiratory and skin sensitisation.</w:t>
            </w:r>
            <w:r w:rsidR="00D274B8">
              <w:t xml:space="preserve"> </w:t>
            </w:r>
          </w:p>
          <w:p w14:paraId="5B3062DC" w14:textId="77777777" w:rsidR="00CB10C8" w:rsidRDefault="00CB10C8" w:rsidP="003365A5">
            <w:pPr>
              <w:pStyle w:val="Tabletextprimarysource"/>
            </w:pPr>
            <w:r>
              <w:t>Summary of data:</w:t>
            </w:r>
          </w:p>
          <w:p w14:paraId="680D3B98" w14:textId="5A3C1E58" w:rsidR="00D274B8" w:rsidRDefault="00D274B8" w:rsidP="00900BC0">
            <w:pPr>
              <w:pStyle w:val="ListBullet"/>
              <w:spacing w:before="60" w:after="60"/>
              <w:ind w:left="1077" w:hanging="357"/>
              <w:contextualSpacing w:val="0"/>
            </w:pPr>
            <w:r>
              <w:t>No specific derivation of TLV is provided</w:t>
            </w:r>
          </w:p>
          <w:p w14:paraId="624E79A5" w14:textId="04B443E5" w:rsidR="00CB10C8" w:rsidRDefault="00CB10C8" w:rsidP="00900BC0">
            <w:pPr>
              <w:pStyle w:val="ListBullet"/>
              <w:spacing w:before="60" w:after="60"/>
              <w:ind w:left="1077" w:hanging="357"/>
              <w:contextualSpacing w:val="0"/>
            </w:pPr>
            <w:r>
              <w:t>Not considered a major industrial hazard except during high production operations and concomitant high exposures such as those encountered during wartime munitions operations</w:t>
            </w:r>
            <w:r w:rsidR="00EB6024">
              <w:t>.</w:t>
            </w:r>
          </w:p>
          <w:p w14:paraId="0393D9B3" w14:textId="77777777" w:rsidR="00CB10C8" w:rsidRDefault="00CB10C8" w:rsidP="00CB10C8">
            <w:pPr>
              <w:pStyle w:val="Tabletextprimarysource"/>
            </w:pPr>
            <w:r>
              <w:t>Human data:</w:t>
            </w:r>
          </w:p>
          <w:p w14:paraId="2198C40D" w14:textId="6B4607D3" w:rsidR="00860EF0" w:rsidRDefault="00860EF0" w:rsidP="00900BC0">
            <w:pPr>
              <w:pStyle w:val="ListBullet"/>
              <w:spacing w:before="60" w:after="60"/>
              <w:ind w:left="1077" w:hanging="357"/>
              <w:contextualSpacing w:val="0"/>
            </w:pPr>
            <w:r>
              <w:t>No studies with exposure data presented</w:t>
            </w:r>
          </w:p>
          <w:p w14:paraId="55CE2EA5" w14:textId="3B2B7146" w:rsidR="00CB10C8" w:rsidRDefault="00CB10C8" w:rsidP="00900BC0">
            <w:pPr>
              <w:pStyle w:val="ListBullet"/>
              <w:spacing w:before="60" w:after="60"/>
              <w:ind w:left="1077" w:hanging="357"/>
              <w:contextualSpacing w:val="0"/>
            </w:pPr>
            <w:r>
              <w:t xml:space="preserve">Highly irritating to skin and mucous membranes and may cause severe </w:t>
            </w:r>
            <w:r w:rsidR="00AA64A2">
              <w:t>URT</w:t>
            </w:r>
            <w:r>
              <w:t xml:space="preserve"> irritation with coughing and epistaxis</w:t>
            </w:r>
            <w:r w:rsidR="006D3B0F">
              <w:t>; no further information</w:t>
            </w:r>
          </w:p>
          <w:p w14:paraId="7AB54EFE" w14:textId="04FDE55A" w:rsidR="00D274B8" w:rsidRDefault="00D274B8" w:rsidP="00900BC0">
            <w:pPr>
              <w:pStyle w:val="ListBullet"/>
              <w:spacing w:before="60" w:after="60"/>
              <w:ind w:left="1077" w:hanging="357"/>
              <w:contextualSpacing w:val="0"/>
            </w:pPr>
            <w:r>
              <w:t xml:space="preserve">CNS effects reported in workers included irritability, headache, malaise, nausea and insomnia </w:t>
            </w:r>
          </w:p>
          <w:p w14:paraId="06EEA37D" w14:textId="1B546C0A" w:rsidR="00CB10C8" w:rsidRDefault="00CB10C8" w:rsidP="00900BC0">
            <w:pPr>
              <w:pStyle w:val="ListBullet"/>
              <w:spacing w:before="60" w:after="60"/>
              <w:ind w:left="1077" w:hanging="357"/>
              <w:contextualSpacing w:val="0"/>
            </w:pPr>
            <w:r>
              <w:t xml:space="preserve">Major effects noted in a report on accidental exposure of 11 people </w:t>
            </w:r>
            <w:r w:rsidR="00AA64A2">
              <w:t xml:space="preserve">of </w:t>
            </w:r>
            <w:r>
              <w:t>yellow pigmentation of the skin, liver damage, dermatitis, dermal and possible respiratory sensitisation and upper respiratory irritation; no further specific information is provided</w:t>
            </w:r>
            <w:r w:rsidR="006D3B0F">
              <w:t>; cited by DFG (1995)</w:t>
            </w:r>
          </w:p>
          <w:p w14:paraId="2027DD05" w14:textId="68884E91" w:rsidR="00CB10C8" w:rsidRDefault="00CB10C8" w:rsidP="00900BC0">
            <w:pPr>
              <w:pStyle w:val="ListBullet"/>
              <w:spacing w:before="60" w:after="60"/>
              <w:ind w:left="1077" w:hanging="357"/>
              <w:contextualSpacing w:val="0"/>
            </w:pPr>
            <w:r>
              <w:t xml:space="preserve">Case report of workers experiencing irritation of the mucous membranes of the </w:t>
            </w:r>
            <w:r w:rsidR="00AA64A2">
              <w:t>URT</w:t>
            </w:r>
            <w:r>
              <w:t xml:space="preserve"> noteworthy, resulting in sore throats, nosebleeds and coughing of varying degrees of severit</w:t>
            </w:r>
            <w:r w:rsidR="00B32066">
              <w:t>y presumably associated with exposure; no further specific information provided</w:t>
            </w:r>
          </w:p>
          <w:p w14:paraId="5B79741D" w14:textId="67586AB4" w:rsidR="00B32066" w:rsidRDefault="00AA64A2" w:rsidP="00900BC0">
            <w:pPr>
              <w:pStyle w:val="ListBullet"/>
              <w:spacing w:before="60" w:after="60"/>
              <w:ind w:left="1077" w:hanging="357"/>
              <w:contextualSpacing w:val="0"/>
            </w:pPr>
            <w:r>
              <w:t>W</w:t>
            </w:r>
            <w:r w:rsidR="00B32066">
              <w:t>orkers left operations due to severe asthma-like bouts of coughing which were particularly troublesome at night; no further specific information is provided</w:t>
            </w:r>
          </w:p>
          <w:p w14:paraId="7CAAA186" w14:textId="6B7D1505" w:rsidR="00640D1D" w:rsidRDefault="00B32066" w:rsidP="00640D1D">
            <w:pPr>
              <w:pStyle w:val="ListBullet"/>
              <w:spacing w:before="60" w:after="60"/>
              <w:ind w:left="1077" w:hanging="357"/>
              <w:contextualSpacing w:val="0"/>
            </w:pPr>
            <w:r>
              <w:t xml:space="preserve">No X-ray evidence of lung damage reported in a study </w:t>
            </w:r>
            <w:r w:rsidR="00AA64A2">
              <w:t xml:space="preserve">of a </w:t>
            </w:r>
            <w:r>
              <w:t>plant employing 4</w:t>
            </w:r>
            <w:r w:rsidR="00EB6024">
              <w:t>,</w:t>
            </w:r>
            <w:r>
              <w:t>000 people</w:t>
            </w:r>
            <w:r w:rsidR="00956DDB">
              <w:t>:</w:t>
            </w:r>
            <w:r>
              <w:t xml:space="preserve"> </w:t>
            </w:r>
          </w:p>
          <w:p w14:paraId="55437506" w14:textId="5C066702" w:rsidR="00B32066" w:rsidRDefault="00B32066" w:rsidP="00900BC0">
            <w:pPr>
              <w:pStyle w:val="ListBullet"/>
              <w:numPr>
                <w:ilvl w:val="0"/>
                <w:numId w:val="4"/>
              </w:numPr>
              <w:spacing w:before="60" w:after="60"/>
              <w:contextualSpacing w:val="0"/>
            </w:pPr>
            <w:r>
              <w:t xml:space="preserve">the size of tetryl particles was 150 </w:t>
            </w:r>
            <w:r>
              <w:rPr>
                <w:rFonts w:cs="Arial"/>
              </w:rPr>
              <w:t>µ</w:t>
            </w:r>
            <w:r>
              <w:t>m and reported as being of tremendous importance in explaining the lack of lung damage</w:t>
            </w:r>
          </w:p>
          <w:p w14:paraId="2A674513" w14:textId="389C411A" w:rsidR="00640D1D" w:rsidRDefault="00B32066" w:rsidP="00640D1D">
            <w:pPr>
              <w:pStyle w:val="ListBullet"/>
              <w:spacing w:before="60" w:after="60"/>
              <w:ind w:left="1077" w:hanging="357"/>
              <w:contextualSpacing w:val="0"/>
            </w:pPr>
            <w:r>
              <w:t>In a study of 1</w:t>
            </w:r>
            <w:r w:rsidR="00EB6024">
              <w:t>,</w:t>
            </w:r>
            <w:r>
              <w:t>258 workers affected by tetryl, 944 had dermatitis symptoms which generally occurred between the 2</w:t>
            </w:r>
            <w:r w:rsidRPr="00AA64A2">
              <w:rPr>
                <w:vertAlign w:val="superscript"/>
              </w:rPr>
              <w:t>nd</w:t>
            </w:r>
            <w:r w:rsidR="00EB6024">
              <w:t xml:space="preserve"> </w:t>
            </w:r>
            <w:r>
              <w:t>and 3</w:t>
            </w:r>
            <w:r w:rsidRPr="00AA64A2">
              <w:rPr>
                <w:vertAlign w:val="superscript"/>
              </w:rPr>
              <w:t>rd</w:t>
            </w:r>
            <w:r w:rsidR="00EB6024">
              <w:t xml:space="preserve"> </w:t>
            </w:r>
            <w:r>
              <w:t>week of exposure</w:t>
            </w:r>
            <w:r w:rsidR="00956DDB">
              <w:t>:</w:t>
            </w:r>
            <w:r>
              <w:t xml:space="preserve"> </w:t>
            </w:r>
          </w:p>
          <w:p w14:paraId="1D233818" w14:textId="77777777" w:rsidR="00640D1D" w:rsidRDefault="00B32066" w:rsidP="00640D1D">
            <w:pPr>
              <w:pStyle w:val="ListBullet"/>
              <w:numPr>
                <w:ilvl w:val="0"/>
                <w:numId w:val="4"/>
              </w:numPr>
              <w:spacing w:before="60" w:after="60"/>
              <w:contextualSpacing w:val="0"/>
            </w:pPr>
            <w:r>
              <w:t xml:space="preserve">no exposure data presented; </w:t>
            </w:r>
          </w:p>
          <w:p w14:paraId="077276B3" w14:textId="503AEEDC" w:rsidR="00B32066" w:rsidRDefault="00B32066" w:rsidP="00900BC0">
            <w:pPr>
              <w:pStyle w:val="ListBullet"/>
              <w:numPr>
                <w:ilvl w:val="0"/>
                <w:numId w:val="4"/>
              </w:numPr>
              <w:spacing w:before="60" w:after="60"/>
              <w:contextualSpacing w:val="0"/>
            </w:pPr>
            <w:r>
              <w:t>some reported symptoms suggestive of systemic illness included headache, irritability, malaise, lassitude and sleeplessness</w:t>
            </w:r>
          </w:p>
          <w:p w14:paraId="249BDBC8" w14:textId="5D7A45A8" w:rsidR="00640D1D" w:rsidRDefault="00A44F19" w:rsidP="00640D1D">
            <w:pPr>
              <w:pStyle w:val="ListBullet"/>
              <w:spacing w:before="60" w:after="60"/>
              <w:ind w:left="1077" w:hanging="357"/>
              <w:contextualSpacing w:val="0"/>
            </w:pPr>
            <w:r>
              <w:t>In a review of</w:t>
            </w:r>
            <w:r w:rsidR="007D68A7">
              <w:t xml:space="preserve"> the use of chemicals in the war industries concluded tetryl was the chief cause of dermatitis</w:t>
            </w:r>
            <w:r w:rsidR="00956DDB">
              <w:t>:</w:t>
            </w:r>
            <w:r>
              <w:t xml:space="preserve"> </w:t>
            </w:r>
          </w:p>
          <w:p w14:paraId="19DB541D" w14:textId="72A0F9CB" w:rsidR="00B32066" w:rsidRDefault="00A44F19" w:rsidP="00900BC0">
            <w:pPr>
              <w:pStyle w:val="ListBullet"/>
              <w:numPr>
                <w:ilvl w:val="0"/>
                <w:numId w:val="5"/>
              </w:numPr>
              <w:spacing w:before="60" w:after="60"/>
              <w:contextualSpacing w:val="0"/>
            </w:pPr>
            <w:r>
              <w:t>points of friction, such as the collar line and the wrists, were common sites; no further information</w:t>
            </w:r>
            <w:r w:rsidR="00EB6024">
              <w:t>.</w:t>
            </w:r>
          </w:p>
          <w:p w14:paraId="70AE53D8" w14:textId="77777777" w:rsidR="00A44F19" w:rsidRDefault="00860EF0" w:rsidP="00860EF0">
            <w:pPr>
              <w:pStyle w:val="Tabletextprimarysource"/>
            </w:pPr>
            <w:r>
              <w:t>Animal data:</w:t>
            </w:r>
          </w:p>
          <w:p w14:paraId="5F2D2469" w14:textId="416EFC36" w:rsidR="00860EF0" w:rsidRDefault="00860EF0" w:rsidP="00900BC0">
            <w:pPr>
              <w:pStyle w:val="ListBullet"/>
              <w:spacing w:before="60" w:after="60"/>
              <w:ind w:left="1077" w:hanging="357"/>
              <w:contextualSpacing w:val="0"/>
            </w:pPr>
            <w:r>
              <w:t xml:space="preserve">No inhalation studies </w:t>
            </w:r>
            <w:r w:rsidR="00163BAB">
              <w:t>reported</w:t>
            </w:r>
            <w:r>
              <w:t xml:space="preserve">; no sub-chronic or chronic studies </w:t>
            </w:r>
            <w:r w:rsidR="00163BAB">
              <w:t>reported</w:t>
            </w:r>
          </w:p>
          <w:p w14:paraId="44478827" w14:textId="59CE73CA" w:rsidR="00640D1D" w:rsidRDefault="00860EF0" w:rsidP="00640D1D">
            <w:pPr>
              <w:pStyle w:val="ListBullet"/>
              <w:spacing w:before="60" w:after="60"/>
              <w:ind w:left="1077" w:hanging="357"/>
              <w:contextualSpacing w:val="0"/>
            </w:pPr>
            <w:r>
              <w:lastRenderedPageBreak/>
              <w:t>Smallest reported fatal dose was 0.5 g/kg of recrystalli</w:t>
            </w:r>
            <w:r w:rsidR="00AA64A2">
              <w:t>s</w:t>
            </w:r>
            <w:r>
              <w:t>ed material given to a dog subcutaneously in olive oil as five daily doses of 0.1 g/kg/d</w:t>
            </w:r>
            <w:r w:rsidR="00956DDB">
              <w:t>:</w:t>
            </w:r>
            <w:r>
              <w:t xml:space="preserve"> </w:t>
            </w:r>
          </w:p>
          <w:p w14:paraId="67D72769" w14:textId="77604BC4" w:rsidR="00860EF0" w:rsidRDefault="00860EF0" w:rsidP="00900BC0">
            <w:pPr>
              <w:pStyle w:val="ListBullet"/>
              <w:numPr>
                <w:ilvl w:val="0"/>
                <w:numId w:val="5"/>
              </w:numPr>
              <w:spacing w:before="60" w:after="60"/>
              <w:contextualSpacing w:val="0"/>
            </w:pPr>
            <w:r>
              <w:t>gross examination showed mild inflammation of the kidney; no further information</w:t>
            </w:r>
          </w:p>
          <w:p w14:paraId="6221F288" w14:textId="1D6412D8" w:rsidR="00860EF0" w:rsidRDefault="00163BAB" w:rsidP="00860EF0">
            <w:pPr>
              <w:pStyle w:val="ListBullet"/>
              <w:ind w:left="1080"/>
            </w:pPr>
            <w:r>
              <w:t>A</w:t>
            </w:r>
            <w:r w:rsidR="00860EF0">
              <w:t xml:space="preserve"> severe acute inflammation at the injection site</w:t>
            </w:r>
            <w:r>
              <w:t xml:space="preserve"> and</w:t>
            </w:r>
            <w:r w:rsidR="00860EF0">
              <w:t xml:space="preserve"> with varying degrees of oedema and haemorrhage</w:t>
            </w:r>
            <w:r>
              <w:t xml:space="preserve"> in the tissues of rabbits and dogs after fatal doses rep</w:t>
            </w:r>
            <w:r w:rsidR="00956DDB">
              <w:t>o</w:t>
            </w:r>
            <w:r>
              <w:t>rted</w:t>
            </w:r>
            <w:r w:rsidR="00860EF0">
              <w:t>; no further information</w:t>
            </w:r>
            <w:r w:rsidR="00EB6024">
              <w:t>.</w:t>
            </w:r>
          </w:p>
          <w:p w14:paraId="2BAF09C7" w14:textId="77777777" w:rsidR="009541B1" w:rsidRDefault="009541B1" w:rsidP="009541B1">
            <w:pPr>
              <w:pStyle w:val="Tabletextprimarysource"/>
            </w:pPr>
            <w:r>
              <w:t>Insufficient data to recommend a sensitiser, skin or carcinogen notation or a TLV-STEL.</w:t>
            </w:r>
          </w:p>
          <w:p w14:paraId="0CE4D35D" w14:textId="5DA55B5E" w:rsidR="00640D1D" w:rsidRPr="00DA352E" w:rsidRDefault="00640D1D" w:rsidP="009541B1">
            <w:pPr>
              <w:pStyle w:val="Tabletextprimarysource"/>
            </w:pPr>
          </w:p>
        </w:tc>
      </w:tr>
      <w:tr w:rsidR="00C978F0" w:rsidRPr="00DA352E" w14:paraId="174F8B79" w14:textId="77777777" w:rsidTr="00FC0E2C">
        <w:trPr>
          <w:gridAfter w:val="1"/>
          <w:wAfter w:w="8" w:type="pct"/>
          <w:cantSplit/>
        </w:trPr>
        <w:tc>
          <w:tcPr>
            <w:tcW w:w="4992" w:type="pct"/>
            <w:shd w:val="clear" w:color="auto" w:fill="F2F2F2" w:themeFill="background1" w:themeFillShade="F2"/>
          </w:tcPr>
          <w:p w14:paraId="65BCCE9F" w14:textId="5B4B54F9"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414C8B">
                  <w:t>1995</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414C8B">
                  <w:t>Not assigned</w:t>
                </w:r>
              </w:sdtContent>
            </w:sdt>
          </w:p>
        </w:tc>
      </w:tr>
      <w:tr w:rsidR="00C978F0" w:rsidRPr="00DA352E" w14:paraId="4433014F" w14:textId="77777777" w:rsidTr="00FC0E2C">
        <w:trPr>
          <w:gridAfter w:val="1"/>
          <w:wAfter w:w="8" w:type="pct"/>
          <w:cantSplit/>
        </w:trPr>
        <w:tc>
          <w:tcPr>
            <w:tcW w:w="4992" w:type="pct"/>
          </w:tcPr>
          <w:p w14:paraId="2EA57A5F" w14:textId="77777777" w:rsidR="00C978F0" w:rsidRDefault="009541B1">
            <w:pPr>
              <w:pStyle w:val="Tabletextprimarysource"/>
            </w:pPr>
            <w:r>
              <w:t>No MAK recommended because it is structurally like trinitrotoluene,</w:t>
            </w:r>
            <w:r w:rsidR="00A87594">
              <w:t xml:space="preserve"> </w:t>
            </w:r>
            <w:r>
              <w:t>for which there is adequate evidence of a carcinogenic effect</w:t>
            </w:r>
            <w:r w:rsidR="00A87594">
              <w:t>.</w:t>
            </w:r>
          </w:p>
          <w:p w14:paraId="226F0AFF" w14:textId="77777777" w:rsidR="00A87594" w:rsidRDefault="00A87594">
            <w:pPr>
              <w:pStyle w:val="Tabletextprimarysource"/>
            </w:pPr>
            <w:r>
              <w:t>Summary of additional data:</w:t>
            </w:r>
          </w:p>
          <w:p w14:paraId="7380E565" w14:textId="407E29AE" w:rsidR="00640D1D" w:rsidRDefault="004B38D4" w:rsidP="00640D1D">
            <w:pPr>
              <w:pStyle w:val="ListBullet"/>
              <w:spacing w:before="60" w:after="60"/>
              <w:ind w:left="1080"/>
              <w:contextualSpacing w:val="0"/>
            </w:pPr>
            <w:r>
              <w:t>Basis of retracted MAK of 1.5 mg/m</w:t>
            </w:r>
            <w:r>
              <w:rPr>
                <w:vertAlign w:val="superscript"/>
              </w:rPr>
              <w:t xml:space="preserve">3 </w:t>
            </w:r>
            <w:r>
              <w:t>was the observation that during a 10</w:t>
            </w:r>
            <w:r w:rsidR="003340D3">
              <w:t xml:space="preserve"> </w:t>
            </w:r>
            <w:proofErr w:type="spellStart"/>
            <w:r>
              <w:t>yr</w:t>
            </w:r>
            <w:proofErr w:type="spellEnd"/>
            <w:r>
              <w:t xml:space="preserve"> period in a factory with several thousand workers no systemic intoxication occurred</w:t>
            </w:r>
            <w:r w:rsidR="00956DDB">
              <w:t>:</w:t>
            </w:r>
            <w:r>
              <w:t xml:space="preserve"> </w:t>
            </w:r>
          </w:p>
          <w:p w14:paraId="5E7F411C" w14:textId="4311C9F5" w:rsidR="00640D1D" w:rsidRDefault="004B38D4" w:rsidP="00640D1D">
            <w:pPr>
              <w:pStyle w:val="ListBullet"/>
              <w:numPr>
                <w:ilvl w:val="0"/>
                <w:numId w:val="5"/>
              </w:numPr>
              <w:spacing w:before="60" w:after="60"/>
              <w:contextualSpacing w:val="0"/>
            </w:pPr>
            <w:r>
              <w:t>concentrations in the air did not exceed 1.5 mg/m</w:t>
            </w:r>
            <w:r w:rsidRPr="001061FA">
              <w:rPr>
                <w:vertAlign w:val="superscript"/>
              </w:rPr>
              <w:t>3</w:t>
            </w:r>
            <w:r>
              <w:t xml:space="preserve">; no further information </w:t>
            </w:r>
          </w:p>
          <w:p w14:paraId="5E16EBC1" w14:textId="1C7D9C5D" w:rsidR="004B38D4" w:rsidRDefault="004B38D4" w:rsidP="00900BC0">
            <w:pPr>
              <w:pStyle w:val="ListBullet"/>
              <w:numPr>
                <w:ilvl w:val="0"/>
                <w:numId w:val="5"/>
              </w:numPr>
              <w:spacing w:before="60" w:after="60"/>
              <w:contextualSpacing w:val="0"/>
            </w:pPr>
            <w:r>
              <w:t>cited by ACGIH (2018) but with no air concentration data</w:t>
            </w:r>
          </w:p>
          <w:p w14:paraId="1CAE4119" w14:textId="19E465E4" w:rsidR="00640D1D" w:rsidRDefault="004B38D4" w:rsidP="00640D1D">
            <w:pPr>
              <w:pStyle w:val="ListBullet"/>
              <w:spacing w:before="60" w:after="60"/>
              <w:ind w:left="1080"/>
              <w:contextualSpacing w:val="0"/>
            </w:pPr>
            <w:r>
              <w:t xml:space="preserve">In a </w:t>
            </w:r>
            <w:proofErr w:type="gramStart"/>
            <w:r>
              <w:t>munitions</w:t>
            </w:r>
            <w:proofErr w:type="gramEnd"/>
            <w:r>
              <w:t xml:space="preserve"> factory, 11 persons were exposed for 1–4 </w:t>
            </w:r>
            <w:proofErr w:type="spellStart"/>
            <w:r>
              <w:t>yr</w:t>
            </w:r>
            <w:proofErr w:type="spellEnd"/>
            <w:r>
              <w:t xml:space="preserve"> at 0.88–17.7 mg/m</w:t>
            </w:r>
            <w:r>
              <w:rPr>
                <w:vertAlign w:val="superscript"/>
              </w:rPr>
              <w:t>3</w:t>
            </w:r>
            <w:r w:rsidR="00956DDB">
              <w:t>:</w:t>
            </w:r>
            <w:r>
              <w:t xml:space="preserve"> </w:t>
            </w:r>
          </w:p>
          <w:p w14:paraId="200966FE" w14:textId="52F1AE08" w:rsidR="004B38D4" w:rsidRDefault="004B38D4" w:rsidP="00900BC0">
            <w:pPr>
              <w:pStyle w:val="ListBullet"/>
              <w:numPr>
                <w:ilvl w:val="0"/>
                <w:numId w:val="6"/>
              </w:numPr>
              <w:spacing w:before="60" w:after="60"/>
              <w:contextualSpacing w:val="0"/>
            </w:pPr>
            <w:r>
              <w:t>main symptoms included yellow discoloration of the skin and hair, liver damage and irritation of the skin and upper respiratory passages</w:t>
            </w:r>
          </w:p>
          <w:p w14:paraId="1A80A007" w14:textId="05CCE211" w:rsidR="00A87594" w:rsidRDefault="00A87594" w:rsidP="00900BC0">
            <w:pPr>
              <w:pStyle w:val="ListBullet"/>
              <w:spacing w:before="60" w:after="60"/>
              <w:ind w:left="1080"/>
              <w:contextualSpacing w:val="0"/>
            </w:pPr>
            <w:r>
              <w:t xml:space="preserve">Found to be mutagenic in several strains of </w:t>
            </w:r>
            <w:r w:rsidRPr="00A87594">
              <w:rPr>
                <w:i/>
              </w:rPr>
              <w:t>S.</w:t>
            </w:r>
            <w:r>
              <w:rPr>
                <w:i/>
              </w:rPr>
              <w:t xml:space="preserve"> </w:t>
            </w:r>
            <w:r w:rsidRPr="00A87594">
              <w:rPr>
                <w:i/>
              </w:rPr>
              <w:t>typhimurium</w:t>
            </w:r>
            <w:r>
              <w:t>, with the most marked effect in TA100; no further information</w:t>
            </w:r>
          </w:p>
          <w:p w14:paraId="6756D19A" w14:textId="60BF852A" w:rsidR="00A87594" w:rsidRDefault="00A87594" w:rsidP="00900BC0">
            <w:pPr>
              <w:pStyle w:val="ListBullet"/>
              <w:spacing w:before="60" w:after="60"/>
              <w:ind w:left="1080"/>
              <w:contextualSpacing w:val="0"/>
            </w:pPr>
            <w:r>
              <w:t>Sensitising effects reported in guinea pigs after inhalation and intradermal and topical application; no further information</w:t>
            </w:r>
          </w:p>
          <w:p w14:paraId="795BDB33" w14:textId="4FEBFE13" w:rsidR="00A87594" w:rsidRDefault="00B516DE" w:rsidP="00900BC0">
            <w:pPr>
              <w:pStyle w:val="ListBullet"/>
              <w:spacing w:before="60" w:after="60"/>
              <w:ind w:left="1080"/>
              <w:contextualSpacing w:val="0"/>
            </w:pPr>
            <w:r>
              <w:t xml:space="preserve">Rats receiving 0, 14, 69 and 199 mg/kg/d </w:t>
            </w:r>
            <w:proofErr w:type="spellStart"/>
            <w:r w:rsidR="00AA64A2">
              <w:t>bw</w:t>
            </w:r>
            <w:proofErr w:type="spellEnd"/>
            <w:r>
              <w:t xml:space="preserve"> (females) and 0, 13, 62 and </w:t>
            </w:r>
            <w:r w:rsidR="004349B0">
              <w:br/>
            </w:r>
            <w:r>
              <w:t xml:space="preserve">180 mg/kg/d </w:t>
            </w:r>
            <w:proofErr w:type="spellStart"/>
            <w:r w:rsidR="00AA64A2">
              <w:t>bw</w:t>
            </w:r>
            <w:proofErr w:type="spellEnd"/>
            <w:r>
              <w:t xml:space="preserve"> (males) in the diet</w:t>
            </w:r>
            <w:r w:rsidR="00956DDB">
              <w:t>:</w:t>
            </w:r>
            <w:r>
              <w:t xml:space="preserve"> </w:t>
            </w:r>
          </w:p>
          <w:p w14:paraId="7BCCBC4B" w14:textId="777BCF3E" w:rsidR="00B516DE" w:rsidRDefault="00B516DE" w:rsidP="00900BC0">
            <w:pPr>
              <w:pStyle w:val="ListBullet"/>
              <w:numPr>
                <w:ilvl w:val="0"/>
                <w:numId w:val="2"/>
              </w:numPr>
              <w:spacing w:before="60" w:after="60"/>
              <w:contextualSpacing w:val="0"/>
            </w:pPr>
            <w:r>
              <w:t>food consumption reduced in all groups</w:t>
            </w:r>
          </w:p>
          <w:p w14:paraId="574E020C" w14:textId="019C7A65" w:rsidR="00B516DE" w:rsidRDefault="00640D1D" w:rsidP="00900BC0">
            <w:pPr>
              <w:pStyle w:val="ListBullet"/>
              <w:numPr>
                <w:ilvl w:val="0"/>
                <w:numId w:val="2"/>
              </w:numPr>
              <w:spacing w:before="60" w:after="60"/>
              <w:contextualSpacing w:val="0"/>
            </w:pPr>
            <w:r>
              <w:t>Hb</w:t>
            </w:r>
            <w:r w:rsidR="00B516DE">
              <w:t xml:space="preserve"> significantly reduced in the animals of the medium and high dose groups</w:t>
            </w:r>
          </w:p>
          <w:p w14:paraId="47F438B2" w14:textId="6FCE2B65" w:rsidR="00B516DE" w:rsidRDefault="00B516DE" w:rsidP="00900BC0">
            <w:pPr>
              <w:pStyle w:val="ListBullet"/>
              <w:numPr>
                <w:ilvl w:val="0"/>
                <w:numId w:val="2"/>
              </w:numPr>
              <w:spacing w:before="60" w:after="60"/>
              <w:contextualSpacing w:val="0"/>
            </w:pPr>
            <w:r>
              <w:t>male animals of the medium and high dose groups found to have tubular degeneration and droplets in the cytoplasm of renal cells</w:t>
            </w:r>
          </w:p>
          <w:p w14:paraId="397BCEF8" w14:textId="6A25A7F4" w:rsidR="006D3B0F" w:rsidRDefault="00B516DE" w:rsidP="00900BC0">
            <w:pPr>
              <w:pStyle w:val="ListBullet"/>
              <w:numPr>
                <w:ilvl w:val="0"/>
                <w:numId w:val="2"/>
              </w:numPr>
              <w:spacing w:before="60" w:after="60"/>
              <w:contextualSpacing w:val="0"/>
            </w:pPr>
            <w:r>
              <w:t xml:space="preserve">NOAEL reported a 13.5 mg/kg/d </w:t>
            </w:r>
            <w:proofErr w:type="spellStart"/>
            <w:r w:rsidR="00AA64A2">
              <w:t>bw</w:t>
            </w:r>
            <w:proofErr w:type="spellEnd"/>
            <w:r>
              <w:t xml:space="preserve"> for both sexes</w:t>
            </w:r>
          </w:p>
          <w:p w14:paraId="393626FB" w14:textId="41A92A76" w:rsidR="00064A5E" w:rsidRDefault="00E925DA" w:rsidP="00900BC0">
            <w:pPr>
              <w:pStyle w:val="ListBullet"/>
              <w:numPr>
                <w:ilvl w:val="0"/>
                <w:numId w:val="3"/>
              </w:numPr>
              <w:spacing w:before="60" w:after="60"/>
              <w:contextualSpacing w:val="0"/>
            </w:pPr>
            <w:r>
              <w:t xml:space="preserve">No data available for the mechanisms of action, </w:t>
            </w:r>
            <w:proofErr w:type="spellStart"/>
            <w:r>
              <w:t>toxicokinetics</w:t>
            </w:r>
            <w:proofErr w:type="spellEnd"/>
            <w:r>
              <w:t xml:space="preserve"> or metabolism</w:t>
            </w:r>
          </w:p>
          <w:p w14:paraId="7E3E439E" w14:textId="11CEBD26" w:rsidR="009052FE" w:rsidRDefault="009052FE" w:rsidP="00640D1D">
            <w:pPr>
              <w:pStyle w:val="ListBullet"/>
              <w:numPr>
                <w:ilvl w:val="0"/>
                <w:numId w:val="3"/>
              </w:numPr>
              <w:spacing w:before="60" w:after="60"/>
              <w:contextualSpacing w:val="0"/>
            </w:pPr>
            <w:r>
              <w:t>Due to structural similarity to trinitrotoluene, similar absorption is assumed</w:t>
            </w:r>
            <w:r w:rsidR="00956DDB">
              <w:t>.</w:t>
            </w:r>
            <w:r>
              <w:t xml:space="preserve"> </w:t>
            </w:r>
          </w:p>
          <w:p w14:paraId="61A64F09" w14:textId="077A69EC" w:rsidR="00640D1D" w:rsidRPr="00DA352E" w:rsidRDefault="00640D1D" w:rsidP="00900BC0">
            <w:pPr>
              <w:pStyle w:val="ListBullet"/>
              <w:numPr>
                <w:ilvl w:val="0"/>
                <w:numId w:val="0"/>
              </w:numPr>
              <w:spacing w:before="60" w:after="60"/>
              <w:ind w:left="360" w:hanging="360"/>
              <w:contextualSpacing w:val="0"/>
            </w:pPr>
          </w:p>
        </w:tc>
      </w:tr>
      <w:tr w:rsidR="00C978F0" w:rsidRPr="00DA352E" w14:paraId="0E6A0B2C" w14:textId="77777777" w:rsidTr="00FC0E2C">
        <w:trPr>
          <w:gridAfter w:val="1"/>
          <w:wAfter w:w="8" w:type="pct"/>
          <w:cantSplit/>
        </w:trPr>
        <w:tc>
          <w:tcPr>
            <w:tcW w:w="4992" w:type="pct"/>
            <w:shd w:val="clear" w:color="auto" w:fill="F2F2F2" w:themeFill="background1" w:themeFillShade="F2"/>
          </w:tcPr>
          <w:p w14:paraId="73C602E5" w14:textId="1BA51F2A"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414C8B">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proofErr w:type="spellStart"/>
                <w:r w:rsidR="00414C8B">
                  <w:t>NA</w:t>
                </w:r>
                <w:proofErr w:type="spellEnd"/>
              </w:sdtContent>
            </w:sdt>
          </w:p>
        </w:tc>
      </w:tr>
      <w:tr w:rsidR="00C978F0" w:rsidRPr="00DA352E" w14:paraId="2008D281" w14:textId="77777777" w:rsidTr="00FC0E2C">
        <w:trPr>
          <w:gridAfter w:val="1"/>
          <w:wAfter w:w="8" w:type="pct"/>
          <w:cantSplit/>
        </w:trPr>
        <w:tc>
          <w:tcPr>
            <w:tcW w:w="4992" w:type="pct"/>
          </w:tcPr>
          <w:p w14:paraId="153B53C1" w14:textId="408202A6" w:rsidR="00C978F0" w:rsidRPr="00DA352E" w:rsidRDefault="00414C8B" w:rsidP="003365A5">
            <w:pPr>
              <w:pStyle w:val="Tabletextprimarysource"/>
            </w:pPr>
            <w:r>
              <w:t>No report</w:t>
            </w:r>
            <w:r w:rsidR="003340D3">
              <w:t>.</w:t>
            </w:r>
          </w:p>
        </w:tc>
      </w:tr>
      <w:tr w:rsidR="00DA352E" w:rsidRPr="00DA352E" w14:paraId="12BAB90D" w14:textId="77777777" w:rsidTr="00FC0E2C">
        <w:trPr>
          <w:gridAfter w:val="1"/>
          <w:wAfter w:w="8" w:type="pct"/>
          <w:cantSplit/>
        </w:trPr>
        <w:tc>
          <w:tcPr>
            <w:tcW w:w="4992" w:type="pct"/>
            <w:shd w:val="clear" w:color="auto" w:fill="F2F2F2" w:themeFill="background1" w:themeFillShade="F2"/>
          </w:tcPr>
          <w:p w14:paraId="0D806BF8" w14:textId="5281F346"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414C8B">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414C8B">
                  <w:t>NA</w:t>
                </w:r>
                <w:proofErr w:type="spellEnd"/>
              </w:sdtContent>
            </w:sdt>
          </w:p>
        </w:tc>
      </w:tr>
      <w:tr w:rsidR="00DA352E" w:rsidRPr="00DA352E" w14:paraId="33AAF4A6" w14:textId="77777777" w:rsidTr="00FC0E2C">
        <w:trPr>
          <w:gridAfter w:val="1"/>
          <w:wAfter w:w="8" w:type="pct"/>
          <w:cantSplit/>
        </w:trPr>
        <w:tc>
          <w:tcPr>
            <w:tcW w:w="4992" w:type="pct"/>
          </w:tcPr>
          <w:p w14:paraId="2059E4CB" w14:textId="56AC7185" w:rsidR="00DA352E" w:rsidRPr="00DA352E" w:rsidRDefault="00414C8B" w:rsidP="003365A5">
            <w:pPr>
              <w:pStyle w:val="Tabletextprimarysource"/>
            </w:pPr>
            <w:r>
              <w:t>No report</w:t>
            </w:r>
            <w:r w:rsidR="003340D3">
              <w:t>.</w:t>
            </w:r>
          </w:p>
        </w:tc>
      </w:tr>
      <w:tr w:rsidR="00DA352E" w:rsidRPr="00DA352E" w14:paraId="605F758C" w14:textId="77777777" w:rsidTr="00FC0E2C">
        <w:trPr>
          <w:gridAfter w:val="1"/>
          <w:wAfter w:w="8" w:type="pct"/>
          <w:cantSplit/>
        </w:trPr>
        <w:tc>
          <w:tcPr>
            <w:tcW w:w="4992" w:type="pct"/>
            <w:shd w:val="clear" w:color="auto" w:fill="F2F2F2" w:themeFill="background1" w:themeFillShade="F2"/>
          </w:tcPr>
          <w:p w14:paraId="407840EC" w14:textId="526F3975"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414C8B">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proofErr w:type="spellStart"/>
                <w:r w:rsidR="00414C8B">
                  <w:t>NA</w:t>
                </w:r>
                <w:proofErr w:type="spellEnd"/>
              </w:sdtContent>
            </w:sdt>
          </w:p>
        </w:tc>
      </w:tr>
      <w:tr w:rsidR="00DA352E" w:rsidRPr="00DA352E" w14:paraId="7050CB3E" w14:textId="77777777" w:rsidTr="00FC0E2C">
        <w:trPr>
          <w:gridAfter w:val="1"/>
          <w:wAfter w:w="8" w:type="pct"/>
          <w:cantSplit/>
        </w:trPr>
        <w:tc>
          <w:tcPr>
            <w:tcW w:w="4992" w:type="pct"/>
          </w:tcPr>
          <w:p w14:paraId="492D7791" w14:textId="308BE5A4" w:rsidR="00DA352E" w:rsidRPr="00DA352E" w:rsidRDefault="00414C8B" w:rsidP="003365A5">
            <w:pPr>
              <w:pStyle w:val="Tabletextprimarysource"/>
            </w:pPr>
            <w:r>
              <w:t>No report</w:t>
            </w:r>
            <w:r w:rsidR="003340D3">
              <w:t>.</w:t>
            </w:r>
          </w:p>
        </w:tc>
      </w:tr>
    </w:tbl>
    <w:p w14:paraId="6691F3FF"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p w14:paraId="21C7ACE5" w14:textId="0C8C2A9F" w:rsidR="007E2A4B" w:rsidRDefault="003340D3">
      <w:r>
        <w:t>NIL</w:t>
      </w:r>
      <w:r w:rsidR="00AA64A2">
        <w:t>.</w:t>
      </w:r>
    </w:p>
    <w:bookmarkEnd w:id="0"/>
    <w:p w14:paraId="04408E29" w14:textId="77777777" w:rsidR="007E2A4B" w:rsidRDefault="007E2A4B" w:rsidP="00AA64A2">
      <w:pPr>
        <w:pStyle w:val="Heading3"/>
        <w:keepNext w:val="0"/>
      </w:pPr>
      <w:r>
        <w:lastRenderedPageBreak/>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328EBB70" w14:textId="77777777" w:rsidTr="00900BC0">
        <w:trPr>
          <w:trHeight w:val="454"/>
        </w:trPr>
        <w:tc>
          <w:tcPr>
            <w:tcW w:w="6597" w:type="dxa"/>
            <w:vAlign w:val="center"/>
          </w:tcPr>
          <w:p w14:paraId="3B9A5A84" w14:textId="77777777" w:rsidR="002E0D61" w:rsidRDefault="00B1422A" w:rsidP="00AA64A2">
            <w:pPr>
              <w:pStyle w:val="Tablefon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2B8F4675" w14:textId="50FFACEB" w:rsidR="002E0D61" w:rsidRDefault="004B38D4" w:rsidP="00AA64A2">
                <w:pPr>
                  <w:pStyle w:val="Tablefont"/>
                  <w:keepLines/>
                  <w:spacing w:before="40" w:after="40"/>
                </w:pPr>
                <w:r>
                  <w:t>Insufficient data</w:t>
                </w:r>
              </w:p>
            </w:tc>
          </w:sdtContent>
        </w:sdt>
      </w:tr>
      <w:tr w:rsidR="008A36CF" w14:paraId="2618A4C0" w14:textId="77777777" w:rsidTr="00900BC0">
        <w:trPr>
          <w:trHeight w:val="454"/>
        </w:trPr>
        <w:tc>
          <w:tcPr>
            <w:tcW w:w="6597" w:type="dxa"/>
            <w:vAlign w:val="center"/>
          </w:tcPr>
          <w:p w14:paraId="28B995B9" w14:textId="77777777" w:rsidR="008A36CF" w:rsidRDefault="008A36CF" w:rsidP="00AA64A2">
            <w:pPr>
              <w:pStyle w:val="Tablefon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72B1B278" w14:textId="67EC082E" w:rsidR="008A36CF" w:rsidRDefault="004B38D4" w:rsidP="00AA64A2">
                <w:pPr>
                  <w:pStyle w:val="Tablefont"/>
                  <w:keepLines/>
                  <w:spacing w:before="40" w:after="40"/>
                </w:pPr>
                <w:r>
                  <w:t>Insufficient data</w:t>
                </w:r>
              </w:p>
            </w:tc>
          </w:sdtContent>
        </w:sdt>
      </w:tr>
      <w:tr w:rsidR="00640D1D" w14:paraId="4D6DDFA3" w14:textId="77777777" w:rsidTr="00900BC0">
        <w:trPr>
          <w:trHeight w:val="454"/>
        </w:trPr>
        <w:sdt>
          <w:sdtPr>
            <w:rPr>
              <w:b/>
            </w:rPr>
            <w:id w:val="1830936485"/>
            <w:placeholder>
              <w:docPart w:val="00F70FF042204C95B5335CC2AC584C55"/>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18F36B73" w14:textId="792FB024" w:rsidR="00640D1D" w:rsidRDefault="00640D1D" w:rsidP="00AA64A2">
                <w:pPr>
                  <w:pStyle w:val="Tablefont"/>
                  <w:keepLines/>
                  <w:spacing w:before="40" w:after="40"/>
                </w:pPr>
                <w:r>
                  <w:rPr>
                    <w:b/>
                  </w:rPr>
                  <w:t>Insufficient data are available to determine if the chemical is a non-threshold based genotoxic carcinogen.</w:t>
                </w:r>
              </w:p>
            </w:tc>
          </w:sdtContent>
        </w:sdt>
      </w:tr>
    </w:tbl>
    <w:bookmarkEnd w:id="1"/>
    <w:p w14:paraId="3F27FA04" w14:textId="77777777" w:rsidR="00687890" w:rsidRPr="004C23F4" w:rsidRDefault="00B479A9" w:rsidP="002328AD">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652E2B21" w14:textId="77777777" w:rsidTr="00FC0E2C">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7BAF3EEC" w14:textId="77777777" w:rsidR="00687890" w:rsidRPr="004C23F4" w:rsidRDefault="00687890" w:rsidP="00AA64A2">
            <w:pPr>
              <w:pStyle w:val="Tableheader"/>
              <w:keepNext/>
            </w:pPr>
            <w:bookmarkStart w:id="2" w:name="Notations"/>
            <w:r w:rsidRPr="004C23F4">
              <w:t>Source</w:t>
            </w:r>
          </w:p>
        </w:tc>
        <w:tc>
          <w:tcPr>
            <w:tcW w:w="6015" w:type="dxa"/>
            <w:shd w:val="clear" w:color="auto" w:fill="BFBFBF" w:themeFill="background1" w:themeFillShade="BF"/>
            <w:vAlign w:val="center"/>
          </w:tcPr>
          <w:p w14:paraId="0D0DCAEA" w14:textId="77777777" w:rsidR="00687890" w:rsidRPr="004C23F4" w:rsidRDefault="00687890" w:rsidP="00AA64A2">
            <w:pPr>
              <w:pStyle w:val="Tableheader"/>
              <w:keepNext/>
              <w:tabs>
                <w:tab w:val="right" w:pos="5272"/>
              </w:tabs>
            </w:pPr>
            <w:r w:rsidRPr="004C23F4">
              <w:t>Notations</w:t>
            </w:r>
            <w:r w:rsidR="003A2B94">
              <w:tab/>
            </w:r>
          </w:p>
        </w:tc>
      </w:tr>
      <w:tr w:rsidR="00687890" w:rsidRPr="004C23F4" w14:paraId="32D44898" w14:textId="77777777" w:rsidTr="00FC0E2C">
        <w:trPr>
          <w:cantSplit/>
        </w:trPr>
        <w:tc>
          <w:tcPr>
            <w:tcW w:w="3227" w:type="dxa"/>
          </w:tcPr>
          <w:p w14:paraId="37396CB4" w14:textId="77777777" w:rsidR="004079B4" w:rsidRPr="004C23F4" w:rsidRDefault="00084513" w:rsidP="00AA64A2">
            <w:pPr>
              <w:pStyle w:val="Tablefont"/>
              <w:keepNext/>
            </w:pPr>
            <w:r w:rsidRPr="004C23F4">
              <w:t>SWA</w:t>
            </w:r>
          </w:p>
        </w:tc>
        <w:tc>
          <w:tcPr>
            <w:tcW w:w="6015" w:type="dxa"/>
          </w:tcPr>
          <w:p w14:paraId="310BF575" w14:textId="0A3AD5C7" w:rsidR="00687890" w:rsidRPr="00DD2F9B" w:rsidRDefault="00736002" w:rsidP="00AA64A2">
            <w:pPr>
              <w:pStyle w:val="Tablefont"/>
              <w:keepNext/>
            </w:pPr>
            <w:r w:rsidRPr="00736002">
              <w:t>Sen</w:t>
            </w:r>
          </w:p>
        </w:tc>
      </w:tr>
      <w:tr w:rsidR="007925F0" w:rsidRPr="004C23F4" w14:paraId="2A0C13EF" w14:textId="77777777" w:rsidTr="00FC0E2C">
        <w:trPr>
          <w:cantSplit/>
        </w:trPr>
        <w:tc>
          <w:tcPr>
            <w:tcW w:w="3227" w:type="dxa"/>
          </w:tcPr>
          <w:p w14:paraId="14F1C6D0" w14:textId="77777777" w:rsidR="004079B4" w:rsidRPr="004C23F4" w:rsidRDefault="007925F0" w:rsidP="00AA64A2">
            <w:pPr>
              <w:pStyle w:val="Tablefont"/>
              <w:keepNext/>
            </w:pPr>
            <w:r>
              <w:t>HCIS</w:t>
            </w:r>
          </w:p>
        </w:tc>
        <w:tc>
          <w:tcPr>
            <w:tcW w:w="6015" w:type="dxa"/>
          </w:tcPr>
          <w:p w14:paraId="1A64DA01" w14:textId="38C0F6D4" w:rsidR="007925F0" w:rsidRPr="00DD2F9B" w:rsidRDefault="00736002" w:rsidP="00AA64A2">
            <w:pPr>
              <w:pStyle w:val="Tablefont"/>
              <w:keepNext/>
            </w:pPr>
            <w:r w:rsidRPr="00736002">
              <w:t>—</w:t>
            </w:r>
          </w:p>
        </w:tc>
      </w:tr>
      <w:tr w:rsidR="00AF483F" w:rsidRPr="004C23F4" w14:paraId="4C1044B3" w14:textId="77777777" w:rsidTr="00FC0E2C">
        <w:trPr>
          <w:cantSplit/>
        </w:trPr>
        <w:tc>
          <w:tcPr>
            <w:tcW w:w="3227" w:type="dxa"/>
          </w:tcPr>
          <w:p w14:paraId="2C657AD0" w14:textId="77777777" w:rsidR="00AF483F" w:rsidRPr="004C23F4" w:rsidRDefault="00AF483F" w:rsidP="00AA64A2">
            <w:pPr>
              <w:pStyle w:val="Tablefont"/>
              <w:keepNext/>
            </w:pPr>
            <w:r>
              <w:t>NICNAS</w:t>
            </w:r>
          </w:p>
        </w:tc>
        <w:tc>
          <w:tcPr>
            <w:tcW w:w="6015" w:type="dxa"/>
          </w:tcPr>
          <w:p w14:paraId="4C253FE0" w14:textId="04A3E0C9" w:rsidR="00AF483F" w:rsidRPr="00DD2F9B" w:rsidRDefault="00736002" w:rsidP="00AA64A2">
            <w:pPr>
              <w:pStyle w:val="Tablefont"/>
              <w:keepNext/>
            </w:pPr>
            <w:r>
              <w:t>NA</w:t>
            </w:r>
          </w:p>
        </w:tc>
      </w:tr>
      <w:tr w:rsidR="00687890" w:rsidRPr="004C23F4" w14:paraId="7812F0EC" w14:textId="77777777" w:rsidTr="00FC0E2C">
        <w:trPr>
          <w:cantSplit/>
        </w:trPr>
        <w:tc>
          <w:tcPr>
            <w:tcW w:w="3227" w:type="dxa"/>
          </w:tcPr>
          <w:p w14:paraId="27285614" w14:textId="77777777" w:rsidR="004079B4" w:rsidRPr="004C23F4" w:rsidRDefault="00687890" w:rsidP="00AA64A2">
            <w:pPr>
              <w:pStyle w:val="Tablefont"/>
              <w:keepNext/>
            </w:pPr>
            <w:r w:rsidRPr="004C23F4">
              <w:t>EU Annex</w:t>
            </w:r>
          </w:p>
        </w:tc>
        <w:tc>
          <w:tcPr>
            <w:tcW w:w="6015" w:type="dxa"/>
          </w:tcPr>
          <w:p w14:paraId="517B08F1" w14:textId="68EDFB02" w:rsidR="00687890" w:rsidRPr="00DD2F9B" w:rsidRDefault="00736002" w:rsidP="00AA64A2">
            <w:pPr>
              <w:pStyle w:val="Tablefont"/>
              <w:keepNext/>
            </w:pPr>
            <w:r>
              <w:t>NA</w:t>
            </w:r>
          </w:p>
        </w:tc>
      </w:tr>
      <w:tr w:rsidR="00E41A26" w:rsidRPr="004C23F4" w14:paraId="403F0800" w14:textId="77777777" w:rsidTr="00FC0E2C">
        <w:trPr>
          <w:cantSplit/>
        </w:trPr>
        <w:tc>
          <w:tcPr>
            <w:tcW w:w="3227" w:type="dxa"/>
          </w:tcPr>
          <w:p w14:paraId="09B172BE" w14:textId="77777777" w:rsidR="00E41A26" w:rsidRDefault="00E41A26" w:rsidP="00AA64A2">
            <w:pPr>
              <w:pStyle w:val="Tablefont"/>
              <w:keepNext/>
            </w:pPr>
            <w:r>
              <w:t>ECHA</w:t>
            </w:r>
          </w:p>
        </w:tc>
        <w:tc>
          <w:tcPr>
            <w:tcW w:w="6015" w:type="dxa"/>
          </w:tcPr>
          <w:p w14:paraId="778B90CD" w14:textId="6F9AA2D4" w:rsidR="00E41A26" w:rsidRPr="00DD2F9B" w:rsidRDefault="00736002" w:rsidP="00AA64A2">
            <w:pPr>
              <w:pStyle w:val="Tablefont"/>
              <w:keepNext/>
            </w:pPr>
            <w:r w:rsidRPr="00736002">
              <w:t>—</w:t>
            </w:r>
          </w:p>
        </w:tc>
      </w:tr>
      <w:tr w:rsidR="002E0D61" w:rsidRPr="004C23F4" w14:paraId="57A490EF" w14:textId="77777777" w:rsidTr="00FC0E2C">
        <w:trPr>
          <w:cantSplit/>
        </w:trPr>
        <w:tc>
          <w:tcPr>
            <w:tcW w:w="3227" w:type="dxa"/>
          </w:tcPr>
          <w:p w14:paraId="4D22C7D5" w14:textId="77777777" w:rsidR="004079B4" w:rsidRPr="004C23F4" w:rsidRDefault="002E0D61" w:rsidP="00AA64A2">
            <w:pPr>
              <w:pStyle w:val="Tablefont"/>
              <w:keepNext/>
            </w:pPr>
            <w:r>
              <w:t>ACGIH</w:t>
            </w:r>
          </w:p>
        </w:tc>
        <w:tc>
          <w:tcPr>
            <w:tcW w:w="6015" w:type="dxa"/>
          </w:tcPr>
          <w:p w14:paraId="4A591C6E" w14:textId="5B7B25C0" w:rsidR="002E0D61" w:rsidRPr="00DD2F9B" w:rsidRDefault="00736002" w:rsidP="00AA64A2">
            <w:pPr>
              <w:pStyle w:val="Tablefont"/>
              <w:keepNext/>
            </w:pPr>
            <w:r w:rsidRPr="00736002">
              <w:t>—</w:t>
            </w:r>
          </w:p>
        </w:tc>
      </w:tr>
      <w:tr w:rsidR="002E0D61" w:rsidRPr="004C23F4" w14:paraId="43FA3590" w14:textId="77777777" w:rsidTr="00FC0E2C">
        <w:trPr>
          <w:cantSplit/>
        </w:trPr>
        <w:tc>
          <w:tcPr>
            <w:tcW w:w="3227" w:type="dxa"/>
          </w:tcPr>
          <w:p w14:paraId="5F590D05" w14:textId="77777777" w:rsidR="004079B4" w:rsidRPr="004C23F4" w:rsidRDefault="002E0D61" w:rsidP="00AA64A2">
            <w:pPr>
              <w:pStyle w:val="Tablefont"/>
              <w:keepNext/>
            </w:pPr>
            <w:r>
              <w:t>DFG</w:t>
            </w:r>
          </w:p>
        </w:tc>
        <w:tc>
          <w:tcPr>
            <w:tcW w:w="6015" w:type="dxa"/>
          </w:tcPr>
          <w:p w14:paraId="76555DBE" w14:textId="4B7F9818" w:rsidR="002E0D61" w:rsidRPr="00DD2F9B" w:rsidRDefault="00736002" w:rsidP="00AA64A2">
            <w:pPr>
              <w:pStyle w:val="Tablefont"/>
              <w:keepNext/>
            </w:pPr>
            <w:r w:rsidRPr="00736002">
              <w:t>Carcinogenicity – 3B</w:t>
            </w:r>
            <w:r>
              <w:t xml:space="preserve">, </w:t>
            </w:r>
            <w:r w:rsidRPr="00736002">
              <w:t>H (skin)</w:t>
            </w:r>
            <w:r>
              <w:t xml:space="preserve">, </w:t>
            </w:r>
            <w:proofErr w:type="spellStart"/>
            <w:r w:rsidRPr="00736002">
              <w:t>Sh</w:t>
            </w:r>
            <w:proofErr w:type="spellEnd"/>
            <w:r w:rsidRPr="00736002">
              <w:t xml:space="preserve"> (dermal sensitiser)</w:t>
            </w:r>
          </w:p>
        </w:tc>
        <w:bookmarkStart w:id="3" w:name="_GoBack"/>
        <w:bookmarkEnd w:id="3"/>
      </w:tr>
      <w:tr w:rsidR="002E0D61" w:rsidRPr="004C23F4" w14:paraId="2AC7B866" w14:textId="77777777" w:rsidTr="00FC0E2C">
        <w:trPr>
          <w:cantSplit/>
        </w:trPr>
        <w:tc>
          <w:tcPr>
            <w:tcW w:w="3227" w:type="dxa"/>
          </w:tcPr>
          <w:p w14:paraId="70E5B2BF" w14:textId="77777777" w:rsidR="004079B4" w:rsidRPr="004C23F4" w:rsidRDefault="002E0D61" w:rsidP="00AA64A2">
            <w:pPr>
              <w:pStyle w:val="Tablefont"/>
              <w:keepNext/>
            </w:pPr>
            <w:r>
              <w:t>SCOEL</w:t>
            </w:r>
          </w:p>
        </w:tc>
        <w:tc>
          <w:tcPr>
            <w:tcW w:w="6015" w:type="dxa"/>
          </w:tcPr>
          <w:p w14:paraId="370736A2" w14:textId="4E5E293E" w:rsidR="002E0D61" w:rsidRPr="00DD2F9B" w:rsidRDefault="00736002" w:rsidP="00AA64A2">
            <w:pPr>
              <w:pStyle w:val="Tablefont"/>
              <w:keepNext/>
            </w:pPr>
            <w:r>
              <w:t>NA</w:t>
            </w:r>
          </w:p>
        </w:tc>
      </w:tr>
      <w:tr w:rsidR="002E0D61" w:rsidRPr="004C23F4" w14:paraId="1BE6EC07" w14:textId="77777777" w:rsidTr="00FC0E2C">
        <w:trPr>
          <w:cantSplit/>
        </w:trPr>
        <w:tc>
          <w:tcPr>
            <w:tcW w:w="3227" w:type="dxa"/>
          </w:tcPr>
          <w:p w14:paraId="4AF9E8D6" w14:textId="77777777" w:rsidR="004079B4" w:rsidRDefault="002E0D61" w:rsidP="00AA64A2">
            <w:pPr>
              <w:pStyle w:val="Tablefont"/>
              <w:keepNext/>
            </w:pPr>
            <w:r>
              <w:t>HCOTN</w:t>
            </w:r>
          </w:p>
        </w:tc>
        <w:tc>
          <w:tcPr>
            <w:tcW w:w="6015" w:type="dxa"/>
          </w:tcPr>
          <w:p w14:paraId="70663407" w14:textId="420727AE" w:rsidR="002E0D61" w:rsidRPr="00DD2F9B" w:rsidRDefault="00736002" w:rsidP="00AA64A2">
            <w:pPr>
              <w:pStyle w:val="Tablefont"/>
              <w:keepNext/>
            </w:pPr>
            <w:r>
              <w:t>NA</w:t>
            </w:r>
          </w:p>
        </w:tc>
      </w:tr>
      <w:tr w:rsidR="00386093" w:rsidRPr="004C23F4" w14:paraId="5F6A6A8E" w14:textId="77777777" w:rsidTr="00FC0E2C">
        <w:trPr>
          <w:cantSplit/>
        </w:trPr>
        <w:tc>
          <w:tcPr>
            <w:tcW w:w="3227" w:type="dxa"/>
          </w:tcPr>
          <w:p w14:paraId="04F98936" w14:textId="77777777" w:rsidR="004079B4" w:rsidRDefault="00386093" w:rsidP="00F4402E">
            <w:pPr>
              <w:pStyle w:val="Tablefont"/>
            </w:pPr>
            <w:r>
              <w:t>IARC</w:t>
            </w:r>
          </w:p>
        </w:tc>
        <w:tc>
          <w:tcPr>
            <w:tcW w:w="6015" w:type="dxa"/>
          </w:tcPr>
          <w:p w14:paraId="741186B9" w14:textId="0F1254B2" w:rsidR="00386093" w:rsidRPr="00DD2F9B" w:rsidRDefault="00736002" w:rsidP="00DD2F9B">
            <w:pPr>
              <w:pStyle w:val="Tablefont"/>
            </w:pPr>
            <w:r>
              <w:t>NA</w:t>
            </w:r>
          </w:p>
        </w:tc>
      </w:tr>
      <w:tr w:rsidR="00386093" w:rsidRPr="004C23F4" w14:paraId="7461DB0E" w14:textId="77777777" w:rsidTr="00FC0E2C">
        <w:trPr>
          <w:cantSplit/>
        </w:trPr>
        <w:tc>
          <w:tcPr>
            <w:tcW w:w="3227" w:type="dxa"/>
          </w:tcPr>
          <w:p w14:paraId="1086B376" w14:textId="77777777" w:rsidR="004079B4" w:rsidRDefault="00386093" w:rsidP="00F4402E">
            <w:pPr>
              <w:pStyle w:val="Tablefont"/>
              <w:keepNext/>
            </w:pPr>
            <w:r>
              <w:t>US NIOSH</w:t>
            </w:r>
          </w:p>
        </w:tc>
        <w:tc>
          <w:tcPr>
            <w:tcW w:w="6015" w:type="dxa"/>
          </w:tcPr>
          <w:p w14:paraId="1A9F8299" w14:textId="3F711205" w:rsidR="00386093" w:rsidRPr="00DD2F9B" w:rsidRDefault="00736002" w:rsidP="00D87570">
            <w:pPr>
              <w:pStyle w:val="Tablefont"/>
              <w:keepNext/>
            </w:pPr>
            <w:r>
              <w:t>NA</w:t>
            </w:r>
          </w:p>
        </w:tc>
      </w:tr>
    </w:tbl>
    <w:bookmarkEnd w:id="2"/>
    <w:p w14:paraId="691DA01E"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30949ECD"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314802BA" w14:textId="77777777" w:rsidTr="00EA6243">
        <w:trPr>
          <w:cantSplit/>
          <w:tblHeader/>
        </w:trPr>
        <w:tc>
          <w:tcPr>
            <w:tcW w:w="5000" w:type="pct"/>
            <w:shd w:val="clear" w:color="auto" w:fill="BFBFBF" w:themeFill="background1" w:themeFillShade="BF"/>
            <w:vAlign w:val="center"/>
          </w:tcPr>
          <w:p w14:paraId="509CFAA2"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5B6A4B72" w14:textId="77777777" w:rsidTr="00EA6243">
        <w:trPr>
          <w:cantSplit/>
          <w:tblHeader/>
        </w:trPr>
        <w:tc>
          <w:tcPr>
            <w:tcW w:w="5000" w:type="pct"/>
            <w:vAlign w:val="center"/>
          </w:tcPr>
          <w:p w14:paraId="329D664C" w14:textId="2829C967" w:rsidR="00932DCE" w:rsidRPr="004C23F4" w:rsidRDefault="004B38D4" w:rsidP="00F9496B">
            <w:pPr>
              <w:pStyle w:val="Tablefont"/>
            </w:pPr>
            <w:r>
              <w:t>Insufficient data to</w:t>
            </w:r>
            <w:r w:rsidR="002328AD">
              <w:t xml:space="preserve"> assign</w:t>
            </w:r>
            <w:r>
              <w:t xml:space="preserve"> a skin notation.</w:t>
            </w:r>
          </w:p>
        </w:tc>
      </w:tr>
    </w:tbl>
    <w:bookmarkEnd w:id="4"/>
    <w:p w14:paraId="17DD4C74"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6572C95" w14:textId="77777777" w:rsidTr="00610F2E">
        <w:trPr>
          <w:trHeight w:val="454"/>
          <w:tblHeader/>
        </w:trPr>
        <w:tc>
          <w:tcPr>
            <w:tcW w:w="4361" w:type="dxa"/>
            <w:vAlign w:val="center"/>
          </w:tcPr>
          <w:p w14:paraId="1FCAB12B"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DFB8CD9" w14:textId="60570A77" w:rsidR="00EB3D1B" w:rsidRDefault="00736002" w:rsidP="00EB3D1B">
                <w:pPr>
                  <w:pStyle w:val="Tablefont"/>
                </w:pPr>
                <w:r>
                  <w:t>Yes</w:t>
                </w:r>
              </w:p>
            </w:tc>
          </w:sdtContent>
        </w:sdt>
      </w:tr>
    </w:tbl>
    <w:p w14:paraId="09564279"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20151388" w14:textId="77777777" w:rsidTr="00EA6243">
        <w:trPr>
          <w:cantSplit/>
          <w:tblHeader/>
        </w:trPr>
        <w:tc>
          <w:tcPr>
            <w:tcW w:w="4077" w:type="dxa"/>
            <w:vAlign w:val="center"/>
          </w:tcPr>
          <w:p w14:paraId="4D40D6A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B769A95" w14:textId="1404775C" w:rsidR="001B79E5" w:rsidRDefault="00736002" w:rsidP="001B79E5">
                <w:pPr>
                  <w:pStyle w:val="Tablefont"/>
                </w:pPr>
                <w:r w:rsidRPr="00736002">
                  <w:t>173.94</w:t>
                </w:r>
              </w:p>
            </w:tc>
          </w:sdtContent>
        </w:sdt>
      </w:tr>
      <w:tr w:rsidR="00A31D99" w:rsidRPr="004C23F4" w14:paraId="4D7C99C9" w14:textId="77777777" w:rsidTr="00EA6243">
        <w:trPr>
          <w:cantSplit/>
          <w:tblHeader/>
        </w:trPr>
        <w:tc>
          <w:tcPr>
            <w:tcW w:w="4077" w:type="dxa"/>
            <w:vAlign w:val="center"/>
          </w:tcPr>
          <w:p w14:paraId="639B143B"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4F6414BE" w14:textId="2538E5E6" w:rsidR="00A31D99" w:rsidRDefault="00A0643F" w:rsidP="00A174CC">
            <w:pPr>
              <w:pStyle w:val="Tablefont"/>
            </w:pPr>
            <w:r>
              <w:t xml:space="preserve">1 ppm = </w:t>
            </w:r>
            <w:sdt>
              <w:sdtPr>
                <w:id w:val="-371151491"/>
                <w:placeholder>
                  <w:docPart w:val="A7231FB73EFF4B2B92EB3BD21C0CEA01"/>
                </w:placeholder>
              </w:sdtPr>
              <w:sdtEndPr/>
              <w:sdtContent>
                <w:r w:rsidR="00212C72">
                  <w:t>7.12</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212C72" w:rsidRPr="00212C72">
                  <w:t>0.14</w:t>
                </w:r>
              </w:sdtContent>
            </w:sdt>
            <w:r>
              <w:t xml:space="preserve"> ppm</w:t>
            </w:r>
          </w:p>
        </w:tc>
      </w:tr>
      <w:tr w:rsidR="00687890" w:rsidRPr="004C23F4" w14:paraId="64400DD3" w14:textId="77777777" w:rsidTr="00EA6243">
        <w:trPr>
          <w:cantSplit/>
          <w:tblHeader/>
        </w:trPr>
        <w:tc>
          <w:tcPr>
            <w:tcW w:w="4077" w:type="dxa"/>
            <w:vAlign w:val="center"/>
          </w:tcPr>
          <w:p w14:paraId="402488EA"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54A54B21"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348B99DA" w14:textId="77777777" w:rsidTr="00EA6243">
        <w:trPr>
          <w:cantSplit/>
        </w:trPr>
        <w:tc>
          <w:tcPr>
            <w:tcW w:w="4077" w:type="dxa"/>
            <w:vAlign w:val="center"/>
          </w:tcPr>
          <w:p w14:paraId="085F3385"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7481CF4"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4A425D20" w14:textId="77777777" w:rsidTr="00EA6243">
        <w:trPr>
          <w:cantSplit/>
        </w:trPr>
        <w:tc>
          <w:tcPr>
            <w:tcW w:w="4077" w:type="dxa"/>
            <w:vAlign w:val="center"/>
          </w:tcPr>
          <w:p w14:paraId="6A9A1889" w14:textId="77777777" w:rsidR="00687890" w:rsidRPr="00263255" w:rsidRDefault="00687890" w:rsidP="00263255">
            <w:pPr>
              <w:pStyle w:val="Tablefont"/>
            </w:pPr>
            <w:r w:rsidRPr="00263255">
              <w:lastRenderedPageBreak/>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34AC1F87"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0C457149" w14:textId="77777777" w:rsidTr="00EA6243">
        <w:trPr>
          <w:cantSplit/>
        </w:trPr>
        <w:tc>
          <w:tcPr>
            <w:tcW w:w="4077" w:type="dxa"/>
            <w:vAlign w:val="center"/>
          </w:tcPr>
          <w:p w14:paraId="6EFB81B8"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41AC5BAA" w14:textId="77777777" w:rsidR="00E06F40" w:rsidRPr="00A006A0" w:rsidRDefault="00FC0E2C"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5F17BFE8"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1A6A40EF" w14:textId="77777777" w:rsidTr="00F053FA">
        <w:trPr>
          <w:tblHeader/>
        </w:trPr>
        <w:tc>
          <w:tcPr>
            <w:tcW w:w="4077" w:type="dxa"/>
            <w:shd w:val="clear" w:color="auto" w:fill="BFBFBF" w:themeFill="background1" w:themeFillShade="BF"/>
            <w:vAlign w:val="center"/>
          </w:tcPr>
          <w:p w14:paraId="2D29FE93"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3F181855" w14:textId="77777777" w:rsidR="00224EE2" w:rsidRPr="004C23F4" w:rsidRDefault="00224EE2" w:rsidP="00EB3D1B">
            <w:pPr>
              <w:pStyle w:val="Tableheader"/>
              <w:keepNext/>
              <w:keepLines/>
            </w:pPr>
            <w:r>
              <w:t>Standard</w:t>
            </w:r>
          </w:p>
        </w:tc>
      </w:tr>
      <w:tr w:rsidR="007F1005" w:rsidRPr="004C23F4" w14:paraId="0A8EDFF7" w14:textId="77777777" w:rsidTr="00F053FA">
        <w:trPr>
          <w:tblHeader/>
        </w:trPr>
        <w:sdt>
          <w:sdtPr>
            <w:id w:val="-25557549"/>
            <w:placeholder>
              <w:docPart w:val="2BF891C0AB704CDAB9BC6E80D556473F"/>
            </w:placeholder>
            <w:showingPlcHdr/>
            <w:text/>
          </w:sdtPr>
          <w:sdtEndPr/>
          <w:sdtContent>
            <w:tc>
              <w:tcPr>
                <w:tcW w:w="4077" w:type="dxa"/>
                <w:vAlign w:val="center"/>
              </w:tcPr>
              <w:p w14:paraId="7949D24F"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0161776" w14:textId="77777777" w:rsidR="007F1005" w:rsidRPr="004C23F4" w:rsidRDefault="007F1005" w:rsidP="00EB3D1B">
            <w:pPr>
              <w:pStyle w:val="Tablefont"/>
              <w:keepLines/>
            </w:pPr>
          </w:p>
        </w:tc>
      </w:tr>
    </w:tbl>
    <w:bookmarkEnd w:id="5"/>
    <w:p w14:paraId="2632AEE5" w14:textId="77777777" w:rsidR="00F87D92" w:rsidRDefault="00F87D92" w:rsidP="00EF7F78">
      <w:pPr>
        <w:pStyle w:val="Heading2"/>
        <w:tabs>
          <w:tab w:val="right" w:pos="8505"/>
        </w:tabs>
      </w:pPr>
      <w:r>
        <w:t>References</w:t>
      </w:r>
      <w:r w:rsidR="00EF7F78">
        <w:tab/>
      </w:r>
    </w:p>
    <w:p w14:paraId="016C4875"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32246C00" w14:textId="1B93CA7C" w:rsidR="008E4F1F" w:rsidRDefault="008E4F1F" w:rsidP="008E4F1F">
      <w:pPr>
        <w:rPr>
          <w:b/>
        </w:rPr>
      </w:pPr>
      <w:r w:rsidRPr="002022B6">
        <w:t xml:space="preserve">Deutsche </w:t>
      </w:r>
      <w:proofErr w:type="spellStart"/>
      <w:r w:rsidRPr="002022B6">
        <w:t>Forschungsgemeinschaft</w:t>
      </w:r>
      <w:proofErr w:type="spellEnd"/>
      <w:r w:rsidRPr="002022B6">
        <w:t xml:space="preserve"> (DFG)</w:t>
      </w:r>
      <w:r>
        <w:t xml:space="preserve"> (</w:t>
      </w:r>
      <w:r w:rsidR="00736002">
        <w:t>1998</w:t>
      </w:r>
      <w:r>
        <w:t xml:space="preserve">) </w:t>
      </w:r>
      <w:r w:rsidR="00736002" w:rsidRPr="00736002">
        <w:t>N-Methyl-N,2,4,6-tetranitroaniline</w:t>
      </w:r>
      <w:r>
        <w:t xml:space="preserve"> – MAK value documentation.</w:t>
      </w:r>
    </w:p>
    <w:p w14:paraId="6139FA55" w14:textId="77777777" w:rsidR="002328AD" w:rsidRDefault="002328AD" w:rsidP="002328AD">
      <w:pPr>
        <w:rPr>
          <w:b/>
        </w:rPr>
      </w:pPr>
      <w:r>
        <w:t>European Chemicals Agency (ECHA) (2019) Tetryl – REACH assessment.</w:t>
      </w:r>
    </w:p>
    <w:p w14:paraId="77EFB18B" w14:textId="3218CDAA" w:rsidR="008E4F1F" w:rsidRDefault="008E4F1F" w:rsidP="008E4F1F">
      <w:r w:rsidRPr="00D86E03">
        <w:t>US National Institute for Occupational Safety and Health (NIOSH)</w:t>
      </w:r>
      <w:r>
        <w:t xml:space="preserve"> (</w:t>
      </w:r>
      <w:r w:rsidR="00736002" w:rsidRPr="00736002">
        <w:t>1994</w:t>
      </w:r>
      <w:r>
        <w:t xml:space="preserve">) Immediately dangerous to life or health concentrations – </w:t>
      </w:r>
      <w:r w:rsidR="00736002" w:rsidRPr="00736002">
        <w:t>Tetryl</w:t>
      </w:r>
      <w:r>
        <w:t>.</w:t>
      </w:r>
    </w:p>
    <w:p w14:paraId="417B0753"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6C31E" w14:textId="77777777" w:rsidR="00A01FE1" w:rsidRDefault="00A01FE1" w:rsidP="00F43AD5">
      <w:pPr>
        <w:spacing w:after="0" w:line="240" w:lineRule="auto"/>
      </w:pPr>
      <w:r>
        <w:separator/>
      </w:r>
    </w:p>
  </w:endnote>
  <w:endnote w:type="continuationSeparator" w:id="0">
    <w:p w14:paraId="53E87FCF" w14:textId="77777777" w:rsidR="00A01FE1" w:rsidRDefault="00A01FE1"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EE74" w14:textId="77777777" w:rsidR="00FC0E2C" w:rsidRDefault="00FC0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39026E62" w14:textId="1CAB2713" w:rsidR="008A36CF" w:rsidRDefault="00F421C5" w:rsidP="0034744C">
        <w:pPr>
          <w:pStyle w:val="Footer"/>
          <w:rPr>
            <w:sz w:val="18"/>
            <w:szCs w:val="18"/>
          </w:rPr>
        </w:pPr>
        <w:r w:rsidRPr="00F421C5">
          <w:rPr>
            <w:b/>
            <w:sz w:val="18"/>
            <w:szCs w:val="18"/>
          </w:rPr>
          <w:t xml:space="preserve">Tetryl </w:t>
        </w:r>
        <w:r w:rsidR="008A36CF">
          <w:rPr>
            <w:b/>
            <w:sz w:val="18"/>
            <w:szCs w:val="18"/>
          </w:rPr>
          <w:t>(</w:t>
        </w:r>
        <w:r w:rsidRPr="00F421C5">
          <w:rPr>
            <w:b/>
            <w:sz w:val="18"/>
            <w:szCs w:val="18"/>
          </w:rPr>
          <w:t>479-45-8</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w:t>
        </w:r>
        <w:r w:rsidR="00AA64A2" w:rsidRPr="00F43AD5">
          <w:rPr>
            <w:sz w:val="18"/>
            <w:szCs w:val="18"/>
          </w:rPr>
          <w:t>20</w:t>
        </w:r>
        <w:r w:rsidR="00AA64A2">
          <w:rPr>
            <w:sz w:val="18"/>
            <w:szCs w:val="18"/>
          </w:rPr>
          <w:t>20</w:t>
        </w:r>
      </w:p>
      <w:p w14:paraId="2D517F5E" w14:textId="68EA0611"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16538D">
          <w:rPr>
            <w:noProof/>
            <w:sz w:val="18"/>
            <w:szCs w:val="18"/>
          </w:rPr>
          <w:t>1</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0F37" w14:textId="77777777" w:rsidR="00FC0E2C" w:rsidRDefault="00FC0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4F2F" w14:textId="77777777" w:rsidR="00A01FE1" w:rsidRDefault="00A01FE1" w:rsidP="00F43AD5">
      <w:pPr>
        <w:spacing w:after="0" w:line="240" w:lineRule="auto"/>
      </w:pPr>
      <w:r>
        <w:separator/>
      </w:r>
    </w:p>
  </w:footnote>
  <w:footnote w:type="continuationSeparator" w:id="0">
    <w:p w14:paraId="04377C55" w14:textId="77777777" w:rsidR="00A01FE1" w:rsidRDefault="00A01FE1"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F5BC" w14:textId="77777777" w:rsidR="00FC0E2C" w:rsidRDefault="00FC0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E4339" w14:textId="0C726807" w:rsidR="00FC0E2C" w:rsidRDefault="00FC0E2C" w:rsidP="00FC0E2C">
    <w:pPr>
      <w:pStyle w:val="Header"/>
      <w:jc w:val="right"/>
    </w:pPr>
    <w:r>
      <w:pict w14:anchorId="409D3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6145"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6B2B6212" wp14:editId="4440FE8E">
          <wp:extent cx="2957195" cy="605790"/>
          <wp:effectExtent l="0" t="0" r="0" b="381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50" cy="609600"/>
                  </a:xfrm>
                  <a:prstGeom prst="rect">
                    <a:avLst/>
                  </a:prstGeom>
                </pic:spPr>
              </pic:pic>
            </a:graphicData>
          </a:graphic>
        </wp:inline>
      </w:drawing>
    </w:r>
  </w:p>
  <w:p w14:paraId="0D45D720" w14:textId="77777777" w:rsidR="00FC0E2C" w:rsidRDefault="00FC0E2C" w:rsidP="00FC0E2C">
    <w:pPr>
      <w:pStyle w:val="Header"/>
    </w:pPr>
  </w:p>
  <w:p w14:paraId="4DAA8792" w14:textId="19A7420A" w:rsidR="008A36CF" w:rsidRPr="00FC0E2C" w:rsidRDefault="008A36CF" w:rsidP="00FC0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27BC" w14:textId="77777777" w:rsidR="00FC0E2C" w:rsidRDefault="00FC0E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B652" w14:textId="2BD98F16" w:rsidR="00FC0E2C" w:rsidRDefault="00FC0E2C" w:rsidP="00FC0E2C">
    <w:pPr>
      <w:pStyle w:val="Header"/>
      <w:jc w:val="right"/>
    </w:pPr>
    <w:r>
      <w:pict w14:anchorId="7F07B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65D0ACE5" wp14:editId="24F02574">
          <wp:extent cx="2957195" cy="605790"/>
          <wp:effectExtent l="0" t="0" r="0" b="3810"/>
          <wp:docPr id="2" name="Picture 2"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50" cy="609600"/>
                  </a:xfrm>
                  <a:prstGeom prst="rect">
                    <a:avLst/>
                  </a:prstGeom>
                </pic:spPr>
              </pic:pic>
            </a:graphicData>
          </a:graphic>
        </wp:inline>
      </w:drawing>
    </w:r>
  </w:p>
  <w:p w14:paraId="51B01532" w14:textId="77777777" w:rsidR="00FC0E2C" w:rsidRDefault="00FC0E2C" w:rsidP="00FC0E2C">
    <w:pPr>
      <w:pStyle w:val="Header"/>
    </w:pPr>
  </w:p>
  <w:p w14:paraId="71F09FB4" w14:textId="77777777" w:rsidR="008A36CF" w:rsidRDefault="008A36CF"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A68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75578"/>
    <w:multiLevelType w:val="hybridMultilevel"/>
    <w:tmpl w:val="4AF8730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794CD7"/>
    <w:multiLevelType w:val="hybridMultilevel"/>
    <w:tmpl w:val="27E27C5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AD0658F"/>
    <w:multiLevelType w:val="hybridMultilevel"/>
    <w:tmpl w:val="E6FCD0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DF75341"/>
    <w:multiLevelType w:val="hybridMultilevel"/>
    <w:tmpl w:val="08341E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DFB5B6F"/>
    <w:multiLevelType w:val="hybridMultilevel"/>
    <w:tmpl w:val="DA90680E"/>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5435"/>
    <w:rsid w:val="00007B80"/>
    <w:rsid w:val="00010D73"/>
    <w:rsid w:val="00013A22"/>
    <w:rsid w:val="00014C3F"/>
    <w:rsid w:val="00017C82"/>
    <w:rsid w:val="00032B88"/>
    <w:rsid w:val="00037E52"/>
    <w:rsid w:val="000453D4"/>
    <w:rsid w:val="00046DF5"/>
    <w:rsid w:val="00052060"/>
    <w:rsid w:val="0005574A"/>
    <w:rsid w:val="00055FE1"/>
    <w:rsid w:val="00056EC2"/>
    <w:rsid w:val="00060B48"/>
    <w:rsid w:val="00064A5E"/>
    <w:rsid w:val="00067F32"/>
    <w:rsid w:val="00071807"/>
    <w:rsid w:val="000803E1"/>
    <w:rsid w:val="00084513"/>
    <w:rsid w:val="00084859"/>
    <w:rsid w:val="00092D94"/>
    <w:rsid w:val="000B0868"/>
    <w:rsid w:val="000B3E12"/>
    <w:rsid w:val="000B3E78"/>
    <w:rsid w:val="000B7B48"/>
    <w:rsid w:val="000C096D"/>
    <w:rsid w:val="000C139A"/>
    <w:rsid w:val="000C2053"/>
    <w:rsid w:val="000C248C"/>
    <w:rsid w:val="000C76AC"/>
    <w:rsid w:val="000D0643"/>
    <w:rsid w:val="000D291C"/>
    <w:rsid w:val="000E5A54"/>
    <w:rsid w:val="000E63D3"/>
    <w:rsid w:val="000E67CF"/>
    <w:rsid w:val="0010461E"/>
    <w:rsid w:val="001061FA"/>
    <w:rsid w:val="00106FAA"/>
    <w:rsid w:val="00113443"/>
    <w:rsid w:val="001269A7"/>
    <w:rsid w:val="00131092"/>
    <w:rsid w:val="00140E6A"/>
    <w:rsid w:val="00141E73"/>
    <w:rsid w:val="00146545"/>
    <w:rsid w:val="00146B75"/>
    <w:rsid w:val="0015266D"/>
    <w:rsid w:val="0015288A"/>
    <w:rsid w:val="00155999"/>
    <w:rsid w:val="00160F47"/>
    <w:rsid w:val="00163BAB"/>
    <w:rsid w:val="0016538D"/>
    <w:rsid w:val="00177CA1"/>
    <w:rsid w:val="00183823"/>
    <w:rsid w:val="00183942"/>
    <w:rsid w:val="001915F6"/>
    <w:rsid w:val="001A009E"/>
    <w:rsid w:val="001A1287"/>
    <w:rsid w:val="001A3859"/>
    <w:rsid w:val="001A3C9D"/>
    <w:rsid w:val="001A43F8"/>
    <w:rsid w:val="001B79E5"/>
    <w:rsid w:val="001D56F0"/>
    <w:rsid w:val="001D663B"/>
    <w:rsid w:val="001D7B41"/>
    <w:rsid w:val="001E46DA"/>
    <w:rsid w:val="001E7D80"/>
    <w:rsid w:val="001F4B6C"/>
    <w:rsid w:val="001F62CB"/>
    <w:rsid w:val="001F6ED0"/>
    <w:rsid w:val="001F72E6"/>
    <w:rsid w:val="001F73C5"/>
    <w:rsid w:val="002046A6"/>
    <w:rsid w:val="00204956"/>
    <w:rsid w:val="00212C72"/>
    <w:rsid w:val="00213640"/>
    <w:rsid w:val="00221547"/>
    <w:rsid w:val="002216FC"/>
    <w:rsid w:val="00222533"/>
    <w:rsid w:val="00222F30"/>
    <w:rsid w:val="00224EE2"/>
    <w:rsid w:val="00227EC7"/>
    <w:rsid w:val="002328AD"/>
    <w:rsid w:val="00244AD1"/>
    <w:rsid w:val="002463BC"/>
    <w:rsid w:val="002465CE"/>
    <w:rsid w:val="0025734A"/>
    <w:rsid w:val="00263255"/>
    <w:rsid w:val="00276494"/>
    <w:rsid w:val="00277B0C"/>
    <w:rsid w:val="002B1A2C"/>
    <w:rsid w:val="002C34F2"/>
    <w:rsid w:val="002C4440"/>
    <w:rsid w:val="002C58FF"/>
    <w:rsid w:val="002C7AFE"/>
    <w:rsid w:val="002D05D2"/>
    <w:rsid w:val="002E0D61"/>
    <w:rsid w:val="002E4C7B"/>
    <w:rsid w:val="0030740C"/>
    <w:rsid w:val="00315833"/>
    <w:rsid w:val="003215EE"/>
    <w:rsid w:val="003224BF"/>
    <w:rsid w:val="003241A8"/>
    <w:rsid w:val="003253F0"/>
    <w:rsid w:val="003337DA"/>
    <w:rsid w:val="003340D3"/>
    <w:rsid w:val="00334EFB"/>
    <w:rsid w:val="00335CDE"/>
    <w:rsid w:val="003365A5"/>
    <w:rsid w:val="00347192"/>
    <w:rsid w:val="0034744C"/>
    <w:rsid w:val="00351FE0"/>
    <w:rsid w:val="00352615"/>
    <w:rsid w:val="0035412B"/>
    <w:rsid w:val="003567A8"/>
    <w:rsid w:val="00362895"/>
    <w:rsid w:val="003648B9"/>
    <w:rsid w:val="00370DBF"/>
    <w:rsid w:val="00371043"/>
    <w:rsid w:val="00386093"/>
    <w:rsid w:val="003904A4"/>
    <w:rsid w:val="00391841"/>
    <w:rsid w:val="00391B6D"/>
    <w:rsid w:val="00394922"/>
    <w:rsid w:val="003A0E32"/>
    <w:rsid w:val="003A2B94"/>
    <w:rsid w:val="003B387D"/>
    <w:rsid w:val="003C0D58"/>
    <w:rsid w:val="003D4FA3"/>
    <w:rsid w:val="003E0807"/>
    <w:rsid w:val="003E51FB"/>
    <w:rsid w:val="003E6B39"/>
    <w:rsid w:val="003F07E1"/>
    <w:rsid w:val="004030BC"/>
    <w:rsid w:val="00403F7D"/>
    <w:rsid w:val="00406785"/>
    <w:rsid w:val="004079B4"/>
    <w:rsid w:val="00414C8B"/>
    <w:rsid w:val="00417A56"/>
    <w:rsid w:val="00420957"/>
    <w:rsid w:val="00422A10"/>
    <w:rsid w:val="00430179"/>
    <w:rsid w:val="004349B0"/>
    <w:rsid w:val="004414B5"/>
    <w:rsid w:val="00444482"/>
    <w:rsid w:val="00444B42"/>
    <w:rsid w:val="00445E44"/>
    <w:rsid w:val="004509E2"/>
    <w:rsid w:val="004515EE"/>
    <w:rsid w:val="004529F0"/>
    <w:rsid w:val="00460A03"/>
    <w:rsid w:val="00472A11"/>
    <w:rsid w:val="00472AAD"/>
    <w:rsid w:val="00473560"/>
    <w:rsid w:val="00474E33"/>
    <w:rsid w:val="00476803"/>
    <w:rsid w:val="00485BFD"/>
    <w:rsid w:val="004867A2"/>
    <w:rsid w:val="004873F2"/>
    <w:rsid w:val="00490D4C"/>
    <w:rsid w:val="00493A35"/>
    <w:rsid w:val="00493EB1"/>
    <w:rsid w:val="0049527A"/>
    <w:rsid w:val="004966BF"/>
    <w:rsid w:val="00497984"/>
    <w:rsid w:val="004A5088"/>
    <w:rsid w:val="004B38D4"/>
    <w:rsid w:val="004C1E3F"/>
    <w:rsid w:val="004C23F4"/>
    <w:rsid w:val="004C3475"/>
    <w:rsid w:val="004C58B6"/>
    <w:rsid w:val="004D16A3"/>
    <w:rsid w:val="004D4AA1"/>
    <w:rsid w:val="004D6D68"/>
    <w:rsid w:val="004E5EDD"/>
    <w:rsid w:val="004F448A"/>
    <w:rsid w:val="004F493D"/>
    <w:rsid w:val="004F65E8"/>
    <w:rsid w:val="0050005E"/>
    <w:rsid w:val="00502B88"/>
    <w:rsid w:val="005142C4"/>
    <w:rsid w:val="0051509C"/>
    <w:rsid w:val="005272E2"/>
    <w:rsid w:val="0053108F"/>
    <w:rsid w:val="00532B56"/>
    <w:rsid w:val="00534B10"/>
    <w:rsid w:val="005446A2"/>
    <w:rsid w:val="00544D2F"/>
    <w:rsid w:val="00551BD8"/>
    <w:rsid w:val="00581055"/>
    <w:rsid w:val="00591E38"/>
    <w:rsid w:val="005A19C5"/>
    <w:rsid w:val="005A3034"/>
    <w:rsid w:val="005A462D"/>
    <w:rsid w:val="005B253B"/>
    <w:rsid w:val="005B771D"/>
    <w:rsid w:val="005C5D16"/>
    <w:rsid w:val="005D3193"/>
    <w:rsid w:val="005D4A6E"/>
    <w:rsid w:val="005E6979"/>
    <w:rsid w:val="005E75CB"/>
    <w:rsid w:val="006013C1"/>
    <w:rsid w:val="0060669E"/>
    <w:rsid w:val="00610F2E"/>
    <w:rsid w:val="00611399"/>
    <w:rsid w:val="00624A8A"/>
    <w:rsid w:val="00624C4E"/>
    <w:rsid w:val="00625200"/>
    <w:rsid w:val="006363A8"/>
    <w:rsid w:val="00636DB7"/>
    <w:rsid w:val="00640D1D"/>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D3B0F"/>
    <w:rsid w:val="006D79EA"/>
    <w:rsid w:val="006E5D05"/>
    <w:rsid w:val="00701053"/>
    <w:rsid w:val="00701507"/>
    <w:rsid w:val="0071049A"/>
    <w:rsid w:val="00714021"/>
    <w:rsid w:val="00716A0F"/>
    <w:rsid w:val="00717D45"/>
    <w:rsid w:val="007208F7"/>
    <w:rsid w:val="007218AF"/>
    <w:rsid w:val="00736002"/>
    <w:rsid w:val="007365D1"/>
    <w:rsid w:val="00740E0E"/>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C30EB"/>
    <w:rsid w:val="007C7DE5"/>
    <w:rsid w:val="007D68A7"/>
    <w:rsid w:val="007E063C"/>
    <w:rsid w:val="007E2A4B"/>
    <w:rsid w:val="007E307D"/>
    <w:rsid w:val="007E6A4E"/>
    <w:rsid w:val="007E6C94"/>
    <w:rsid w:val="007F1005"/>
    <w:rsid w:val="007F25E0"/>
    <w:rsid w:val="007F5328"/>
    <w:rsid w:val="00804F5A"/>
    <w:rsid w:val="00810C6D"/>
    <w:rsid w:val="00812887"/>
    <w:rsid w:val="0082322C"/>
    <w:rsid w:val="00826F21"/>
    <w:rsid w:val="00834CC8"/>
    <w:rsid w:val="00835E00"/>
    <w:rsid w:val="00837113"/>
    <w:rsid w:val="008414E4"/>
    <w:rsid w:val="00843E21"/>
    <w:rsid w:val="0084508E"/>
    <w:rsid w:val="00857A8A"/>
    <w:rsid w:val="00860EF0"/>
    <w:rsid w:val="008630EE"/>
    <w:rsid w:val="00864D13"/>
    <w:rsid w:val="00871CD5"/>
    <w:rsid w:val="008745A2"/>
    <w:rsid w:val="00875965"/>
    <w:rsid w:val="008768A8"/>
    <w:rsid w:val="0088798F"/>
    <w:rsid w:val="00887E4B"/>
    <w:rsid w:val="008915C8"/>
    <w:rsid w:val="008A36CF"/>
    <w:rsid w:val="008A3BC4"/>
    <w:rsid w:val="008B403C"/>
    <w:rsid w:val="008B7983"/>
    <w:rsid w:val="008C2511"/>
    <w:rsid w:val="008D026D"/>
    <w:rsid w:val="008D23AB"/>
    <w:rsid w:val="008D4B8B"/>
    <w:rsid w:val="008D5A78"/>
    <w:rsid w:val="008E4F1F"/>
    <w:rsid w:val="008E7B64"/>
    <w:rsid w:val="008F5DCD"/>
    <w:rsid w:val="00900951"/>
    <w:rsid w:val="00900BC0"/>
    <w:rsid w:val="009052FE"/>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41B1"/>
    <w:rsid w:val="00956DDB"/>
    <w:rsid w:val="009578DD"/>
    <w:rsid w:val="00961124"/>
    <w:rsid w:val="009621B6"/>
    <w:rsid w:val="00965DA4"/>
    <w:rsid w:val="00974F2D"/>
    <w:rsid w:val="00977524"/>
    <w:rsid w:val="00977E88"/>
    <w:rsid w:val="00984920"/>
    <w:rsid w:val="0099303A"/>
    <w:rsid w:val="009971C2"/>
    <w:rsid w:val="009A1254"/>
    <w:rsid w:val="009A5853"/>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1FE1"/>
    <w:rsid w:val="00A0643F"/>
    <w:rsid w:val="00A067EE"/>
    <w:rsid w:val="00A10FCE"/>
    <w:rsid w:val="00A15E57"/>
    <w:rsid w:val="00A16D91"/>
    <w:rsid w:val="00A174CC"/>
    <w:rsid w:val="00A2073D"/>
    <w:rsid w:val="00A20751"/>
    <w:rsid w:val="00A27E2D"/>
    <w:rsid w:val="00A31D99"/>
    <w:rsid w:val="00A357BA"/>
    <w:rsid w:val="00A35ADC"/>
    <w:rsid w:val="00A402A3"/>
    <w:rsid w:val="00A44F19"/>
    <w:rsid w:val="00A53681"/>
    <w:rsid w:val="00A633D4"/>
    <w:rsid w:val="00A6461A"/>
    <w:rsid w:val="00A84504"/>
    <w:rsid w:val="00A8672F"/>
    <w:rsid w:val="00A87594"/>
    <w:rsid w:val="00A93057"/>
    <w:rsid w:val="00A968B0"/>
    <w:rsid w:val="00AA64A2"/>
    <w:rsid w:val="00AB2672"/>
    <w:rsid w:val="00AB2817"/>
    <w:rsid w:val="00AB43C4"/>
    <w:rsid w:val="00AC32E7"/>
    <w:rsid w:val="00AC3A9F"/>
    <w:rsid w:val="00AC6D2F"/>
    <w:rsid w:val="00AE2745"/>
    <w:rsid w:val="00AE2F64"/>
    <w:rsid w:val="00AF42CB"/>
    <w:rsid w:val="00AF483F"/>
    <w:rsid w:val="00AF5E07"/>
    <w:rsid w:val="00AF5F06"/>
    <w:rsid w:val="00B00A25"/>
    <w:rsid w:val="00B1422A"/>
    <w:rsid w:val="00B1765C"/>
    <w:rsid w:val="00B213C4"/>
    <w:rsid w:val="00B270B7"/>
    <w:rsid w:val="00B32066"/>
    <w:rsid w:val="00B40C60"/>
    <w:rsid w:val="00B479A9"/>
    <w:rsid w:val="00B516DE"/>
    <w:rsid w:val="00B52EDF"/>
    <w:rsid w:val="00B55B72"/>
    <w:rsid w:val="00B71188"/>
    <w:rsid w:val="00B76A41"/>
    <w:rsid w:val="00B87D4C"/>
    <w:rsid w:val="00B93646"/>
    <w:rsid w:val="00BA0B38"/>
    <w:rsid w:val="00BA1DBB"/>
    <w:rsid w:val="00BA4510"/>
    <w:rsid w:val="00BA529A"/>
    <w:rsid w:val="00BB612A"/>
    <w:rsid w:val="00BD499F"/>
    <w:rsid w:val="00BD56DE"/>
    <w:rsid w:val="00BF2406"/>
    <w:rsid w:val="00C06E43"/>
    <w:rsid w:val="00C14D13"/>
    <w:rsid w:val="00C16315"/>
    <w:rsid w:val="00C3091E"/>
    <w:rsid w:val="00C40FF1"/>
    <w:rsid w:val="00C419E2"/>
    <w:rsid w:val="00C41F56"/>
    <w:rsid w:val="00C5020E"/>
    <w:rsid w:val="00C57452"/>
    <w:rsid w:val="00C61EDF"/>
    <w:rsid w:val="00C6239D"/>
    <w:rsid w:val="00C6594B"/>
    <w:rsid w:val="00C67FFB"/>
    <w:rsid w:val="00C7155E"/>
    <w:rsid w:val="00C71D1E"/>
    <w:rsid w:val="00C71D7D"/>
    <w:rsid w:val="00C74833"/>
    <w:rsid w:val="00C850A0"/>
    <w:rsid w:val="00C85A86"/>
    <w:rsid w:val="00C978F0"/>
    <w:rsid w:val="00CA58FE"/>
    <w:rsid w:val="00CB10C8"/>
    <w:rsid w:val="00CB1CB1"/>
    <w:rsid w:val="00CB6BC1"/>
    <w:rsid w:val="00CB6CB8"/>
    <w:rsid w:val="00CC1A68"/>
    <w:rsid w:val="00CC2123"/>
    <w:rsid w:val="00CC559C"/>
    <w:rsid w:val="00CD2BFD"/>
    <w:rsid w:val="00CE5AD6"/>
    <w:rsid w:val="00CE617F"/>
    <w:rsid w:val="00CE78EF"/>
    <w:rsid w:val="00D048F7"/>
    <w:rsid w:val="00D0517E"/>
    <w:rsid w:val="00D140FC"/>
    <w:rsid w:val="00D21D8C"/>
    <w:rsid w:val="00D274B8"/>
    <w:rsid w:val="00D31357"/>
    <w:rsid w:val="00D33220"/>
    <w:rsid w:val="00D334D1"/>
    <w:rsid w:val="00D44C89"/>
    <w:rsid w:val="00D516CD"/>
    <w:rsid w:val="00D668E6"/>
    <w:rsid w:val="00D70670"/>
    <w:rsid w:val="00D74D80"/>
    <w:rsid w:val="00D76624"/>
    <w:rsid w:val="00D87570"/>
    <w:rsid w:val="00D91CB9"/>
    <w:rsid w:val="00D97989"/>
    <w:rsid w:val="00D97D8D"/>
    <w:rsid w:val="00DA352E"/>
    <w:rsid w:val="00DB5678"/>
    <w:rsid w:val="00DC7694"/>
    <w:rsid w:val="00DD1BF6"/>
    <w:rsid w:val="00DD2F9B"/>
    <w:rsid w:val="00DE2513"/>
    <w:rsid w:val="00DE26E8"/>
    <w:rsid w:val="00DF6F36"/>
    <w:rsid w:val="00E0084C"/>
    <w:rsid w:val="00E025AB"/>
    <w:rsid w:val="00E02B23"/>
    <w:rsid w:val="00E06F40"/>
    <w:rsid w:val="00E07CE8"/>
    <w:rsid w:val="00E26A07"/>
    <w:rsid w:val="00E32595"/>
    <w:rsid w:val="00E37CFD"/>
    <w:rsid w:val="00E41A26"/>
    <w:rsid w:val="00E46BCB"/>
    <w:rsid w:val="00E51CAF"/>
    <w:rsid w:val="00E60F04"/>
    <w:rsid w:val="00E62AAC"/>
    <w:rsid w:val="00E67C2F"/>
    <w:rsid w:val="00E67EF5"/>
    <w:rsid w:val="00E804EA"/>
    <w:rsid w:val="00E80A71"/>
    <w:rsid w:val="00E82337"/>
    <w:rsid w:val="00E92499"/>
    <w:rsid w:val="00E925DA"/>
    <w:rsid w:val="00E949AF"/>
    <w:rsid w:val="00E96077"/>
    <w:rsid w:val="00EA0A06"/>
    <w:rsid w:val="00EA6243"/>
    <w:rsid w:val="00EA74AB"/>
    <w:rsid w:val="00EB3D1B"/>
    <w:rsid w:val="00EB6024"/>
    <w:rsid w:val="00ED1D89"/>
    <w:rsid w:val="00ED57DA"/>
    <w:rsid w:val="00ED66BC"/>
    <w:rsid w:val="00EF233A"/>
    <w:rsid w:val="00EF303E"/>
    <w:rsid w:val="00EF3A40"/>
    <w:rsid w:val="00EF7F78"/>
    <w:rsid w:val="00F01B08"/>
    <w:rsid w:val="00F01C4D"/>
    <w:rsid w:val="00F053FA"/>
    <w:rsid w:val="00F10C97"/>
    <w:rsid w:val="00F11C71"/>
    <w:rsid w:val="00F16019"/>
    <w:rsid w:val="00F20E68"/>
    <w:rsid w:val="00F22093"/>
    <w:rsid w:val="00F236DF"/>
    <w:rsid w:val="00F421C5"/>
    <w:rsid w:val="00F43AD5"/>
    <w:rsid w:val="00F4402E"/>
    <w:rsid w:val="00F56DD0"/>
    <w:rsid w:val="00F6491C"/>
    <w:rsid w:val="00F67BBB"/>
    <w:rsid w:val="00F87D92"/>
    <w:rsid w:val="00F90AA7"/>
    <w:rsid w:val="00F92498"/>
    <w:rsid w:val="00F9496B"/>
    <w:rsid w:val="00F970C9"/>
    <w:rsid w:val="00FA06A8"/>
    <w:rsid w:val="00FA3DF5"/>
    <w:rsid w:val="00FA741F"/>
    <w:rsid w:val="00FB4E07"/>
    <w:rsid w:val="00FB755A"/>
    <w:rsid w:val="00FC0E2C"/>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D60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ListBullet">
    <w:name w:val="List Bullet"/>
    <w:basedOn w:val="Normal"/>
    <w:uiPriority w:val="99"/>
    <w:unhideWhenUsed/>
    <w:rsid w:val="00CB10C8"/>
    <w:pPr>
      <w:numPr>
        <w:numId w:val="1"/>
      </w:numPr>
      <w:contextualSpacing/>
    </w:pPr>
  </w:style>
  <w:style w:type="character" w:styleId="CommentReference">
    <w:name w:val="annotation reference"/>
    <w:basedOn w:val="DefaultParagraphFont"/>
    <w:uiPriority w:val="99"/>
    <w:semiHidden/>
    <w:unhideWhenUsed/>
    <w:rsid w:val="00875965"/>
    <w:rPr>
      <w:sz w:val="16"/>
      <w:szCs w:val="16"/>
    </w:rPr>
  </w:style>
  <w:style w:type="paragraph" w:styleId="CommentText">
    <w:name w:val="annotation text"/>
    <w:basedOn w:val="Normal"/>
    <w:link w:val="CommentTextChar"/>
    <w:uiPriority w:val="99"/>
    <w:semiHidden/>
    <w:unhideWhenUsed/>
    <w:rsid w:val="00875965"/>
    <w:pPr>
      <w:spacing w:line="240" w:lineRule="auto"/>
    </w:pPr>
    <w:rPr>
      <w:szCs w:val="20"/>
    </w:rPr>
  </w:style>
  <w:style w:type="character" w:customStyle="1" w:styleId="CommentTextChar">
    <w:name w:val="Comment Text Char"/>
    <w:basedOn w:val="DefaultParagraphFont"/>
    <w:link w:val="CommentText"/>
    <w:uiPriority w:val="99"/>
    <w:semiHidden/>
    <w:rsid w:val="00875965"/>
    <w:rPr>
      <w:szCs w:val="20"/>
    </w:rPr>
  </w:style>
  <w:style w:type="paragraph" w:styleId="CommentSubject">
    <w:name w:val="annotation subject"/>
    <w:basedOn w:val="CommentText"/>
    <w:next w:val="CommentText"/>
    <w:link w:val="CommentSubjectChar"/>
    <w:uiPriority w:val="99"/>
    <w:semiHidden/>
    <w:unhideWhenUsed/>
    <w:rsid w:val="00875965"/>
    <w:rPr>
      <w:b/>
      <w:bCs/>
    </w:rPr>
  </w:style>
  <w:style w:type="character" w:customStyle="1" w:styleId="CommentSubjectChar">
    <w:name w:val="Comment Subject Char"/>
    <w:basedOn w:val="CommentTextChar"/>
    <w:link w:val="CommentSubject"/>
    <w:uiPriority w:val="99"/>
    <w:semiHidden/>
    <w:rsid w:val="00875965"/>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86445">
      <w:bodyDiv w:val="1"/>
      <w:marLeft w:val="0"/>
      <w:marRight w:val="0"/>
      <w:marTop w:val="0"/>
      <w:marBottom w:val="0"/>
      <w:divBdr>
        <w:top w:val="none" w:sz="0" w:space="0" w:color="auto"/>
        <w:left w:val="none" w:sz="0" w:space="0" w:color="auto"/>
        <w:bottom w:val="none" w:sz="0" w:space="0" w:color="auto"/>
        <w:right w:val="none" w:sz="0" w:space="0" w:color="auto"/>
      </w:divBdr>
    </w:div>
    <w:div w:id="873273009">
      <w:bodyDiv w:val="1"/>
      <w:marLeft w:val="0"/>
      <w:marRight w:val="0"/>
      <w:marTop w:val="0"/>
      <w:marBottom w:val="0"/>
      <w:divBdr>
        <w:top w:val="none" w:sz="0" w:space="0" w:color="auto"/>
        <w:left w:val="none" w:sz="0" w:space="0" w:color="auto"/>
        <w:bottom w:val="none" w:sz="0" w:space="0" w:color="auto"/>
        <w:right w:val="none" w:sz="0" w:space="0" w:color="auto"/>
      </w:divBdr>
    </w:div>
    <w:div w:id="12432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110D93" w:rsidRDefault="00CA72D3" w:rsidP="00CA72D3">
          <w:pPr>
            <w:pStyle w:val="DA2FFE9CEF2D415F9F59B567F352ED2C"/>
          </w:pPr>
          <w:r>
            <w:rPr>
              <w:rStyle w:val="PlaceholderText"/>
            </w:rPr>
            <w:t>Has this value changed?</w:t>
          </w:r>
        </w:p>
      </w:docPartBody>
    </w:docPart>
    <w:docPart>
      <w:docPartPr>
        <w:name w:val="00F70FF042204C95B5335CC2AC584C55"/>
        <w:category>
          <w:name w:val="General"/>
          <w:gallery w:val="placeholder"/>
        </w:category>
        <w:types>
          <w:type w:val="bbPlcHdr"/>
        </w:types>
        <w:behaviors>
          <w:behavior w:val="content"/>
        </w:behaviors>
        <w:guid w:val="{7628C3D2-22D7-4FE0-A664-C215AFFA2CD7}"/>
      </w:docPartPr>
      <w:docPartBody>
        <w:p w:rsidR="00914C2F" w:rsidRDefault="00C657E4" w:rsidP="00C657E4">
          <w:pPr>
            <w:pStyle w:val="00F70FF042204C95B5335CC2AC584C55"/>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110D93"/>
    <w:rsid w:val="00347D16"/>
    <w:rsid w:val="003E0149"/>
    <w:rsid w:val="00755FBF"/>
    <w:rsid w:val="007B48EA"/>
    <w:rsid w:val="00807CDD"/>
    <w:rsid w:val="00914C2F"/>
    <w:rsid w:val="00C657E4"/>
    <w:rsid w:val="00CA72D3"/>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7E4"/>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 w:type="paragraph" w:customStyle="1" w:styleId="BEF354B1131447F98C975F0E50FE0DBC">
    <w:name w:val="BEF354B1131447F98C975F0E50FE0DBC"/>
    <w:rsid w:val="00807CDD"/>
  </w:style>
  <w:style w:type="paragraph" w:customStyle="1" w:styleId="3446F6E91DFC4F19BD9A775327966BEC">
    <w:name w:val="3446F6E91DFC4F19BD9A775327966BEC"/>
    <w:rsid w:val="00807CDD"/>
  </w:style>
  <w:style w:type="paragraph" w:customStyle="1" w:styleId="00F70FF042204C95B5335CC2AC584C55">
    <w:name w:val="00F70FF042204C95B5335CC2AC584C55"/>
    <w:rsid w:val="00C65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F48B-C823-4735-A9B1-1A361782039C}">
  <ds:schemaRefs>
    <ds:schemaRef ds:uri="http://schemas.openxmlformats.org/package/2006/metadata/core-properties"/>
    <ds:schemaRef ds:uri="http://schemas.microsoft.com/office/infopath/2007/PartnerControls"/>
    <ds:schemaRef ds:uri="http://purl.org/dc/dcmitype/"/>
    <ds:schemaRef ds:uri="bf54d604-3e62-4e70-ba33-9e9084b96a66"/>
    <ds:schemaRef ds:uri="http://purl.org/dc/elements/1.1/"/>
    <ds:schemaRef ds:uri="http://schemas.microsoft.com/office/2006/documentManagement/types"/>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63B5C98F-3CD2-4C47-8E7F-0D84894ED17A}">
  <ds:schemaRefs>
    <ds:schemaRef ds:uri="http://schemas.microsoft.com/sharepoint/v3/contenttype/forms"/>
  </ds:schemaRefs>
</ds:datastoreItem>
</file>

<file path=customXml/itemProps3.xml><?xml version="1.0" encoding="utf-8"?>
<ds:datastoreItem xmlns:ds="http://schemas.openxmlformats.org/officeDocument/2006/customXml" ds:itemID="{8B691D3B-69A6-471E-A3AB-4649149EA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65789-91C9-4892-9745-A326D30A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2020-03-16T04:34:00Z</dcterms:created>
  <dcterms:modified xsi:type="dcterms:W3CDTF">2020-07-21T01:43:00Z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