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5FE915DD" w:rsidR="00BD499F" w:rsidRPr="004C23F4" w:rsidRDefault="008765D8" w:rsidP="00B40C60">
          <w:pPr>
            <w:pStyle w:val="Heading1"/>
            <w:jc w:val="center"/>
            <w:rPr>
              <w:rFonts w:ascii="Arial" w:hAnsi="Arial" w:cs="Arial"/>
            </w:rPr>
          </w:pPr>
          <w:r w:rsidRPr="008765D8">
            <w:rPr>
              <w:rFonts w:ascii="Arial" w:hAnsi="Arial" w:cs="Arial"/>
            </w:rPr>
            <w:t>Thioglycolic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189D6E38" w14:textId="77777777" w:rsidTr="00447EDE">
        <w:trPr>
          <w:cantSplit/>
          <w:tblHeader/>
        </w:trPr>
        <w:tc>
          <w:tcPr>
            <w:tcW w:w="3983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3" w:type="dxa"/>
          </w:tcPr>
          <w:p w14:paraId="3EDBFD9E" w14:textId="6819678F" w:rsidR="00F43AD5" w:rsidRPr="00717D45" w:rsidRDefault="00CD1F9B" w:rsidP="00B76A41">
            <w:pPr>
              <w:pStyle w:val="Tablefont"/>
            </w:pPr>
            <w:r w:rsidRPr="00CD1F9B">
              <w:t>68-11-1</w:t>
            </w:r>
          </w:p>
        </w:tc>
      </w:tr>
      <w:tr w:rsidR="00F43AD5" w:rsidRPr="004C23F4" w14:paraId="562A9F51" w14:textId="77777777" w:rsidTr="00447EDE">
        <w:trPr>
          <w:cantSplit/>
        </w:trPr>
        <w:tc>
          <w:tcPr>
            <w:tcW w:w="3983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3" w:type="dxa"/>
          </w:tcPr>
          <w:p w14:paraId="32648AB9" w14:textId="271D594E" w:rsidR="00F43AD5" w:rsidRPr="00717D45" w:rsidRDefault="00CD1F9B" w:rsidP="00B76A41">
            <w:pPr>
              <w:pStyle w:val="Tablefont"/>
            </w:pPr>
            <w:proofErr w:type="spellStart"/>
            <w:r>
              <w:t>Mercaptoacetic</w:t>
            </w:r>
            <w:proofErr w:type="spellEnd"/>
            <w:r>
              <w:t xml:space="preserve"> acid, </w:t>
            </w:r>
            <w:proofErr w:type="spellStart"/>
            <w:r>
              <w:t>thiovanic</w:t>
            </w:r>
            <w:proofErr w:type="spellEnd"/>
            <w:r>
              <w:t xml:space="preserve"> acid</w:t>
            </w:r>
          </w:p>
        </w:tc>
      </w:tr>
      <w:tr w:rsidR="00F43AD5" w:rsidRPr="004C23F4" w14:paraId="6EE54A08" w14:textId="77777777" w:rsidTr="00447EDE">
        <w:trPr>
          <w:cantSplit/>
        </w:trPr>
        <w:tc>
          <w:tcPr>
            <w:tcW w:w="3983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3" w:type="dxa"/>
          </w:tcPr>
          <w:p w14:paraId="69369B00" w14:textId="1DA39DCB" w:rsidR="00F43AD5" w:rsidRPr="00717D45" w:rsidRDefault="00CD1F9B" w:rsidP="00B76A41">
            <w:pPr>
              <w:pStyle w:val="Tablefont"/>
            </w:pPr>
            <w:r>
              <w:t>C</w:t>
            </w:r>
            <w:r w:rsidRPr="00CD1F9B">
              <w:rPr>
                <w:vertAlign w:val="subscript"/>
              </w:rPr>
              <w:t>2</w:t>
            </w:r>
            <w:r>
              <w:t>H</w:t>
            </w:r>
            <w:r w:rsidRPr="00CD1F9B">
              <w:rPr>
                <w:vertAlign w:val="subscript"/>
              </w:rPr>
              <w:t>4</w:t>
            </w:r>
            <w:r>
              <w:t>O</w:t>
            </w:r>
            <w:r w:rsidRPr="00CD1F9B">
              <w:rPr>
                <w:vertAlign w:val="subscript"/>
              </w:rPr>
              <w:t>2</w:t>
            </w:r>
            <w:r>
              <w:t>S</w:t>
            </w:r>
          </w:p>
        </w:tc>
      </w:tr>
    </w:tbl>
    <w:p w14:paraId="71D72173" w14:textId="55BD43D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D2551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3F0CC15" w:rsidR="002C7AFE" w:rsidRPr="005D2551" w:rsidRDefault="005D2551" w:rsidP="00017C82">
            <w:pPr>
              <w:pStyle w:val="Tablefont"/>
              <w:rPr>
                <w:b/>
              </w:rPr>
            </w:pPr>
            <w:r w:rsidRPr="005D2551">
              <w:rPr>
                <w:b/>
              </w:rPr>
              <w:t>1 ppm (3.8 mg/m</w:t>
            </w:r>
            <w:r w:rsidRPr="005D2551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68F16BE3" w:rsidR="00037E52" w:rsidRPr="00EB3D1B" w:rsidRDefault="007C6EA6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Sk., DSEN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3D3276F0" w:rsidR="00155999" w:rsidRPr="00EB3D1B" w:rsidRDefault="00155999" w:rsidP="00037E52">
            <w:pPr>
              <w:pStyle w:val="Tablefont"/>
              <w:rPr>
                <w:b/>
              </w:rPr>
            </w:pPr>
            <w:r w:rsidRPr="002D0EE3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35657B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0EAFEC9B" w:rsidR="006639B4" w:rsidRPr="004C23F4" w:rsidRDefault="005D2551" w:rsidP="000C139A">
      <w:pPr>
        <w:rPr>
          <w:rFonts w:cs="Arial"/>
        </w:rPr>
      </w:pPr>
      <w:r>
        <w:rPr>
          <w:rFonts w:cs="Arial"/>
        </w:rPr>
        <w:t xml:space="preserve">A </w:t>
      </w:r>
      <w:r w:rsidR="003D725D">
        <w:rPr>
          <w:rFonts w:cs="Arial"/>
        </w:rPr>
        <w:t>TWA of 1 ppm (3.8 mg/m</w:t>
      </w:r>
      <w:r w:rsidR="003D725D" w:rsidRPr="003D725D">
        <w:rPr>
          <w:rFonts w:cs="Arial"/>
          <w:vertAlign w:val="superscript"/>
        </w:rPr>
        <w:t>3</w:t>
      </w:r>
      <w:r w:rsidR="003D725D">
        <w:rPr>
          <w:rFonts w:cs="Arial"/>
        </w:rPr>
        <w:t xml:space="preserve">) is recommended to protect for </w:t>
      </w:r>
      <w:r w:rsidR="00447EDE">
        <w:rPr>
          <w:rFonts w:cs="Arial"/>
        </w:rPr>
        <w:t xml:space="preserve">irritation of the </w:t>
      </w:r>
      <w:r w:rsidR="003D725D" w:rsidRPr="003D725D">
        <w:t>eye</w:t>
      </w:r>
      <w:r w:rsidR="00447EDE">
        <w:t>s</w:t>
      </w:r>
      <w:r w:rsidR="003D725D" w:rsidRPr="003D725D">
        <w:t xml:space="preserve"> and </w:t>
      </w:r>
      <w:r w:rsidR="00447EDE">
        <w:t>skin</w:t>
      </w:r>
      <w:r w:rsidR="003D725D" w:rsidRPr="003D725D">
        <w:t xml:space="preserve"> in exposed workers</w:t>
      </w:r>
      <w:r w:rsidR="003D725D"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EC01BF2" w14:textId="0E14A524" w:rsidR="0069349B" w:rsidRDefault="00B214A6" w:rsidP="006639B4">
      <w:pPr>
        <w:rPr>
          <w:rFonts w:cs="Arial"/>
        </w:rPr>
      </w:pPr>
      <w:r>
        <w:rPr>
          <w:rFonts w:cs="Arial"/>
        </w:rPr>
        <w:t>Thioglycolic acid is used in hair care products, as pharmaceuticals and process intermediates and thioglycolates are used in bacteriology.</w:t>
      </w:r>
      <w:r w:rsidR="00497CE3">
        <w:rPr>
          <w:rFonts w:cs="Arial"/>
        </w:rPr>
        <w:t xml:space="preserve"> </w:t>
      </w:r>
    </w:p>
    <w:p w14:paraId="3650D4EA" w14:textId="77777777" w:rsidR="00901958" w:rsidRDefault="00497CE3" w:rsidP="006639B4">
      <w:pPr>
        <w:rPr>
          <w:rFonts w:cs="Arial"/>
        </w:rPr>
      </w:pPr>
      <w:r>
        <w:rPr>
          <w:rFonts w:cs="Arial"/>
        </w:rPr>
        <w:t xml:space="preserve">The critical effects of exposure are </w:t>
      </w:r>
      <w:r w:rsidR="00447EDE">
        <w:rPr>
          <w:rFonts w:cs="Arial"/>
        </w:rPr>
        <w:t xml:space="preserve">corrosion and irritation of the </w:t>
      </w:r>
      <w:r>
        <w:rPr>
          <w:rFonts w:cs="Arial"/>
        </w:rPr>
        <w:t>skin</w:t>
      </w:r>
      <w:r w:rsidR="00447EDE">
        <w:rPr>
          <w:rFonts w:cs="Arial"/>
        </w:rPr>
        <w:t xml:space="preserve"> and </w:t>
      </w:r>
      <w:r>
        <w:rPr>
          <w:rFonts w:cs="Arial"/>
        </w:rPr>
        <w:t>eye</w:t>
      </w:r>
      <w:r w:rsidR="00447EDE">
        <w:rPr>
          <w:rFonts w:cs="Arial"/>
        </w:rPr>
        <w:t>s</w:t>
      </w:r>
      <w:r>
        <w:rPr>
          <w:rFonts w:cs="Arial"/>
        </w:rPr>
        <w:t>.</w:t>
      </w:r>
      <w:r w:rsidR="0069349B">
        <w:rPr>
          <w:rFonts w:cs="Arial"/>
        </w:rPr>
        <w:t xml:space="preserve"> </w:t>
      </w:r>
    </w:p>
    <w:p w14:paraId="39A6601F" w14:textId="01019055" w:rsidR="003D725D" w:rsidRDefault="0035657B" w:rsidP="006639B4">
      <w:pPr>
        <w:rPr>
          <w:rStyle w:val="checkbox"/>
          <w:rFonts w:ascii="Arial" w:hAnsi="Arial" w:cs="Arial"/>
        </w:rPr>
      </w:pPr>
      <w:r>
        <w:rPr>
          <w:rFonts w:cs="Arial"/>
        </w:rPr>
        <w:t xml:space="preserve">There </w:t>
      </w:r>
      <w:r w:rsidR="00447EDE">
        <w:rPr>
          <w:rFonts w:cs="Arial"/>
        </w:rPr>
        <w:t>are</w:t>
      </w:r>
      <w:r>
        <w:rPr>
          <w:rFonts w:cs="Arial"/>
        </w:rPr>
        <w:t xml:space="preserve"> l</w:t>
      </w:r>
      <w:r w:rsidR="008921AE">
        <w:rPr>
          <w:rFonts w:cs="Arial"/>
        </w:rPr>
        <w:t>imited data relating to the acid</w:t>
      </w:r>
      <w:r w:rsidR="00447EDE">
        <w:rPr>
          <w:rFonts w:cs="Arial"/>
        </w:rPr>
        <w:t xml:space="preserve"> and</w:t>
      </w:r>
      <w:r w:rsidR="008921AE">
        <w:rPr>
          <w:rFonts w:cs="Arial"/>
        </w:rPr>
        <w:t xml:space="preserve"> more available </w:t>
      </w:r>
      <w:r w:rsidR="008921AE">
        <w:t xml:space="preserve">relating to ammonium and sodium salts. </w:t>
      </w:r>
      <w:r w:rsidR="00447EDE">
        <w:t xml:space="preserve">There are </w:t>
      </w:r>
      <w:r w:rsidR="00447EDE">
        <w:rPr>
          <w:rFonts w:cs="Arial"/>
        </w:rPr>
        <w:t>r</w:t>
      </w:r>
      <w:r w:rsidR="00395148">
        <w:rPr>
          <w:rFonts w:cs="Arial"/>
        </w:rPr>
        <w:t xml:space="preserve">eports of </w:t>
      </w:r>
      <w:r w:rsidR="00395148">
        <w:t>the ammonium and sodium salts causing skin lesions of neck, ears and shoulders following permanent hair waving and rare cases of contact eczema of hands and arms in hairdressers</w:t>
      </w:r>
      <w:r w:rsidR="002C4F5C">
        <w:t xml:space="preserve"> (ACGIH, 2018). </w:t>
      </w:r>
      <w:r w:rsidR="00901958">
        <w:t xml:space="preserve">A NOAEL of 20 mg/kg /day reported for </w:t>
      </w:r>
      <w:r w:rsidR="00901958">
        <w:rPr>
          <w:rStyle w:val="checkbox"/>
          <w:rFonts w:ascii="Arial" w:hAnsi="Arial" w:cs="Arial"/>
        </w:rPr>
        <w:t xml:space="preserve">changes in blood biochemistry and microscopic histopathological changes in the liver </w:t>
      </w:r>
      <w:r w:rsidR="00901958">
        <w:t xml:space="preserve">in a </w:t>
      </w:r>
      <w:r w:rsidR="00864534">
        <w:rPr>
          <w:rStyle w:val="checkbox"/>
          <w:rFonts w:ascii="Arial" w:hAnsi="Arial" w:cs="Arial"/>
        </w:rPr>
        <w:t>90</w:t>
      </w:r>
      <w:r w:rsidR="003A4C48">
        <w:rPr>
          <w:rStyle w:val="checkbox"/>
          <w:rFonts w:ascii="Arial" w:hAnsi="Arial" w:cs="Arial"/>
        </w:rPr>
        <w:t>-</w:t>
      </w:r>
      <w:r w:rsidR="002C4F5C">
        <w:rPr>
          <w:rStyle w:val="checkbox"/>
          <w:rFonts w:ascii="Arial" w:hAnsi="Arial" w:cs="Arial"/>
        </w:rPr>
        <w:t>day gavage study</w:t>
      </w:r>
      <w:r w:rsidR="002C4F5C">
        <w:t xml:space="preserve"> of the sodium salt in rats </w:t>
      </w:r>
      <w:r w:rsidR="0063623B">
        <w:rPr>
          <w:rStyle w:val="checkbox"/>
          <w:rFonts w:ascii="Arial" w:hAnsi="Arial" w:cs="Arial"/>
        </w:rPr>
        <w:t>(</w:t>
      </w:r>
      <w:r w:rsidR="000D5C33">
        <w:rPr>
          <w:rStyle w:val="checkbox"/>
          <w:rFonts w:ascii="Arial" w:hAnsi="Arial" w:cs="Arial"/>
        </w:rPr>
        <w:t xml:space="preserve">ACGIH, 2018; </w:t>
      </w:r>
      <w:r w:rsidR="009C3925">
        <w:rPr>
          <w:rStyle w:val="checkbox"/>
          <w:rFonts w:ascii="Arial" w:hAnsi="Arial" w:cs="Arial"/>
        </w:rPr>
        <w:t xml:space="preserve">ECHA, 2011; </w:t>
      </w:r>
      <w:r w:rsidR="000D5C33">
        <w:rPr>
          <w:rStyle w:val="checkbox"/>
          <w:rFonts w:ascii="Arial" w:hAnsi="Arial" w:cs="Arial"/>
        </w:rPr>
        <w:t>NICNAS, 2013; OECD, 2009)</w:t>
      </w:r>
      <w:r w:rsidR="0063623B">
        <w:rPr>
          <w:rStyle w:val="checkbox"/>
          <w:rFonts w:ascii="Arial" w:hAnsi="Arial" w:cs="Arial"/>
        </w:rPr>
        <w:t>.</w:t>
      </w:r>
      <w:r w:rsidR="000D5C33">
        <w:rPr>
          <w:rStyle w:val="checkbox"/>
          <w:rFonts w:ascii="Arial" w:hAnsi="Arial" w:cs="Arial"/>
        </w:rPr>
        <w:t xml:space="preserve"> </w:t>
      </w:r>
      <w:r w:rsidR="0063623B">
        <w:rPr>
          <w:rStyle w:val="checkbox"/>
          <w:rFonts w:ascii="Arial" w:hAnsi="Arial" w:cs="Arial"/>
        </w:rPr>
        <w:t xml:space="preserve">Due to </w:t>
      </w:r>
      <w:r w:rsidR="00BD42EA">
        <w:rPr>
          <w:rStyle w:val="checkbox"/>
          <w:rFonts w:ascii="Arial" w:hAnsi="Arial" w:cs="Arial"/>
        </w:rPr>
        <w:t xml:space="preserve">(reversible) </w:t>
      </w:r>
      <w:r w:rsidR="0063623B">
        <w:t xml:space="preserve">inhibition of </w:t>
      </w:r>
      <w:r w:rsidR="0063623B" w:rsidRPr="003A4C48">
        <w:t>b</w:t>
      </w:r>
      <w:r w:rsidR="0063623B">
        <w:t>-oxidation of fatty acids</w:t>
      </w:r>
      <w:r w:rsidR="00BD42EA" w:rsidRPr="00BD42EA">
        <w:t xml:space="preserve"> </w:t>
      </w:r>
      <w:r w:rsidR="00BD42EA">
        <w:t>in the same study,</w:t>
      </w:r>
      <w:r w:rsidR="0063623B">
        <w:rPr>
          <w:rStyle w:val="checkbox"/>
          <w:rFonts w:ascii="Arial" w:hAnsi="Arial" w:cs="Arial"/>
        </w:rPr>
        <w:t xml:space="preserve"> </w:t>
      </w:r>
      <w:r w:rsidR="000D5C33">
        <w:rPr>
          <w:rStyle w:val="checkbox"/>
          <w:rFonts w:ascii="Arial" w:hAnsi="Arial" w:cs="Arial"/>
        </w:rPr>
        <w:t>7 mg/kg/day</w:t>
      </w:r>
      <w:r>
        <w:rPr>
          <w:rStyle w:val="checkbox"/>
          <w:rFonts w:ascii="Arial" w:hAnsi="Arial" w:cs="Arial"/>
        </w:rPr>
        <w:t xml:space="preserve"> is</w:t>
      </w:r>
      <w:r w:rsidR="000D5C33">
        <w:rPr>
          <w:rStyle w:val="checkbox"/>
          <w:rFonts w:ascii="Arial" w:hAnsi="Arial" w:cs="Arial"/>
        </w:rPr>
        <w:t xml:space="preserve"> </w:t>
      </w:r>
      <w:r w:rsidR="003241AC">
        <w:rPr>
          <w:rStyle w:val="checkbox"/>
          <w:rFonts w:ascii="Arial" w:hAnsi="Arial" w:cs="Arial"/>
        </w:rPr>
        <w:t xml:space="preserve">regarded </w:t>
      </w:r>
      <w:r w:rsidR="000D5C33">
        <w:rPr>
          <w:rStyle w:val="checkbox"/>
          <w:rFonts w:ascii="Arial" w:hAnsi="Arial" w:cs="Arial"/>
        </w:rPr>
        <w:t xml:space="preserve">as the NOAEL </w:t>
      </w:r>
      <w:r w:rsidR="003241AC">
        <w:t xml:space="preserve">by </w:t>
      </w:r>
      <w:r w:rsidR="00BD42EA">
        <w:rPr>
          <w:rStyle w:val="checkbox"/>
          <w:rFonts w:ascii="Arial" w:hAnsi="Arial" w:cs="Arial"/>
        </w:rPr>
        <w:t>DFG</w:t>
      </w:r>
      <w:r w:rsidR="003241AC">
        <w:rPr>
          <w:rStyle w:val="checkbox"/>
          <w:rFonts w:ascii="Arial" w:hAnsi="Arial" w:cs="Arial"/>
        </w:rPr>
        <w:t xml:space="preserve"> (</w:t>
      </w:r>
      <w:r w:rsidR="00BD42EA">
        <w:rPr>
          <w:rStyle w:val="checkbox"/>
          <w:rFonts w:ascii="Arial" w:hAnsi="Arial" w:cs="Arial"/>
        </w:rPr>
        <w:t>2012)</w:t>
      </w:r>
      <w:r w:rsidR="003241AC">
        <w:rPr>
          <w:rStyle w:val="checkbox"/>
          <w:rFonts w:ascii="Arial" w:hAnsi="Arial" w:cs="Arial"/>
        </w:rPr>
        <w:t>.</w:t>
      </w:r>
    </w:p>
    <w:p w14:paraId="56F44669" w14:textId="61D96BD4" w:rsidR="0033589B" w:rsidRPr="004C23F4" w:rsidRDefault="003241AC" w:rsidP="006639B4">
      <w:pPr>
        <w:rPr>
          <w:rFonts w:cs="Arial"/>
        </w:rPr>
      </w:pPr>
      <w:r>
        <w:rPr>
          <w:rStyle w:val="checkbox"/>
          <w:rFonts w:ascii="Arial" w:hAnsi="Arial" w:cs="Arial"/>
        </w:rPr>
        <w:t xml:space="preserve">Based on the weight of evidence, the NOAEL of </w:t>
      </w:r>
      <w:r>
        <w:t xml:space="preserve">20 mg/kg/day in rats is used as the </w:t>
      </w:r>
      <w:r w:rsidR="00447EDE">
        <w:t>most appropriate point of departure</w:t>
      </w:r>
      <w:r>
        <w:t xml:space="preserve"> and a TWA of </w:t>
      </w:r>
      <w:r>
        <w:rPr>
          <w:rFonts w:cs="Arial"/>
        </w:rPr>
        <w:t>1 ppm (3.8 mg/m</w:t>
      </w:r>
      <w:r w:rsidRPr="003D725D"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r w:rsidR="00447EDE">
        <w:rPr>
          <w:rFonts w:cs="Arial"/>
        </w:rPr>
        <w:t xml:space="preserve">is recommended </w:t>
      </w:r>
      <w:r w:rsidR="003A4C48">
        <w:rPr>
          <w:rFonts w:cs="Arial"/>
        </w:rPr>
        <w:t xml:space="preserve">to </w:t>
      </w:r>
      <w:r w:rsidR="00901958">
        <w:rPr>
          <w:rFonts w:cs="Arial"/>
        </w:rPr>
        <w:t xml:space="preserve">be retained </w:t>
      </w:r>
      <w:r w:rsidR="00196A25">
        <w:rPr>
          <w:rFonts w:cs="Arial"/>
        </w:rPr>
        <w:t>as assigned by ACGIH (2018)</w:t>
      </w:r>
      <w:r w:rsidR="003A4C48">
        <w:rPr>
          <w:rFonts w:cs="Arial"/>
        </w:rPr>
        <w:t>. A</w:t>
      </w:r>
      <w:r w:rsidR="00447EDE">
        <w:rPr>
          <w:rFonts w:cs="Arial"/>
        </w:rPr>
        <w:t xml:space="preserve">lthough the derivation of this concentration is not </w:t>
      </w:r>
      <w:r w:rsidR="00901958">
        <w:rPr>
          <w:rFonts w:cs="Arial"/>
        </w:rPr>
        <w:t>d</w:t>
      </w:r>
      <w:r w:rsidR="004F2335">
        <w:rPr>
          <w:rFonts w:cs="Arial"/>
        </w:rPr>
        <w:t>e</w:t>
      </w:r>
      <w:r w:rsidR="00901958">
        <w:rPr>
          <w:rFonts w:cs="Arial"/>
        </w:rPr>
        <w:t>tailed</w:t>
      </w:r>
      <w:r w:rsidR="003A4C48">
        <w:rPr>
          <w:rFonts w:cs="Arial"/>
        </w:rPr>
        <w:t>,</w:t>
      </w:r>
      <w:r>
        <w:rPr>
          <w:rFonts w:cs="Arial"/>
        </w:rPr>
        <w:t xml:space="preserve"> </w:t>
      </w:r>
      <w:r w:rsidR="0033589B">
        <w:rPr>
          <w:rFonts w:cs="Arial"/>
        </w:rPr>
        <w:t xml:space="preserve">ACGIH </w:t>
      </w:r>
      <w:r w:rsidR="00901958">
        <w:rPr>
          <w:rFonts w:cs="Arial"/>
        </w:rPr>
        <w:t>stated</w:t>
      </w:r>
      <w:r w:rsidR="0033589B">
        <w:rPr>
          <w:rFonts w:cs="Arial"/>
        </w:rPr>
        <w:t xml:space="preserve"> this being </w:t>
      </w:r>
      <w:r w:rsidR="00196A25">
        <w:rPr>
          <w:rFonts w:cs="Arial"/>
        </w:rPr>
        <w:t>sufficiently low to protect for irritant effects.</w:t>
      </w:r>
    </w:p>
    <w:p w14:paraId="273B44AD" w14:textId="77777777" w:rsidR="004529F0" w:rsidRPr="004C23F4" w:rsidRDefault="004529F0" w:rsidP="003A4C48">
      <w:pPr>
        <w:pStyle w:val="Heading2"/>
        <w:pageBreakBefore/>
      </w:pPr>
      <w:r>
        <w:lastRenderedPageBreak/>
        <w:t>Recommendation for notations</w:t>
      </w:r>
    </w:p>
    <w:p w14:paraId="27C6755E" w14:textId="77777777" w:rsidR="008E4F1F" w:rsidRPr="00BB3354" w:rsidRDefault="008E4F1F" w:rsidP="008E4F1F">
      <w:pPr>
        <w:rPr>
          <w:rFonts w:cs="Arial"/>
        </w:rPr>
      </w:pPr>
      <w:r w:rsidRPr="00BB3354">
        <w:rPr>
          <w:rFonts w:cs="Arial"/>
        </w:rPr>
        <w:t>Not classified as a carcinogen according to the Globally Harmonized System of</w:t>
      </w:r>
      <w:r w:rsidR="00155999" w:rsidRPr="00BB3354">
        <w:rPr>
          <w:rFonts w:cs="Arial"/>
        </w:rPr>
        <w:t xml:space="preserve"> Classification and Labelling of</w:t>
      </w:r>
      <w:r w:rsidRPr="00BB3354">
        <w:rPr>
          <w:rFonts w:cs="Arial"/>
        </w:rPr>
        <w:t xml:space="preserve"> Chemicals (GHS). </w:t>
      </w:r>
    </w:p>
    <w:p w14:paraId="03916CCC" w14:textId="2E5E1BFC" w:rsidR="008E4F1F" w:rsidRPr="005D14BE" w:rsidRDefault="005D14BE" w:rsidP="008E4F1F">
      <w:pPr>
        <w:rPr>
          <w:rFonts w:cs="Arial"/>
        </w:rPr>
      </w:pPr>
      <w:r w:rsidRPr="005D14BE">
        <w:rPr>
          <w:rFonts w:cs="Arial"/>
        </w:rPr>
        <w:t>C</w:t>
      </w:r>
      <w:r w:rsidR="008E4F1F" w:rsidRPr="005D14BE">
        <w:rPr>
          <w:rFonts w:cs="Arial"/>
        </w:rPr>
        <w:t xml:space="preserve">lassified as a skin </w:t>
      </w:r>
      <w:r w:rsidR="00155999" w:rsidRPr="005D14BE">
        <w:rPr>
          <w:rFonts w:cs="Arial"/>
        </w:rPr>
        <w:t xml:space="preserve">sensitiser </w:t>
      </w:r>
      <w:r w:rsidRPr="005D14BE">
        <w:rPr>
          <w:rFonts w:cs="Arial"/>
        </w:rPr>
        <w:t>but not a</w:t>
      </w:r>
      <w:r w:rsidR="008E4F1F" w:rsidRPr="005D14BE">
        <w:rPr>
          <w:rFonts w:cs="Arial"/>
        </w:rPr>
        <w:t xml:space="preserve"> respiratory sensitiser according to the GHS.</w:t>
      </w:r>
    </w:p>
    <w:p w14:paraId="21CCE2A5" w14:textId="660B7EF8" w:rsidR="0025734A" w:rsidRPr="004C23F4" w:rsidRDefault="00BB3354">
      <w:pPr>
        <w:rPr>
          <w:rFonts w:cs="Arial"/>
        </w:rPr>
      </w:pPr>
      <w:r w:rsidRPr="00BB3354">
        <w:rPr>
          <w:rFonts w:cs="Arial"/>
        </w:rPr>
        <w:t xml:space="preserve">A skin notation is </w:t>
      </w:r>
      <w:r w:rsidR="005F5813">
        <w:rPr>
          <w:rFonts w:cs="Arial"/>
        </w:rPr>
        <w:t>recommended</w:t>
      </w:r>
      <w:r w:rsidR="005F5813" w:rsidRPr="00BB3354">
        <w:rPr>
          <w:rFonts w:cs="Arial"/>
        </w:rPr>
        <w:t xml:space="preserve"> </w:t>
      </w:r>
      <w:r w:rsidRPr="00BB3354">
        <w:rPr>
          <w:rFonts w:cs="Arial"/>
        </w:rPr>
        <w:t>as evidence indicates rapid absorption through the skin</w:t>
      </w:r>
      <w:r>
        <w:rPr>
          <w:rFonts w:cs="Arial"/>
        </w:rPr>
        <w:t xml:space="preserve"> and </w:t>
      </w:r>
      <w:r w:rsidRPr="00BB3354">
        <w:rPr>
          <w:rFonts w:cs="Arial"/>
        </w:rPr>
        <w:t>adverse systemic effects in animals</w:t>
      </w:r>
      <w:r w:rsidR="008E4F1F" w:rsidRPr="00BB3354">
        <w:rPr>
          <w:rFonts w:cs="Arial"/>
        </w:rPr>
        <w:t>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F629F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F629F1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695247F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D1F9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D1F9B">
                  <w:t>TWA: 1 ppm (3.8 mg/m</w:t>
                </w:r>
                <w:r w:rsidR="00CD1F9B" w:rsidRPr="00CD1F9B">
                  <w:rPr>
                    <w:vertAlign w:val="superscript"/>
                  </w:rPr>
                  <w:t>3</w:t>
                </w:r>
                <w:r w:rsidR="00CD1F9B">
                  <w:t>)</w:t>
                </w:r>
              </w:sdtContent>
            </w:sdt>
          </w:p>
        </w:tc>
      </w:tr>
      <w:tr w:rsidR="00C978F0" w:rsidRPr="00DA352E" w14:paraId="26087DDB" w14:textId="77777777" w:rsidTr="00F629F1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F629F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386D8BF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D1F9B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D1F9B">
                  <w:t>TLV-TWA: 1 ppm (3.8 mg/m</w:t>
                </w:r>
                <w:r w:rsidR="00CD1F9B" w:rsidRPr="00CD1F9B">
                  <w:rPr>
                    <w:vertAlign w:val="superscript"/>
                  </w:rPr>
                  <w:t>3</w:t>
                </w:r>
                <w:r w:rsidR="00CD1F9B">
                  <w:t>)</w:t>
                </w:r>
              </w:sdtContent>
            </w:sdt>
          </w:p>
        </w:tc>
      </w:tr>
      <w:tr w:rsidR="00C978F0" w:rsidRPr="00DA352E" w14:paraId="418D532D" w14:textId="77777777" w:rsidTr="00F629F1">
        <w:trPr>
          <w:gridAfter w:val="1"/>
          <w:wAfter w:w="8" w:type="pct"/>
        </w:trPr>
        <w:tc>
          <w:tcPr>
            <w:tcW w:w="4992" w:type="pct"/>
          </w:tcPr>
          <w:p w14:paraId="500206B3" w14:textId="77777777" w:rsidR="00C978F0" w:rsidRDefault="00B214A6" w:rsidP="003365A5">
            <w:pPr>
              <w:pStyle w:val="Tabletextprimarysource"/>
            </w:pPr>
            <w:r>
              <w:t>TLV-TWA recommended to minimise respiratory and eye irritation.</w:t>
            </w:r>
          </w:p>
          <w:p w14:paraId="6E9754E7" w14:textId="09B75381" w:rsidR="00B214A6" w:rsidRDefault="00B214A6" w:rsidP="003365A5">
            <w:pPr>
              <w:pStyle w:val="Tabletextprimarysource"/>
            </w:pPr>
            <w:r>
              <w:t>Summary of data:</w:t>
            </w:r>
          </w:p>
          <w:p w14:paraId="627A7156" w14:textId="77777777" w:rsidR="00B214A6" w:rsidRDefault="00B214A6" w:rsidP="003365A5">
            <w:pPr>
              <w:pStyle w:val="Tabletextprimarysource"/>
            </w:pPr>
            <w:r>
              <w:t>Derivation of the TWA is not provided.</w:t>
            </w:r>
          </w:p>
          <w:p w14:paraId="11734D78" w14:textId="590B3375" w:rsidR="00B214A6" w:rsidRDefault="00B214A6" w:rsidP="003365A5">
            <w:pPr>
              <w:pStyle w:val="Tabletextprimarysource"/>
            </w:pPr>
            <w:r>
              <w:t>Human data:</w:t>
            </w:r>
          </w:p>
          <w:p w14:paraId="57CD88E7" w14:textId="42240410" w:rsidR="00B214A6" w:rsidRDefault="00973588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Expected to cause irritation of eyes, skin or respiratory tract d</w:t>
            </w:r>
            <w:r w:rsidR="00FE6B71">
              <w:t xml:space="preserve">ue to acidic nature </w:t>
            </w:r>
          </w:p>
          <w:p w14:paraId="4C3C380C" w14:textId="32F4D398" w:rsidR="00FE6B71" w:rsidRDefault="0035657B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NH</w:t>
            </w:r>
            <w:r w:rsidRPr="002D0EE3">
              <w:rPr>
                <w:vertAlign w:val="subscript"/>
              </w:rPr>
              <w:t>4</w:t>
            </w:r>
            <w:r>
              <w:t xml:space="preserve"> </w:t>
            </w:r>
            <w:r w:rsidR="00FE6B71">
              <w:t xml:space="preserve">and </w:t>
            </w:r>
            <w:r>
              <w:t xml:space="preserve">Na </w:t>
            </w:r>
            <w:r w:rsidR="00FE6B71">
              <w:t>salts of the acid reportedly cause skin lesions of neck, ears and shoulders following permanent hair waving</w:t>
            </w:r>
          </w:p>
          <w:p w14:paraId="5D8495D6" w14:textId="6765339B" w:rsidR="00447EDE" w:rsidRDefault="00FE6B71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Contact with </w:t>
            </w:r>
            <w:r w:rsidR="0035657B">
              <w:t>NH</w:t>
            </w:r>
            <w:r w:rsidR="0035657B" w:rsidRPr="002D0EE3">
              <w:rPr>
                <w:vertAlign w:val="subscript"/>
              </w:rPr>
              <w:t>4</w:t>
            </w:r>
            <w:r w:rsidR="0035657B">
              <w:t xml:space="preserve"> </w:t>
            </w:r>
            <w:r>
              <w:t>salt causes allergic contact dermatitis</w:t>
            </w:r>
            <w:r w:rsidR="00AD1FCE">
              <w:t>:</w:t>
            </w:r>
            <w:r>
              <w:t xml:space="preserve"> </w:t>
            </w:r>
          </w:p>
          <w:p w14:paraId="08A30DEE" w14:textId="4586C01B" w:rsidR="00FE6B71" w:rsidRDefault="00FE6B71" w:rsidP="00447EDE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r>
              <w:t>rare cases of contact eczema of hands and arms in hairdressers</w:t>
            </w:r>
          </w:p>
          <w:p w14:paraId="03FF2ADF" w14:textId="3079BE97" w:rsidR="0035657B" w:rsidRDefault="00EF46A7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Patch testing of volunteers with concentrations up to 11% (not neutralised) for 1</w:t>
            </w:r>
            <w:r w:rsidR="005F5813">
              <w:t>–</w:t>
            </w:r>
            <w:r>
              <w:t>96 h, abraded and unabraded skin</w:t>
            </w:r>
            <w:r w:rsidR="00AD1FCE">
              <w:t>:</w:t>
            </w:r>
            <w:r w:rsidR="0035657B">
              <w:t xml:space="preserve"> </w:t>
            </w:r>
          </w:p>
          <w:p w14:paraId="61BD0402" w14:textId="4991754E" w:rsidR="00447EDE" w:rsidRDefault="0035657B" w:rsidP="00447EDE">
            <w:pPr>
              <w:pStyle w:val="ListBullet"/>
              <w:numPr>
                <w:ilvl w:val="0"/>
                <w:numId w:val="22"/>
              </w:numPr>
              <w:spacing w:before="60" w:after="60"/>
              <w:ind w:left="1159"/>
              <w:contextualSpacing w:val="0"/>
            </w:pPr>
            <w:r>
              <w:t>c</w:t>
            </w:r>
            <w:r w:rsidR="00EF46A7">
              <w:t xml:space="preserve">aused irritation at 2.8% or higher </w:t>
            </w:r>
          </w:p>
          <w:p w14:paraId="5C54B5D7" w14:textId="6E522E09" w:rsidR="00EF46A7" w:rsidRDefault="00EF46A7" w:rsidP="00447EDE">
            <w:pPr>
              <w:pStyle w:val="ListBullet"/>
              <w:numPr>
                <w:ilvl w:val="0"/>
                <w:numId w:val="22"/>
              </w:numPr>
              <w:spacing w:before="60" w:after="60"/>
              <w:ind w:left="1159"/>
              <w:contextualSpacing w:val="0"/>
            </w:pPr>
            <w:r>
              <w:t>most irritating to abraded skin</w:t>
            </w:r>
          </w:p>
          <w:p w14:paraId="50FB76A8" w14:textId="5CA01C43" w:rsidR="00EF46A7" w:rsidRDefault="00EF46A7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4.6% aqueous solution caused irritation in volunteers after 4</w:t>
            </w:r>
            <w:r w:rsidR="003B5AFC">
              <w:sym w:font="Symbol" w:char="F02D"/>
            </w:r>
            <w:r>
              <w:t>6 h</w:t>
            </w:r>
          </w:p>
          <w:p w14:paraId="34F1E621" w14:textId="2E8119A3" w:rsidR="00EF46A7" w:rsidRDefault="00EF46A7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Repeated applications of </w:t>
            </w:r>
            <w:r w:rsidR="0035657B">
              <w:t>NH</w:t>
            </w:r>
            <w:r w:rsidR="0035657B" w:rsidRPr="00772C7D">
              <w:rPr>
                <w:vertAlign w:val="subscript"/>
              </w:rPr>
              <w:t>4</w:t>
            </w:r>
            <w:r w:rsidR="0035657B">
              <w:t xml:space="preserve"> </w:t>
            </w:r>
            <w:r>
              <w:t>salt in healthy humans at 14.6</w:t>
            </w:r>
            <w:r w:rsidR="0064172B">
              <w:sym w:font="Symbol" w:char="F02D"/>
            </w:r>
            <w:r>
              <w:t xml:space="preserve">18% in aqueous solution caused significant </w:t>
            </w:r>
            <w:r w:rsidR="003E2C2A">
              <w:t xml:space="preserve">skin irritation and </w:t>
            </w:r>
            <w:proofErr w:type="gramStart"/>
            <w:r w:rsidR="003E2C2A">
              <w:t>low level</w:t>
            </w:r>
            <w:proofErr w:type="gramEnd"/>
            <w:r w:rsidR="003E2C2A">
              <w:t xml:space="preserve"> allergic contact dermatitis</w:t>
            </w:r>
          </w:p>
          <w:p w14:paraId="27E97E59" w14:textId="0A152341" w:rsidR="00447EDE" w:rsidRDefault="003E2C2A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Second degree burns of skin following accidental exposure to eye, face, legs and arms</w:t>
            </w:r>
            <w:r w:rsidR="00AD1FCE">
              <w:t>:</w:t>
            </w:r>
            <w:r>
              <w:t xml:space="preserve"> </w:t>
            </w:r>
          </w:p>
          <w:p w14:paraId="616C3405" w14:textId="2B4F9A91" w:rsidR="003E2C2A" w:rsidRDefault="003E2C2A" w:rsidP="00447EDE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r>
              <w:t>lead to clouding of cornea; outcome not provided</w:t>
            </w:r>
            <w:r w:rsidR="00CC7F23">
              <w:t>.</w:t>
            </w:r>
          </w:p>
          <w:p w14:paraId="15021165" w14:textId="77777777" w:rsidR="003E2C2A" w:rsidRDefault="003E2C2A" w:rsidP="003E2C2A">
            <w:pPr>
              <w:pStyle w:val="Tabletextprimarysource"/>
            </w:pPr>
            <w:r>
              <w:t>Animal data:</w:t>
            </w:r>
          </w:p>
          <w:p w14:paraId="78B37D5E" w14:textId="77777777" w:rsidR="003E2C2A" w:rsidRDefault="003E2C2A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Oral LD</w:t>
            </w:r>
            <w:r w:rsidRPr="003E2C2A">
              <w:rPr>
                <w:vertAlign w:val="subscript"/>
              </w:rPr>
              <w:t>50</w:t>
            </w:r>
            <w:r>
              <w:t>: 114 mg/kg (rat); 242 mg/kg (mice); 119 mg/kg (rabbit); 126 mg/kg (guinea pig)</w:t>
            </w:r>
          </w:p>
          <w:p w14:paraId="556E1739" w14:textId="6483400A" w:rsidR="003E2C2A" w:rsidRDefault="00634BA5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Severely corrosive to rabbit eye</w:t>
            </w:r>
          </w:p>
          <w:p w14:paraId="691675E4" w14:textId="77777777" w:rsidR="00634BA5" w:rsidRDefault="00576C5B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LD</w:t>
            </w:r>
            <w:r w:rsidRPr="00576C5B">
              <w:rPr>
                <w:vertAlign w:val="subscript"/>
              </w:rPr>
              <w:t>50</w:t>
            </w:r>
            <w:r>
              <w:t>: 47 mg/kg (mice); 848 mg/kg (rabbit)</w:t>
            </w:r>
          </w:p>
          <w:p w14:paraId="603012D6" w14:textId="749590BC" w:rsidR="00576C5B" w:rsidRDefault="00576C5B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Single dermal application patch produced necrosis in rabbit skin in 5 min, with local hyperaemia</w:t>
            </w:r>
          </w:p>
          <w:p w14:paraId="3E51DC9B" w14:textId="77777777" w:rsidR="00576C5B" w:rsidRDefault="00576C5B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Repeated exposure causes skin sensitisation (with acid and its salts)</w:t>
            </w:r>
          </w:p>
          <w:p w14:paraId="5DE44759" w14:textId="361C4A22" w:rsidR="00447EDE" w:rsidRDefault="00576C5B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 h LC</w:t>
            </w:r>
            <w:r w:rsidRPr="00576C5B">
              <w:rPr>
                <w:vertAlign w:val="subscript"/>
              </w:rPr>
              <w:t>50</w:t>
            </w:r>
            <w:r>
              <w:t>: 56 ppm (210 mg/m</w:t>
            </w:r>
            <w:r w:rsidRPr="00576C5B">
              <w:rPr>
                <w:vertAlign w:val="superscript"/>
              </w:rPr>
              <w:t>3</w:t>
            </w:r>
            <w:r>
              <w:t>) (rats, whole body exposure)</w:t>
            </w:r>
            <w:r w:rsidR="00973588">
              <w:t>:</w:t>
            </w:r>
            <w:r>
              <w:t xml:space="preserve"> </w:t>
            </w:r>
          </w:p>
          <w:p w14:paraId="465DBF1B" w14:textId="77777777" w:rsidR="00447EDE" w:rsidRDefault="00576C5B" w:rsidP="00447EDE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r>
              <w:t>all rats survived at 18 ppm (68 mg/m</w:t>
            </w:r>
            <w:r w:rsidRPr="00576C5B">
              <w:rPr>
                <w:vertAlign w:val="superscript"/>
              </w:rPr>
              <w:t>3</w:t>
            </w:r>
            <w:r>
              <w:t>)</w:t>
            </w:r>
            <w:r w:rsidR="005D14BE">
              <w:t xml:space="preserve">; </w:t>
            </w:r>
          </w:p>
          <w:p w14:paraId="47A55CC7" w14:textId="13ABF189" w:rsidR="00576C5B" w:rsidRDefault="005D14BE" w:rsidP="00447EDE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r>
              <w:t>clinical signs: abnormal respiration, lung congestion, increased lung weight</w:t>
            </w:r>
          </w:p>
          <w:p w14:paraId="59DB28E0" w14:textId="50A3AAC0" w:rsidR="00576C5B" w:rsidRDefault="005D14BE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 </w:t>
            </w:r>
            <w:r w:rsidR="00447EDE">
              <w:t>LLNA</w:t>
            </w:r>
            <w:r>
              <w:t xml:space="preserve"> </w:t>
            </w:r>
            <w:r w:rsidR="0035657B">
              <w:t>NH</w:t>
            </w:r>
            <w:r w:rsidR="0035657B" w:rsidRPr="00772C7D">
              <w:rPr>
                <w:vertAlign w:val="subscript"/>
              </w:rPr>
              <w:t>4</w:t>
            </w:r>
            <w:r w:rsidR="0035657B">
              <w:t xml:space="preserve"> </w:t>
            </w:r>
            <w:r>
              <w:t>salt in acetone/water/olive oil strongly sensitising in mice</w:t>
            </w:r>
          </w:p>
          <w:p w14:paraId="4431D152" w14:textId="66CB60C9" w:rsidR="005D14BE" w:rsidRDefault="0035657B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Na </w:t>
            </w:r>
            <w:r w:rsidR="00E04407">
              <w:t xml:space="preserve">salt administered </w:t>
            </w:r>
            <w:r w:rsidR="00E04407" w:rsidRPr="00447EDE">
              <w:rPr>
                <w:i/>
              </w:rPr>
              <w:t>via</w:t>
            </w:r>
            <w:r w:rsidR="00E04407">
              <w:t xml:space="preserve"> dermal route at 0, 11.25, 22.5, 45, 90 or 180 mg/kg/d in rats</w:t>
            </w:r>
            <w:r w:rsidR="004F2335">
              <w:t xml:space="preserve"> and</w:t>
            </w:r>
            <w:r w:rsidR="00E04407">
              <w:t xml:space="preserve"> 0,</w:t>
            </w:r>
            <w:r w:rsidR="004F2335">
              <w:t> </w:t>
            </w:r>
            <w:r w:rsidR="00E04407">
              <w:t>22.5, 45, 90, 180 or 360 mg/kg/d in mice, 5 d/</w:t>
            </w:r>
            <w:proofErr w:type="spellStart"/>
            <w:r w:rsidR="00E04407">
              <w:t>wk</w:t>
            </w:r>
            <w:proofErr w:type="spellEnd"/>
            <w:r w:rsidR="00E04407">
              <w:t xml:space="preserve"> for 13 </w:t>
            </w:r>
            <w:proofErr w:type="spellStart"/>
            <w:r w:rsidR="00E04407">
              <w:t>wk</w:t>
            </w:r>
            <w:proofErr w:type="spellEnd"/>
            <w:r w:rsidR="00E04407">
              <w:t>:</w:t>
            </w:r>
          </w:p>
          <w:p w14:paraId="4C5E3D50" w14:textId="4B165F3B" w:rsidR="00E04407" w:rsidRDefault="00752916" w:rsidP="00447EDE">
            <w:pPr>
              <w:pStyle w:val="ListBullet2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s</w:t>
            </w:r>
            <w:r w:rsidR="00E04407">
              <w:t>kin irritation at application site only treatment related effect</w:t>
            </w:r>
          </w:p>
          <w:p w14:paraId="13CBBFB1" w14:textId="595B7CBC" w:rsidR="00E04407" w:rsidRDefault="00E04407" w:rsidP="00447EDE">
            <w:pPr>
              <w:pStyle w:val="ListBullet2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LOEL 11.25 and 45 mg/kg/d in rats and mice</w:t>
            </w:r>
            <w:r w:rsidR="004F2335">
              <w:t>,</w:t>
            </w:r>
            <w:r>
              <w:t xml:space="preserve"> respectively</w:t>
            </w:r>
          </w:p>
          <w:p w14:paraId="0EA2E232" w14:textId="0EECE1C1" w:rsidR="00E04407" w:rsidRDefault="00497CE3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Estimated NOAEL for systemic toxicity </w:t>
            </w:r>
            <w:r w:rsidR="0035657B">
              <w:t>&gt;</w:t>
            </w:r>
            <w:r>
              <w:t>180 and 360 mg/kg/d in rats and mice respectively</w:t>
            </w:r>
            <w:r w:rsidR="004F2335">
              <w:t xml:space="preserve">. No </w:t>
            </w:r>
            <w:r>
              <w:t>further information</w:t>
            </w:r>
          </w:p>
          <w:p w14:paraId="10A589C3" w14:textId="0F0E5C71" w:rsidR="00497CE3" w:rsidRDefault="00EC3BBA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13</w:t>
            </w:r>
            <w:r w:rsidR="0064172B"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oral study with </w:t>
            </w:r>
            <w:r w:rsidR="0035657B">
              <w:t xml:space="preserve">Na </w:t>
            </w:r>
            <w:r>
              <w:t xml:space="preserve">salt in rats exposed at 0, 7, 20 and 60 mg/kg/d (by gavage), </w:t>
            </w:r>
            <w:r w:rsidR="00447EDE">
              <w:t>7 </w:t>
            </w:r>
            <w:r>
              <w:t>d/</w:t>
            </w:r>
            <w:proofErr w:type="spellStart"/>
            <w:r>
              <w:t>wk</w:t>
            </w:r>
            <w:proofErr w:type="spellEnd"/>
            <w:r>
              <w:t xml:space="preserve"> resulted in NOAEL of 20 mg/kg/d and NOEL of 7 mg/kg/d; main effects (reversible) inhibition of </w:t>
            </w:r>
            <w:r>
              <w:rPr>
                <w:rFonts w:ascii="GreekPlus" w:hAnsi="GreekPlus"/>
              </w:rPr>
              <w:t>b</w:t>
            </w:r>
            <w:r>
              <w:t>-oxidation of fatty acids</w:t>
            </w:r>
          </w:p>
          <w:p w14:paraId="0C61B64D" w14:textId="77777777" w:rsidR="00EC3BBA" w:rsidRDefault="00877F5E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genotoxicity studies</w:t>
            </w:r>
            <w:r w:rsidR="007C6EA6">
              <w:t>.</w:t>
            </w:r>
          </w:p>
          <w:p w14:paraId="1A021270" w14:textId="77777777" w:rsidR="00447EDE" w:rsidRDefault="00447EDE" w:rsidP="007C6EA6">
            <w:pPr>
              <w:pStyle w:val="Tabletextprimarysource"/>
            </w:pPr>
          </w:p>
          <w:p w14:paraId="36866DA6" w14:textId="77777777" w:rsidR="00447EDE" w:rsidRDefault="0035657B" w:rsidP="007C6EA6">
            <w:pPr>
              <w:pStyle w:val="Tabletextprimarysource"/>
            </w:pPr>
            <w:r>
              <w:t>S</w:t>
            </w:r>
            <w:r w:rsidR="007C6EA6">
              <w:t xml:space="preserve">kin notation recommended due to systemic effects in animals following low, single doses. </w:t>
            </w:r>
          </w:p>
          <w:p w14:paraId="35663314" w14:textId="2CC256BD" w:rsidR="007C6EA6" w:rsidRDefault="007C6EA6" w:rsidP="007C6EA6">
            <w:pPr>
              <w:pStyle w:val="Tabletextprimarysource"/>
            </w:pPr>
            <w:r>
              <w:t>DSEN notation warranted but insufficient data available to recommend a TLV-STEL, carcinogenicity or RSEN notations.</w:t>
            </w:r>
          </w:p>
          <w:p w14:paraId="0CE4D35D" w14:textId="5C8A0171" w:rsidR="00447EDE" w:rsidRPr="00DA352E" w:rsidRDefault="00447EDE" w:rsidP="007C6EA6">
            <w:pPr>
              <w:pStyle w:val="Tabletextprimarysource"/>
            </w:pPr>
          </w:p>
        </w:tc>
      </w:tr>
      <w:tr w:rsidR="00C978F0" w:rsidRPr="00DA352E" w14:paraId="174F8B79" w14:textId="77777777" w:rsidTr="00F629F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0EB6768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D1F9B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D1F9B">
                  <w:t>Not assigned</w:t>
                </w:r>
              </w:sdtContent>
            </w:sdt>
          </w:p>
        </w:tc>
      </w:tr>
      <w:tr w:rsidR="00C978F0" w:rsidRPr="00DA352E" w14:paraId="4433014F" w14:textId="77777777" w:rsidTr="00F629F1">
        <w:trPr>
          <w:gridAfter w:val="1"/>
          <w:wAfter w:w="8" w:type="pct"/>
          <w:cantSplit/>
        </w:trPr>
        <w:tc>
          <w:tcPr>
            <w:tcW w:w="4992" w:type="pct"/>
          </w:tcPr>
          <w:p w14:paraId="558C12D9" w14:textId="1512BA67" w:rsidR="00C978F0" w:rsidRDefault="00E429B8" w:rsidP="003365A5">
            <w:pPr>
              <w:pStyle w:val="Tabletextprimarysource"/>
            </w:pPr>
            <w:r>
              <w:t xml:space="preserve">Review is based on the acid and its </w:t>
            </w:r>
            <w:r w:rsidR="0035657B">
              <w:t>NH</w:t>
            </w:r>
            <w:r w:rsidR="0035657B" w:rsidRPr="00772C7D">
              <w:rPr>
                <w:vertAlign w:val="subscript"/>
              </w:rPr>
              <w:t>4</w:t>
            </w:r>
            <w:r w:rsidR="0035657B">
              <w:t xml:space="preserve"> </w:t>
            </w:r>
            <w:r>
              <w:t>salt.</w:t>
            </w:r>
          </w:p>
          <w:p w14:paraId="41AC228E" w14:textId="2048BF61" w:rsidR="00E429B8" w:rsidRDefault="00E429B8" w:rsidP="003365A5">
            <w:pPr>
              <w:pStyle w:val="Tabletextprimarysource"/>
            </w:pPr>
            <w:r>
              <w:t>Summary of additional data:</w:t>
            </w:r>
          </w:p>
          <w:p w14:paraId="53073BA2" w14:textId="49A14286" w:rsidR="000353B7" w:rsidRDefault="000353B7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Critical effect of the acid is local irritation while main effect of salts </w:t>
            </w:r>
            <w:proofErr w:type="gramStart"/>
            <w:r>
              <w:t>are</w:t>
            </w:r>
            <w:proofErr w:type="gramEnd"/>
            <w:r>
              <w:t xml:space="preserve"> systemic </w:t>
            </w:r>
          </w:p>
          <w:p w14:paraId="6314EC93" w14:textId="34FD26E1" w:rsidR="00447EDE" w:rsidRDefault="00E429B8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Acid has low potential for contact sensitisation in humans</w:t>
            </w:r>
            <w:r w:rsidR="00973588">
              <w:t>:</w:t>
            </w:r>
            <w:r>
              <w:t xml:space="preserve"> </w:t>
            </w:r>
          </w:p>
          <w:p w14:paraId="6991B2CE" w14:textId="62029B52" w:rsidR="00E429B8" w:rsidRDefault="009A7CEC" w:rsidP="00447EDE">
            <w:pPr>
              <w:pStyle w:val="ListBullet"/>
              <w:numPr>
                <w:ilvl w:val="0"/>
                <w:numId w:val="24"/>
              </w:numPr>
              <w:spacing w:before="60" w:after="60"/>
              <w:contextualSpacing w:val="0"/>
            </w:pPr>
            <w:r>
              <w:t>salt has contact sensitisation potential</w:t>
            </w:r>
          </w:p>
          <w:p w14:paraId="1D6C978E" w14:textId="77777777" w:rsidR="009A7CEC" w:rsidRDefault="009A7CEC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Repeated inhalation exposure studies not available</w:t>
            </w:r>
          </w:p>
          <w:p w14:paraId="517B55C9" w14:textId="3D5C0E56" w:rsidR="00447EDE" w:rsidRDefault="009A7CEC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Inhalation and oral carcinogenicity studies in animals not available</w:t>
            </w:r>
            <w:r w:rsidR="00973588">
              <w:t>:</w:t>
            </w:r>
            <w:r>
              <w:t xml:space="preserve"> </w:t>
            </w:r>
          </w:p>
          <w:p w14:paraId="2C03ACE4" w14:textId="0465D3CF" w:rsidR="009A7CEC" w:rsidRDefault="009A7CEC" w:rsidP="00447EDE">
            <w:pPr>
              <w:pStyle w:val="ListBullet"/>
              <w:numPr>
                <w:ilvl w:val="0"/>
                <w:numId w:val="24"/>
              </w:numPr>
              <w:spacing w:before="60" w:after="60"/>
              <w:contextualSpacing w:val="0"/>
            </w:pPr>
            <w:r>
              <w:t>negative results in dermal carcinogenicity study in mice</w:t>
            </w:r>
          </w:p>
          <w:p w14:paraId="09CEFA49" w14:textId="50F18758" w:rsidR="009A7CEC" w:rsidRDefault="00240035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Average air concentration of </w:t>
            </w:r>
            <w:r w:rsidR="0035657B">
              <w:t>NH</w:t>
            </w:r>
            <w:r w:rsidR="0035657B" w:rsidRPr="00772C7D">
              <w:rPr>
                <w:vertAlign w:val="subscript"/>
              </w:rPr>
              <w:t>4</w:t>
            </w:r>
            <w:r w:rsidR="0035657B">
              <w:t xml:space="preserve"> </w:t>
            </w:r>
            <w:r>
              <w:t>salt in 21 hairdressing salons 2.6</w:t>
            </w:r>
            <w:r w:rsidR="00664BEA">
              <w:sym w:font="Symbol" w:char="F02D"/>
            </w:r>
            <w:r>
              <w:t xml:space="preserve">4.8 </w:t>
            </w:r>
            <w:r>
              <w:rPr>
                <w:rFonts w:cs="Arial"/>
              </w:rPr>
              <w:t>µ</w:t>
            </w:r>
            <w:r>
              <w:t>g/m</w:t>
            </w:r>
            <w:r w:rsidRPr="00240035">
              <w:rPr>
                <w:vertAlign w:val="superscript"/>
              </w:rPr>
              <w:t>3</w:t>
            </w:r>
            <w:r>
              <w:t>; no further information</w:t>
            </w:r>
          </w:p>
          <w:p w14:paraId="58DDBF3C" w14:textId="77777777" w:rsidR="00240035" w:rsidRDefault="00240035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Regarded as corrosive to human skin (from human skin model)</w:t>
            </w:r>
          </w:p>
          <w:p w14:paraId="68AE22A9" w14:textId="77777777" w:rsidR="00240035" w:rsidRDefault="00CC7F23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Sensitisation most common in hairdressers with suspected occupational allergic dermatitis</w:t>
            </w:r>
          </w:p>
          <w:p w14:paraId="2210B81F" w14:textId="16101379" w:rsidR="00CC7F23" w:rsidRDefault="00CC7F23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 h LC</w:t>
            </w:r>
            <w:r w:rsidRPr="00CC7F23">
              <w:rPr>
                <w:vertAlign w:val="subscript"/>
              </w:rPr>
              <w:t>50</w:t>
            </w:r>
            <w:r w:rsidR="00BC4D96">
              <w:t xml:space="preserve"> of</w:t>
            </w:r>
            <w:r>
              <w:t xml:space="preserve"> 1,098 mg/m</w:t>
            </w:r>
            <w:r w:rsidRPr="00CC7F23">
              <w:rPr>
                <w:vertAlign w:val="superscript"/>
              </w:rPr>
              <w:t>3</w:t>
            </w:r>
            <w:r>
              <w:t xml:space="preserve"> (female rat)</w:t>
            </w:r>
            <w:r w:rsidR="00BC4D96">
              <w:t xml:space="preserve"> and</w:t>
            </w:r>
            <w:r w:rsidR="008859C7">
              <w:t xml:space="preserve"> </w:t>
            </w:r>
            <w:r>
              <w:t>2,172 mg/m</w:t>
            </w:r>
            <w:r w:rsidRPr="00CC7F23">
              <w:rPr>
                <w:vertAlign w:val="superscript"/>
              </w:rPr>
              <w:t>3</w:t>
            </w:r>
            <w:r>
              <w:t xml:space="preserve"> (male rat); nose only; according to OECD </w:t>
            </w:r>
            <w:r w:rsidR="00447EDE">
              <w:t>TG</w:t>
            </w:r>
          </w:p>
          <w:p w14:paraId="5B015468" w14:textId="5CE209B8" w:rsidR="00CC7F23" w:rsidRDefault="000362C0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13 </w:t>
            </w:r>
            <w:proofErr w:type="spellStart"/>
            <w:r>
              <w:t>wk</w:t>
            </w:r>
            <w:proofErr w:type="spellEnd"/>
            <w:r>
              <w:t xml:space="preserve"> </w:t>
            </w:r>
            <w:r w:rsidR="00E27114">
              <w:t xml:space="preserve">oral study in rats with </w:t>
            </w:r>
            <w:r w:rsidR="002D0EE3">
              <w:t xml:space="preserve">Na </w:t>
            </w:r>
            <w:r w:rsidR="00E27114">
              <w:t xml:space="preserve">salt (cited in ACGIH, 2018): </w:t>
            </w:r>
          </w:p>
          <w:p w14:paraId="435B7511" w14:textId="5A5CA694" w:rsidR="00E27114" w:rsidRDefault="0035657B" w:rsidP="00447EDE">
            <w:pPr>
              <w:pStyle w:val="ListBullet2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a</w:t>
            </w:r>
            <w:r w:rsidR="00E27114">
              <w:t xml:space="preserve">ccording to OECD report, NOAEL of 20 mg/kg/d is identified as no histopathological changes found after this dose; only reversible biochemical changes in females occurred </w:t>
            </w:r>
          </w:p>
          <w:p w14:paraId="78F3299B" w14:textId="04D63E3B" w:rsidR="00E27114" w:rsidRDefault="0035657B" w:rsidP="00447EDE">
            <w:pPr>
              <w:pStyle w:val="ListBullet2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c</w:t>
            </w:r>
            <w:r w:rsidR="00E27114">
              <w:t>ommission regard NOAEL of 7 mg/kg/d</w:t>
            </w:r>
            <w:r w:rsidR="00E23C93">
              <w:t xml:space="preserve"> (corresponding to thioglycolate doses of 5.7 mg/kg/d)</w:t>
            </w:r>
            <w:r w:rsidR="00E27114">
              <w:t xml:space="preserve">, as observed effects (inhibition of </w:t>
            </w:r>
            <w:r w:rsidR="00E27114">
              <w:rPr>
                <w:rFonts w:ascii="GreekPlus" w:hAnsi="GreekPlus"/>
              </w:rPr>
              <w:t>b</w:t>
            </w:r>
            <w:r w:rsidR="00E27114">
              <w:t xml:space="preserve">-oxidation of fatty acids) </w:t>
            </w:r>
            <w:r w:rsidR="002D0EE3">
              <w:t xml:space="preserve">and </w:t>
            </w:r>
            <w:r w:rsidR="00E27114">
              <w:t>correspond with mode of action of the substance</w:t>
            </w:r>
          </w:p>
          <w:p w14:paraId="043DB78E" w14:textId="0EB261DF" w:rsidR="001E5F8D" w:rsidRDefault="000353B7" w:rsidP="00447ED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Undiluted acid form considered corrosive to rabbit eye; 10% aqueous solution considered irritating</w:t>
            </w:r>
            <w:r w:rsidR="0064172B">
              <w:t>.</w:t>
            </w:r>
          </w:p>
          <w:p w14:paraId="1B58ADDF" w14:textId="77777777" w:rsidR="00447EDE" w:rsidRDefault="00447EDE" w:rsidP="00E23C93">
            <w:pPr>
              <w:pStyle w:val="Tabletextprimarysource"/>
            </w:pPr>
          </w:p>
          <w:p w14:paraId="59FA620F" w14:textId="33B3BF81" w:rsidR="000353B7" w:rsidRDefault="002D0EE3" w:rsidP="00E23C93">
            <w:pPr>
              <w:pStyle w:val="Tabletextprimarysource"/>
            </w:pPr>
            <w:r>
              <w:t>R</w:t>
            </w:r>
            <w:r w:rsidR="001C598A">
              <w:t>ecommend</w:t>
            </w:r>
            <w:r>
              <w:t>ed</w:t>
            </w:r>
            <w:r w:rsidR="00E23C93">
              <w:t xml:space="preserve"> MAK of 2 mg/m</w:t>
            </w:r>
            <w:r w:rsidR="00E23C93" w:rsidRPr="00E23C93">
              <w:rPr>
                <w:vertAlign w:val="superscript"/>
              </w:rPr>
              <w:t>3</w:t>
            </w:r>
            <w:r w:rsidR="00E23C93">
              <w:t xml:space="preserve"> for thioglycolates using NOAEL of 7 mg/kg/d (corresponding to thioglycolate doses of 5.7 mg/kg/d). </w:t>
            </w:r>
            <w:r w:rsidR="00A12682">
              <w:t>Value is converted from 7 d</w:t>
            </w:r>
            <w:r w:rsidR="0064172B">
              <w:t>/</w:t>
            </w:r>
            <w:proofErr w:type="spellStart"/>
            <w:r w:rsidR="00A12682">
              <w:t>wk</w:t>
            </w:r>
            <w:proofErr w:type="spellEnd"/>
            <w:r w:rsidR="00A12682">
              <w:t xml:space="preserve"> to 5 d</w:t>
            </w:r>
            <w:r w:rsidR="0064172B">
              <w:t>/</w:t>
            </w:r>
            <w:proofErr w:type="spellStart"/>
            <w:r w:rsidR="00A12682">
              <w:t>wk</w:t>
            </w:r>
            <w:proofErr w:type="spellEnd"/>
            <w:r w:rsidR="00A12682">
              <w:t xml:space="preserve">, </w:t>
            </w:r>
            <w:r w:rsidR="001C598A">
              <w:t>a</w:t>
            </w:r>
            <w:r w:rsidR="00A12682">
              <w:t xml:space="preserve"> </w:t>
            </w:r>
            <w:r w:rsidR="001C598A">
              <w:t>species-specific correction factor of 4 for</w:t>
            </w:r>
            <w:r w:rsidR="00A12682">
              <w:t xml:space="preserve"> rats </w:t>
            </w:r>
            <w:r w:rsidR="001C598A">
              <w:t>and extrapolation from animal study to derive MAK of 2</w:t>
            </w:r>
            <w:r w:rsidR="005F5813">
              <w:t> </w:t>
            </w:r>
            <w:r w:rsidR="00A12682">
              <w:t>mg/m</w:t>
            </w:r>
            <w:r w:rsidR="00A12682" w:rsidRPr="00E23C93">
              <w:rPr>
                <w:vertAlign w:val="superscript"/>
              </w:rPr>
              <w:t>3</w:t>
            </w:r>
            <w:r w:rsidR="001C598A">
              <w:t>.</w:t>
            </w:r>
          </w:p>
          <w:p w14:paraId="61A64F09" w14:textId="34130D84" w:rsidR="00447EDE" w:rsidRPr="00DA352E" w:rsidRDefault="00447EDE" w:rsidP="00E23C93">
            <w:pPr>
              <w:pStyle w:val="Tabletextprimarysource"/>
            </w:pPr>
          </w:p>
        </w:tc>
      </w:tr>
      <w:tr w:rsidR="00C978F0" w:rsidRPr="00DA352E" w14:paraId="0E6A0B2C" w14:textId="77777777" w:rsidTr="00F629F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4B6A259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D1F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D1F9B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F629F1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3E3B943B" w:rsidR="00C978F0" w:rsidRPr="00DA352E" w:rsidRDefault="00CD1F9B" w:rsidP="003365A5">
            <w:pPr>
              <w:pStyle w:val="Tabletextprimarysource"/>
            </w:pPr>
            <w:r>
              <w:t>No report</w:t>
            </w:r>
            <w:r w:rsidR="0064172B">
              <w:t>.</w:t>
            </w:r>
          </w:p>
        </w:tc>
      </w:tr>
      <w:tr w:rsidR="00DA352E" w:rsidRPr="00DA352E" w14:paraId="12BAB90D" w14:textId="77777777" w:rsidTr="00F629F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01C5D8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D1F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D1F9B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F629F1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25F189AE" w:rsidR="00DA352E" w:rsidRPr="00DA352E" w:rsidRDefault="00CD1F9B" w:rsidP="003365A5">
            <w:pPr>
              <w:pStyle w:val="Tabletextprimarysource"/>
            </w:pPr>
            <w:r>
              <w:t>No report</w:t>
            </w:r>
            <w:r w:rsidR="0064172B">
              <w:t>.</w:t>
            </w:r>
          </w:p>
        </w:tc>
      </w:tr>
      <w:tr w:rsidR="00DA352E" w:rsidRPr="00DA352E" w14:paraId="605F758C" w14:textId="77777777" w:rsidTr="00F629F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32E1206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D1F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D1F9B">
                  <w:t>NA</w:t>
                </w:r>
                <w:proofErr w:type="spellEnd"/>
              </w:sdtContent>
            </w:sdt>
          </w:p>
        </w:tc>
      </w:tr>
      <w:tr w:rsidR="00DA352E" w:rsidRPr="00DA352E" w14:paraId="7050CB3E" w14:textId="77777777" w:rsidTr="00F629F1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6746E5FA" w:rsidR="00DA352E" w:rsidRPr="00DA352E" w:rsidRDefault="00CD1F9B" w:rsidP="003365A5">
            <w:pPr>
              <w:pStyle w:val="Tabletextprimarysource"/>
            </w:pPr>
            <w:r>
              <w:t>No report</w:t>
            </w:r>
            <w:r w:rsidR="0064172B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6AE89AB3" w14:textId="77777777" w:rsidTr="00F62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F629F1">
        <w:trPr>
          <w:cantSplit/>
        </w:trPr>
        <w:tc>
          <w:tcPr>
            <w:tcW w:w="1498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6891B771" w:rsidR="004966BF" w:rsidRPr="00CE617F" w:rsidRDefault="00F629F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9514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181197DC" w:rsidR="004966BF" w:rsidRPr="004C23F4" w:rsidRDefault="00E429B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4" w:type="dxa"/>
          </w:tcPr>
          <w:p w14:paraId="12F2A0E6" w14:textId="77777777" w:rsidR="004966BF" w:rsidRDefault="001217E7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Sublethal signs of toxicity include lethargy, piloerection, drooping eyelid and prostration</w:t>
            </w:r>
          </w:p>
          <w:p w14:paraId="04766121" w14:textId="688D31FB" w:rsidR="00DC5EFC" w:rsidRDefault="00DC5EFC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20 mg/kg/d identified from 90</w:t>
            </w:r>
            <w:r w:rsidR="00664BEA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d oral gavage study (cited in ACGIH, 2018; DFG, 2012)</w:t>
            </w:r>
            <w:r w:rsidR="00973588">
              <w:rPr>
                <w:rStyle w:val="checkbox"/>
                <w:rFonts w:ascii="Arial" w:hAnsi="Arial" w:cs="Arial"/>
              </w:rPr>
              <w:t>:</w:t>
            </w:r>
          </w:p>
          <w:p w14:paraId="49892C1A" w14:textId="67F2B92B" w:rsidR="001217E7" w:rsidRPr="00DC5EFC" w:rsidRDefault="002D0EE3" w:rsidP="00447EDE">
            <w:pPr>
              <w:pStyle w:val="ListBullet2"/>
              <w:numPr>
                <w:ilvl w:val="0"/>
                <w:numId w:val="3"/>
              </w:numPr>
              <w:spacing w:before="60" w:after="60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="00DC5EFC">
              <w:rPr>
                <w:rStyle w:val="checkbox"/>
                <w:rFonts w:ascii="Arial" w:hAnsi="Arial" w:cs="Arial"/>
              </w:rPr>
              <w:t xml:space="preserve">hanges in </w:t>
            </w:r>
            <w:r w:rsidR="00DC5EFC" w:rsidRPr="002D0EE3">
              <w:t>blood</w:t>
            </w:r>
            <w:r w:rsidR="00DC5EFC">
              <w:rPr>
                <w:rStyle w:val="checkbox"/>
                <w:rFonts w:ascii="Arial" w:hAnsi="Arial" w:cs="Arial"/>
              </w:rPr>
              <w:t xml:space="preserve"> biochemistry and </w:t>
            </w:r>
            <w:r w:rsidR="005D2551">
              <w:rPr>
                <w:rStyle w:val="checkbox"/>
                <w:rFonts w:ascii="Arial" w:hAnsi="Arial" w:cs="Arial"/>
              </w:rPr>
              <w:t xml:space="preserve">microscopic </w:t>
            </w:r>
            <w:r w:rsidR="00DC5EFC">
              <w:rPr>
                <w:rStyle w:val="checkbox"/>
                <w:rFonts w:ascii="Arial" w:hAnsi="Arial" w:cs="Arial"/>
              </w:rPr>
              <w:t xml:space="preserve">histopathological changes in liver consistent with toxic mode of action with increase concentrations of triglycerides in liver due to inhibition of </w:t>
            </w:r>
            <w:r w:rsidR="00DC5EFC">
              <w:rPr>
                <w:rFonts w:ascii="GreekPlus" w:hAnsi="GreekPlus"/>
              </w:rPr>
              <w:t>b</w:t>
            </w:r>
            <w:r w:rsidR="00DC5EFC">
              <w:t>-oxidation of fatty acids</w:t>
            </w:r>
          </w:p>
          <w:p w14:paraId="37AFAAE4" w14:textId="1664CBF1" w:rsidR="00D0279F" w:rsidRDefault="00D0279F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Dermal effects based on data for </w:t>
            </w:r>
            <w:r w:rsidR="002D0EE3">
              <w:rPr>
                <w:rStyle w:val="checkbox"/>
                <w:rFonts w:ascii="Arial" w:hAnsi="Arial" w:cs="Arial"/>
              </w:rPr>
              <w:t xml:space="preserve">Na </w:t>
            </w:r>
            <w:r>
              <w:rPr>
                <w:rStyle w:val="checkbox"/>
                <w:rFonts w:ascii="Arial" w:hAnsi="Arial" w:cs="Arial"/>
              </w:rPr>
              <w:t xml:space="preserve">salt; 13 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dermal </w:t>
            </w:r>
            <w:r w:rsidRPr="002D0EE3">
              <w:t>study</w:t>
            </w:r>
            <w:r>
              <w:rPr>
                <w:rStyle w:val="checkbox"/>
                <w:rFonts w:ascii="Arial" w:hAnsi="Arial" w:cs="Arial"/>
              </w:rPr>
              <w:t xml:space="preserve"> in rats and mice (cited in ACGIH, 2018) identified NOAELs for systemic toxicity &gt;180 mg/kg/d and &gt;360 mg/kg/d</w:t>
            </w:r>
            <w:r w:rsidR="00973588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 xml:space="preserve"> respectively (highest dose tested in each case)</w:t>
            </w:r>
          </w:p>
          <w:p w14:paraId="689EC552" w14:textId="77777777" w:rsidR="00D0279F" w:rsidRDefault="00D0279F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2D0EE3">
              <w:t>inhalation</w:t>
            </w:r>
            <w:r>
              <w:rPr>
                <w:rStyle w:val="checkbox"/>
                <w:rFonts w:ascii="Arial" w:hAnsi="Arial" w:cs="Arial"/>
              </w:rPr>
              <w:t xml:space="preserve"> data available</w:t>
            </w:r>
          </w:p>
          <w:p w14:paraId="0076C2F1" w14:textId="4263F646" w:rsidR="00D0279F" w:rsidRPr="00D0279F" w:rsidRDefault="00D0279F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Not </w:t>
            </w:r>
            <w:r w:rsidRPr="002D0EE3">
              <w:t>considered</w:t>
            </w:r>
            <w:r>
              <w:rPr>
                <w:rStyle w:val="checkbox"/>
                <w:rFonts w:ascii="Arial" w:hAnsi="Arial" w:cs="Arial"/>
              </w:rPr>
              <w:t xml:space="preserve"> genotoxic and </w:t>
            </w:r>
            <w:r w:rsidR="002D0EE3">
              <w:rPr>
                <w:rStyle w:val="checkbox"/>
                <w:rFonts w:ascii="Arial" w:hAnsi="Arial" w:cs="Arial"/>
              </w:rPr>
              <w:t xml:space="preserve">Na </w:t>
            </w:r>
            <w:r>
              <w:rPr>
                <w:rStyle w:val="checkbox"/>
                <w:rFonts w:ascii="Arial" w:hAnsi="Arial" w:cs="Arial"/>
              </w:rPr>
              <w:t>salt n</w:t>
            </w:r>
            <w:bookmarkStart w:id="1" w:name="_GoBack"/>
            <w:bookmarkEnd w:id="1"/>
            <w:r>
              <w:rPr>
                <w:rStyle w:val="checkbox"/>
                <w:rFonts w:ascii="Arial" w:hAnsi="Arial" w:cs="Arial"/>
              </w:rPr>
              <w:t xml:space="preserve">ot carcinogenic in </w:t>
            </w:r>
            <w:r w:rsidR="00447EDE">
              <w:rPr>
                <w:rStyle w:val="checkbox"/>
                <w:rFonts w:ascii="Arial" w:hAnsi="Arial" w:cs="Arial"/>
              </w:rPr>
              <w:t>7 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study in mice.</w:t>
            </w:r>
          </w:p>
        </w:tc>
      </w:tr>
      <w:tr w:rsidR="004966BF" w:rsidRPr="004C23F4" w14:paraId="61B5CF9D" w14:textId="77777777" w:rsidTr="00F629F1">
        <w:trPr>
          <w:cantSplit/>
        </w:trPr>
        <w:tc>
          <w:tcPr>
            <w:tcW w:w="1498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1B271840" w14:textId="69C941BD" w:rsidR="004966BF" w:rsidRPr="00CE617F" w:rsidRDefault="00F629F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4502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6D8F41A9" w:rsidR="004966BF" w:rsidRPr="004C23F4" w:rsidRDefault="000D5C3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2BD39884" w14:textId="13513B05" w:rsidR="004966BF" w:rsidRDefault="005D2551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reliable repeated dose toxicity data on the acid, </w:t>
            </w:r>
            <w:r w:rsidR="002D0EE3">
              <w:rPr>
                <w:rStyle w:val="checkbox"/>
                <w:rFonts w:ascii="Arial" w:hAnsi="Arial" w:cs="Arial"/>
              </w:rPr>
              <w:t xml:space="preserve">Na </w:t>
            </w:r>
            <w:r>
              <w:rPr>
                <w:rStyle w:val="checkbox"/>
                <w:rFonts w:ascii="Arial" w:hAnsi="Arial" w:cs="Arial"/>
              </w:rPr>
              <w:t>salt evaluated</w:t>
            </w:r>
          </w:p>
          <w:p w14:paraId="5C19B807" w14:textId="38FCF6C5" w:rsidR="005D2551" w:rsidRPr="004C23F4" w:rsidRDefault="00395148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considered 20 mg/kg/d based on limited blood chemistry effects without microscopic changes in liver</w:t>
            </w:r>
            <w:r w:rsidR="008921A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EE94A37" w14:textId="77777777" w:rsidTr="00F629F1">
        <w:trPr>
          <w:cantSplit/>
        </w:trPr>
        <w:tc>
          <w:tcPr>
            <w:tcW w:w="1498" w:type="dxa"/>
          </w:tcPr>
          <w:p w14:paraId="16EAA988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437684AC" w14:textId="28E3E821" w:rsidR="004966BF" w:rsidRPr="00CE617F" w:rsidRDefault="00F629F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4502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CC9227" w14:textId="5CDE91C7" w:rsidR="004966BF" w:rsidRPr="004C23F4" w:rsidRDefault="002C663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2009</w:t>
            </w:r>
          </w:p>
        </w:tc>
        <w:tc>
          <w:tcPr>
            <w:tcW w:w="6444" w:type="dxa"/>
          </w:tcPr>
          <w:p w14:paraId="5819BE68" w14:textId="1F72FD6D" w:rsidR="004966BF" w:rsidRDefault="002C6639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data on absorption of acid or salts by inhalation or oral exposures in humans</w:t>
            </w:r>
          </w:p>
          <w:p w14:paraId="74768255" w14:textId="2095AB73" w:rsidR="00F4502F" w:rsidRDefault="002D0EE3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2D0EE3">
              <w:rPr>
                <w:rStyle w:val="checkbox"/>
                <w:rFonts w:ascii="Arial" w:hAnsi="Arial" w:cs="Arial"/>
              </w:rPr>
              <w:t>NH</w:t>
            </w:r>
            <w:r w:rsidRPr="002D0EE3">
              <w:rPr>
                <w:rStyle w:val="checkbox"/>
                <w:rFonts w:ascii="Arial" w:hAnsi="Arial" w:cs="Arial"/>
                <w:vertAlign w:val="subscript"/>
              </w:rPr>
              <w:t>4</w:t>
            </w:r>
            <w:r w:rsidRPr="002D0EE3">
              <w:rPr>
                <w:rStyle w:val="checkbox"/>
                <w:rFonts w:ascii="Arial" w:hAnsi="Arial" w:cs="Arial"/>
              </w:rPr>
              <w:t xml:space="preserve"> </w:t>
            </w:r>
            <w:r w:rsidR="00F4502F">
              <w:rPr>
                <w:rStyle w:val="checkbox"/>
                <w:rFonts w:ascii="Arial" w:hAnsi="Arial" w:cs="Arial"/>
              </w:rPr>
              <w:t>salt should be considered skin sensitiser</w:t>
            </w:r>
          </w:p>
          <w:p w14:paraId="0A73D0F3" w14:textId="382FCD38" w:rsidR="00F4502F" w:rsidRDefault="00F4502F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reliable data available on repeated dose toxicity of acid or </w:t>
            </w:r>
            <w:r w:rsidR="002D0EE3" w:rsidRPr="002D0EE3">
              <w:rPr>
                <w:rStyle w:val="checkbox"/>
                <w:rFonts w:ascii="Arial" w:hAnsi="Arial" w:cs="Arial"/>
              </w:rPr>
              <w:t>NH</w:t>
            </w:r>
            <w:r w:rsidR="002D0EE3" w:rsidRPr="00772C7D">
              <w:rPr>
                <w:rStyle w:val="checkbox"/>
                <w:rFonts w:ascii="Arial" w:hAnsi="Arial" w:cs="Arial"/>
                <w:vertAlign w:val="subscript"/>
              </w:rPr>
              <w:t>4</w:t>
            </w:r>
            <w:r w:rsidR="002D0EE3" w:rsidRPr="002D0EE3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 xml:space="preserve">salt; repeated dose toxicity of the </w:t>
            </w:r>
            <w:r w:rsidR="002D0EE3">
              <w:rPr>
                <w:rStyle w:val="checkbox"/>
                <w:rFonts w:ascii="Arial" w:hAnsi="Arial" w:cs="Arial"/>
              </w:rPr>
              <w:t xml:space="preserve">Na </w:t>
            </w:r>
            <w:r>
              <w:rPr>
                <w:rStyle w:val="checkbox"/>
                <w:rFonts w:ascii="Arial" w:hAnsi="Arial" w:cs="Arial"/>
              </w:rPr>
              <w:t>salt evaluated by oral and dermal routes</w:t>
            </w:r>
          </w:p>
          <w:p w14:paraId="77065D95" w14:textId="6C502B55" w:rsidR="002C6639" w:rsidRDefault="00F4502F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NOAEL 20 mg/kg/d from 13 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oral study in rats (cited in ACGIH</w:t>
            </w:r>
            <w:r w:rsidR="00401A59">
              <w:rPr>
                <w:rStyle w:val="checkbox"/>
                <w:rFonts w:ascii="Arial" w:hAnsi="Arial" w:cs="Arial"/>
              </w:rPr>
              <w:t>, 2018;</w:t>
            </w:r>
            <w:r>
              <w:rPr>
                <w:rStyle w:val="checkbox"/>
                <w:rFonts w:ascii="Arial" w:hAnsi="Arial" w:cs="Arial"/>
              </w:rPr>
              <w:t xml:space="preserve"> DFG</w:t>
            </w:r>
            <w:r w:rsidR="00401A59">
              <w:rPr>
                <w:rStyle w:val="checkbox"/>
                <w:rFonts w:ascii="Arial" w:hAnsi="Arial" w:cs="Arial"/>
              </w:rPr>
              <w:t>, 2012; NICNAS, 2013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28123B62" w14:textId="72778C07" w:rsidR="00F4502F" w:rsidRDefault="00F4502F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4502F">
              <w:rPr>
                <w:rStyle w:val="checkbox"/>
                <w:rFonts w:ascii="Arial" w:hAnsi="Arial" w:cs="Arial"/>
              </w:rPr>
              <w:t xml:space="preserve">LOEL for skin irritation 11.25 and 45 mg/kg/d and the NOAELs for systemic toxicity </w:t>
            </w:r>
            <w:r w:rsidR="002D0EE3">
              <w:rPr>
                <w:rStyle w:val="checkbox"/>
                <w:rFonts w:ascii="Arial" w:hAnsi="Arial" w:cs="Arial"/>
              </w:rPr>
              <w:t>&gt;</w:t>
            </w:r>
            <w:r w:rsidRPr="00F4502F">
              <w:rPr>
                <w:rStyle w:val="checkbox"/>
                <w:rFonts w:ascii="Arial" w:hAnsi="Arial" w:cs="Arial"/>
              </w:rPr>
              <w:t>180 and 360 mg/kg/d in rats and mice, respectively</w:t>
            </w:r>
            <w:r>
              <w:rPr>
                <w:rStyle w:val="checkbox"/>
                <w:rFonts w:ascii="Arial" w:hAnsi="Arial" w:cs="Arial"/>
              </w:rPr>
              <w:t xml:space="preserve"> (dermal study cited in ACGIH, 2018</w:t>
            </w:r>
            <w:r w:rsidR="00401A59">
              <w:rPr>
                <w:rStyle w:val="checkbox"/>
                <w:rFonts w:ascii="Arial" w:hAnsi="Arial" w:cs="Arial"/>
              </w:rPr>
              <w:t>; NICNAS, 2013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270FA994" w14:textId="6C1764B1" w:rsidR="00F4502F" w:rsidRPr="004C23F4" w:rsidRDefault="00F4502F" w:rsidP="00447ED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Based on weight of evidence, the acid and its salts not considered genotoxic.</w:t>
            </w:r>
          </w:p>
        </w:tc>
      </w:tr>
    </w:tbl>
    <w:bookmarkEnd w:id="0"/>
    <w:p w14:paraId="04408E29" w14:textId="77777777" w:rsidR="007E2A4B" w:rsidRDefault="007E2A4B" w:rsidP="002D0EE3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7C6EA6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2D0EE3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24333E7B" w:rsidR="002E0D61" w:rsidRDefault="007C6EA6" w:rsidP="002D0EE3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7C6EA6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430654A1" w:rsidR="008A36CF" w:rsidRPr="006901A2" w:rsidRDefault="007C6EA6" w:rsidP="002D0EE3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2D0EE3">
            <w:pPr>
              <w:pStyle w:val="Tablefont"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A417CB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F62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D0EE3">
            <w:pPr>
              <w:pStyle w:val="Tableheader"/>
              <w:keepNext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2D0EE3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F629F1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2D0EE3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553AC71C" w:rsidR="00687890" w:rsidRPr="00DD2F9B" w:rsidRDefault="00DC75DB" w:rsidP="002D0EE3">
            <w:pPr>
              <w:pStyle w:val="Tablefont"/>
              <w:keepNext/>
            </w:pPr>
            <w:r w:rsidRPr="00DC75DB">
              <w:t>Skin</w:t>
            </w:r>
          </w:p>
        </w:tc>
      </w:tr>
      <w:tr w:rsidR="007925F0" w:rsidRPr="004C23F4" w14:paraId="2A0C13EF" w14:textId="77777777" w:rsidTr="00F629F1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2D0EE3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14:paraId="1A64DA01" w14:textId="47C8A4CE" w:rsidR="007925F0" w:rsidRPr="00DD2F9B" w:rsidRDefault="00DC75DB" w:rsidP="002D0EE3">
            <w:pPr>
              <w:pStyle w:val="Tablefont"/>
              <w:keepNext/>
            </w:pPr>
            <w:r w:rsidRPr="00DC75DB">
              <w:t>Skin sensitisation – category 1</w:t>
            </w:r>
          </w:p>
        </w:tc>
      </w:tr>
      <w:tr w:rsidR="00AF483F" w:rsidRPr="004C23F4" w14:paraId="4C1044B3" w14:textId="77777777" w:rsidTr="00F629F1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2747B077" w:rsidR="00AF483F" w:rsidRPr="00DD2F9B" w:rsidRDefault="00DC75DB" w:rsidP="00DD2F9B">
            <w:pPr>
              <w:pStyle w:val="Tablefont"/>
            </w:pPr>
            <w:r w:rsidRPr="00DC75DB">
              <w:t>Skin sensitisation</w:t>
            </w:r>
          </w:p>
        </w:tc>
      </w:tr>
      <w:tr w:rsidR="00687890" w:rsidRPr="004C23F4" w14:paraId="7812F0EC" w14:textId="77777777" w:rsidTr="00F629F1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6CA05083" w:rsidR="00687890" w:rsidRPr="00DD2F9B" w:rsidRDefault="00DC75D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F629F1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1E53FE1A" w:rsidR="00E41A26" w:rsidRPr="00DD2F9B" w:rsidRDefault="00DC75DB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F629F1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FCFC808" w:rsidR="002E0D61" w:rsidRPr="00DD2F9B" w:rsidRDefault="00DC75DB" w:rsidP="00DD2F9B">
            <w:pPr>
              <w:pStyle w:val="Tablefont"/>
            </w:pPr>
            <w:r w:rsidRPr="00DC75DB">
              <w:t>DSEN</w:t>
            </w:r>
            <w:r>
              <w:t xml:space="preserve">, </w:t>
            </w:r>
            <w:r w:rsidRPr="00DC75DB">
              <w:t>Skin</w:t>
            </w:r>
          </w:p>
        </w:tc>
      </w:tr>
      <w:tr w:rsidR="002E0D61" w:rsidRPr="004C23F4" w14:paraId="43FA3590" w14:textId="77777777" w:rsidTr="00F629F1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3F970DF" w:rsidR="002E0D61" w:rsidRPr="00DD2F9B" w:rsidRDefault="00DC75DB" w:rsidP="00DD2F9B">
            <w:pPr>
              <w:pStyle w:val="Tablefont"/>
            </w:pPr>
            <w:proofErr w:type="spellStart"/>
            <w:r w:rsidRPr="00DC75DB">
              <w:t>Sh</w:t>
            </w:r>
            <w:proofErr w:type="spellEnd"/>
            <w:r w:rsidRPr="00DC75DB">
              <w:t xml:space="preserve"> (dermal sensitiser)</w:t>
            </w:r>
            <w:r>
              <w:t xml:space="preserve">, </w:t>
            </w:r>
            <w:r w:rsidRPr="00DC75DB">
              <w:t>H (skin)</w:t>
            </w:r>
          </w:p>
        </w:tc>
      </w:tr>
      <w:tr w:rsidR="002E0D61" w:rsidRPr="004C23F4" w14:paraId="2AC7B866" w14:textId="77777777" w:rsidTr="00F629F1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7087E3FE" w:rsidR="002E0D61" w:rsidRPr="00DD2F9B" w:rsidRDefault="00DC75D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F629F1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180E6B8B" w:rsidR="002E0D61" w:rsidRPr="00DD2F9B" w:rsidRDefault="00DC75D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F629F1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9949EB1" w:rsidR="00386093" w:rsidRPr="00DD2F9B" w:rsidRDefault="00DC75D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F629F1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6D12CE91" w:rsidR="00386093" w:rsidRPr="00DD2F9B" w:rsidRDefault="00DC75D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909"/>
        <w:gridCol w:w="1164"/>
        <w:gridCol w:w="1164"/>
        <w:gridCol w:w="2789"/>
      </w:tblGrid>
      <w:tr w:rsidR="005D14BE" w14:paraId="56E95220" w14:textId="77777777" w:rsidTr="005D14BE">
        <w:trPr>
          <w:trHeight w:val="342"/>
        </w:trPr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4"/>
          <w:p w14:paraId="0C3E9CDC" w14:textId="77777777" w:rsidR="005D14BE" w:rsidRDefault="005D14BE">
            <w:pPr>
              <w:spacing w:after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Adverse effects in human case study: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59144C15" w14:textId="77777777" w:rsidR="005D14BE" w:rsidRDefault="005D14BE">
            <w:pPr>
              <w:jc w:val="center"/>
              <w:rPr>
                <w:rFonts w:ascii="Segoe UI" w:hAnsi="Segoe UI" w:cs="Segoe UI"/>
                <w:color w:val="9C6500"/>
                <w:sz w:val="18"/>
                <w:szCs w:val="18"/>
              </w:rPr>
            </w:pPr>
            <w:r>
              <w:rPr>
                <w:rFonts w:ascii="Segoe UI" w:hAnsi="Segoe UI" w:cs="Segoe UI"/>
                <w:color w:val="9C6500"/>
                <w:sz w:val="18"/>
                <w:szCs w:val="18"/>
              </w:rPr>
              <w:t>yes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AB7A940" w14:textId="77777777" w:rsidR="005D14BE" w:rsidRDefault="005D14BE">
            <w:pPr>
              <w:jc w:val="right"/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4.00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E50478" w14:textId="77777777" w:rsidR="005D14BE" w:rsidRDefault="005D14B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5D14BE" w14:paraId="12AB9D49" w14:textId="77777777" w:rsidTr="005D14BE">
        <w:trPr>
          <w:trHeight w:val="342"/>
        </w:trPr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0006A12" w14:textId="77777777" w:rsidR="005D14BE" w:rsidRDefault="005D14BE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≤1000 mg/kg: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3AF20337" w14:textId="77777777" w:rsidR="005D14BE" w:rsidRDefault="005D14BE">
            <w:pPr>
              <w:jc w:val="center"/>
              <w:rPr>
                <w:rFonts w:ascii="Segoe UI" w:hAnsi="Segoe UI" w:cs="Segoe UI"/>
                <w:color w:val="9C6500"/>
                <w:sz w:val="18"/>
                <w:szCs w:val="18"/>
              </w:rPr>
            </w:pPr>
            <w:r>
              <w:rPr>
                <w:rFonts w:ascii="Segoe UI" w:hAnsi="Segoe UI" w:cs="Segoe UI"/>
                <w:color w:val="9C6500"/>
                <w:sz w:val="18"/>
                <w:szCs w:val="18"/>
              </w:rPr>
              <w:t>yes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72242D" w14:textId="77777777" w:rsidR="005D14BE" w:rsidRDefault="005D14BE">
            <w:pPr>
              <w:jc w:val="right"/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3.00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E2D253" w14:textId="77777777" w:rsidR="005D14BE" w:rsidRDefault="005D14B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5D14BE" w14:paraId="4D0EE78D" w14:textId="77777777" w:rsidTr="005D14BE">
        <w:trPr>
          <w:trHeight w:val="342"/>
        </w:trPr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BDB8E8" w14:textId="77777777" w:rsidR="005D14BE" w:rsidRDefault="005D14BE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repeat-dose NOAEL ≤200 mg/kg: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56B8FBE" w14:textId="77777777" w:rsidR="005D14BE" w:rsidRDefault="005D14BE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A7668B4" w14:textId="77777777" w:rsidR="005D14BE" w:rsidRDefault="005D14BE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B9BA4D1" w14:textId="77777777" w:rsidR="005D14BE" w:rsidRDefault="005D14B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5D14BE" w14:paraId="5D6DE384" w14:textId="77777777" w:rsidTr="005D14BE">
        <w:trPr>
          <w:trHeight w:val="342"/>
        </w:trPr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FD5EF5A" w14:textId="77777777" w:rsidR="005D14BE" w:rsidRDefault="005D14BE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/Inhalation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&lt;10: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5D4C3572" w14:textId="77777777" w:rsidR="005D14BE" w:rsidRDefault="005D14BE">
            <w:pPr>
              <w:jc w:val="center"/>
              <w:rPr>
                <w:rFonts w:ascii="Segoe UI" w:hAnsi="Segoe UI" w:cs="Segoe UI"/>
                <w:color w:val="9C6500"/>
                <w:sz w:val="18"/>
                <w:szCs w:val="18"/>
              </w:rPr>
            </w:pPr>
            <w:r>
              <w:rPr>
                <w:rFonts w:ascii="Segoe UI" w:hAnsi="Segoe UI" w:cs="Segoe UI"/>
                <w:color w:val="9C6500"/>
                <w:sz w:val="18"/>
                <w:szCs w:val="18"/>
              </w:rPr>
              <w:t>yes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FAB49E1" w14:textId="77777777" w:rsidR="005D14BE" w:rsidRDefault="005D14BE">
            <w:pPr>
              <w:jc w:val="right"/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3.00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3E130D" w14:textId="77777777" w:rsidR="005D14BE" w:rsidRDefault="005D14B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5D14BE" w14:paraId="0DF10CD0" w14:textId="77777777" w:rsidTr="005D14BE">
        <w:trPr>
          <w:trHeight w:val="342"/>
        </w:trPr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BE1A4A" w14:textId="77777777" w:rsidR="005D14BE" w:rsidRDefault="005D14BE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In vivo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dermal absorption rate &gt;10%: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0372D5" w14:textId="77777777" w:rsidR="005D14BE" w:rsidRDefault="005D14BE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A592913" w14:textId="77777777" w:rsidR="005D14BE" w:rsidRDefault="005D14BE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989939E" w14:textId="77777777" w:rsidR="005D14BE" w:rsidRDefault="005D14B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5D14BE" w14:paraId="70145B31" w14:textId="77777777" w:rsidTr="005D14BE">
        <w:trPr>
          <w:trHeight w:val="342"/>
        </w:trPr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853710" w14:textId="77777777" w:rsidR="005D14BE" w:rsidRDefault="005D14BE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Estimated dermal exposure at WES &gt;10%: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9E6728" w14:textId="77777777" w:rsidR="005D14BE" w:rsidRDefault="005D14BE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FE85D98" w14:textId="77777777" w:rsidR="005D14BE" w:rsidRDefault="005D14BE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05B77EC" w14:textId="77777777" w:rsidR="005D14BE" w:rsidRDefault="005D14B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5D14BE" w14:paraId="214F10B1" w14:textId="77777777" w:rsidTr="005D14BE">
        <w:trPr>
          <w:trHeight w:val="342"/>
        </w:trPr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FB6B6C" w14:textId="77777777" w:rsidR="005D14BE" w:rsidRDefault="005D14BE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54FB8E" w14:textId="77777777" w:rsidR="005D14BE" w:rsidRDefault="005D14BE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4350F3" w14:textId="77777777" w:rsidR="005D14BE" w:rsidRDefault="005D14BE">
            <w:pPr>
              <w:jc w:val="right"/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3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785565E" w14:textId="77777777" w:rsidR="005D14BE" w:rsidRDefault="005D14BE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 skin notation is warranted</w:t>
            </w:r>
          </w:p>
        </w:tc>
      </w:tr>
    </w:tbl>
    <w:p w14:paraId="17DD4C74" w14:textId="71402725" w:rsidR="00EB3D1B" w:rsidRDefault="005D14BE" w:rsidP="00EB3D1B">
      <w:pPr>
        <w:pStyle w:val="Heading3"/>
      </w:pPr>
      <w:r>
        <w:t xml:space="preserve"> </w:t>
      </w:r>
      <w:r w:rsidR="00EB3D1B"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2CD90B99" w:rsidR="00EB3D1B" w:rsidRDefault="00DC75D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2C0A9D3" w:rsidR="001B79E5" w:rsidRDefault="00DC75DB" w:rsidP="001B79E5">
                <w:pPr>
                  <w:pStyle w:val="Tablefont"/>
                </w:pPr>
                <w:r w:rsidRPr="00DC75DB">
                  <w:t>92.11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2CFC03E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C75DB">
                  <w:t>3.76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C75DB">
                  <w:t>0.266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F629F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5EBC3E15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DC75DB">
        <w:t>2013</w:t>
      </w:r>
      <w:r>
        <w:t xml:space="preserve">) </w:t>
      </w:r>
      <w:r w:rsidR="00DC75DB" w:rsidRPr="00DC75DB">
        <w:t>Thioglycolic acid and its salts</w:t>
      </w:r>
      <w:r>
        <w:t xml:space="preserve"> – MAK value documentation.</w:t>
      </w:r>
    </w:p>
    <w:p w14:paraId="2FF5662E" w14:textId="77777777" w:rsidR="00F4502F" w:rsidRPr="00E461B8" w:rsidRDefault="00F4502F" w:rsidP="00F4502F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1D94FE62" w14:textId="5B5CE6D1" w:rsidR="008E4F1F" w:rsidRDefault="008E4F1F" w:rsidP="008E4F1F">
      <w:r w:rsidRPr="002022B6">
        <w:t>National Industrial Chemicals Notification and Assessment Scheme (NICNAS)</w:t>
      </w:r>
      <w:r>
        <w:t xml:space="preserve"> (</w:t>
      </w:r>
      <w:r w:rsidR="00DC75DB" w:rsidRPr="00DC75DB">
        <w:t>2013</w:t>
      </w:r>
      <w:r>
        <w:t xml:space="preserve">) </w:t>
      </w:r>
      <w:r w:rsidR="00DC75DB" w:rsidRPr="00DC75DB">
        <w:t xml:space="preserve">Acetic acid, </w:t>
      </w:r>
      <w:proofErr w:type="spellStart"/>
      <w:r w:rsidR="00DC75DB" w:rsidRPr="00DC75DB">
        <w:t>mercapto</w:t>
      </w:r>
      <w:proofErr w:type="spellEnd"/>
      <w:r w:rsidR="00DC75DB" w:rsidRPr="00DC75DB">
        <w:t>-: Human health tier II assessment</w:t>
      </w:r>
      <w:r>
        <w:t xml:space="preserve"> – IMAP report.</w:t>
      </w:r>
    </w:p>
    <w:p w14:paraId="160FCF32" w14:textId="185E3A37" w:rsidR="00F4502F" w:rsidRDefault="00F4502F" w:rsidP="008E4F1F">
      <w:pPr>
        <w:rPr>
          <w:b/>
        </w:rPr>
      </w:pPr>
      <w:r w:rsidRPr="00E819F5">
        <w:t>Organisation for Economic Cooperation and Development (OECD) (</w:t>
      </w:r>
      <w:r>
        <w:t>2009</w:t>
      </w:r>
      <w:r w:rsidRPr="00E819F5">
        <w:t>) SIDS initial assessment profile –</w:t>
      </w:r>
      <w:r>
        <w:t xml:space="preserve"> </w:t>
      </w:r>
      <w:r w:rsidR="003F1BA5" w:rsidRPr="003F1BA5">
        <w:t>Thioglycolic acid and its ammonium salt</w:t>
      </w:r>
      <w:r w:rsidR="003F1BA5"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76146" w14:textId="77777777" w:rsidR="00584AED" w:rsidRDefault="00584AED" w:rsidP="00F43AD5">
      <w:pPr>
        <w:spacing w:after="0" w:line="240" w:lineRule="auto"/>
      </w:pPr>
      <w:r>
        <w:separator/>
      </w:r>
    </w:p>
  </w:endnote>
  <w:endnote w:type="continuationSeparator" w:id="0">
    <w:p w14:paraId="56629EDC" w14:textId="77777777" w:rsidR="00584AED" w:rsidRDefault="00584AE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ekPlu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0198" w14:textId="77777777" w:rsidR="00F629F1" w:rsidRDefault="00F62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53FEB70" w14:textId="77777777" w:rsidR="00CD1F9B" w:rsidRPr="00CD1F9B" w:rsidRDefault="00CD1F9B" w:rsidP="00CD1F9B">
        <w:pPr>
          <w:pStyle w:val="Footer"/>
          <w:rPr>
            <w:b/>
            <w:sz w:val="18"/>
            <w:szCs w:val="18"/>
          </w:rPr>
        </w:pPr>
      </w:p>
      <w:p w14:paraId="39026E62" w14:textId="09AEBB53" w:rsidR="008A36CF" w:rsidRDefault="00CD1F9B" w:rsidP="00CD1F9B">
        <w:pPr>
          <w:pStyle w:val="Footer"/>
          <w:rPr>
            <w:sz w:val="18"/>
            <w:szCs w:val="18"/>
          </w:rPr>
        </w:pPr>
        <w:r w:rsidRPr="00CD1F9B">
          <w:rPr>
            <w:b/>
            <w:sz w:val="18"/>
            <w:szCs w:val="18"/>
          </w:rPr>
          <w:t>Thioglycolic acid</w:t>
        </w:r>
        <w:r w:rsidR="008A36CF">
          <w:rPr>
            <w:b/>
            <w:sz w:val="18"/>
            <w:szCs w:val="18"/>
          </w:rPr>
          <w:t xml:space="preserve"> (</w:t>
        </w:r>
        <w:r w:rsidRPr="00CD1F9B">
          <w:rPr>
            <w:b/>
            <w:sz w:val="18"/>
            <w:szCs w:val="18"/>
          </w:rPr>
          <w:t>68-11-1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35657B">
          <w:rPr>
            <w:sz w:val="18"/>
            <w:szCs w:val="18"/>
          </w:rPr>
          <w:t>20</w:t>
        </w:r>
      </w:p>
      <w:p w14:paraId="2D517F5E" w14:textId="6102147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C0D40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7200" w14:textId="77777777" w:rsidR="00F629F1" w:rsidRDefault="00F62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26C7" w14:textId="77777777" w:rsidR="00584AED" w:rsidRDefault="00584AED" w:rsidP="00F43AD5">
      <w:pPr>
        <w:spacing w:after="0" w:line="240" w:lineRule="auto"/>
      </w:pPr>
      <w:r>
        <w:separator/>
      </w:r>
    </w:p>
  </w:footnote>
  <w:footnote w:type="continuationSeparator" w:id="0">
    <w:p w14:paraId="0A272E85" w14:textId="77777777" w:rsidR="00584AED" w:rsidRDefault="00584AE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8C08" w14:textId="77777777" w:rsidR="00F629F1" w:rsidRDefault="00F62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2EE3" w14:textId="4FA63478" w:rsidR="00F629F1" w:rsidRDefault="00F629F1" w:rsidP="00F629F1">
    <w:pPr>
      <w:pStyle w:val="Header"/>
      <w:jc w:val="right"/>
    </w:pPr>
    <w:r>
      <w:pict w14:anchorId="7C6F73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AA60BAF" wp14:editId="1A627EC6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E28D09" w14:textId="77777777" w:rsidR="00F629F1" w:rsidRDefault="00F629F1" w:rsidP="00F629F1">
    <w:pPr>
      <w:pStyle w:val="Header"/>
    </w:pPr>
  </w:p>
  <w:p w14:paraId="4DAA8792" w14:textId="6E70E789" w:rsidR="008A36CF" w:rsidRPr="00F629F1" w:rsidRDefault="008A36CF" w:rsidP="00F62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51F3" w14:textId="77777777" w:rsidR="00F629F1" w:rsidRDefault="00F629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F9EC" w14:textId="39A9D81B" w:rsidR="00F629F1" w:rsidRDefault="00F629F1" w:rsidP="00F629F1">
    <w:pPr>
      <w:pStyle w:val="Header"/>
      <w:jc w:val="right"/>
    </w:pPr>
    <w:r>
      <w:pict w14:anchorId="7AE95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3FD9C7B" wp14:editId="18B382B3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8810A" w14:textId="77777777" w:rsidR="00F629F1" w:rsidRDefault="00F629F1" w:rsidP="00F629F1">
    <w:pPr>
      <w:pStyle w:val="Header"/>
    </w:pP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574C1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F50B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562532"/>
    <w:multiLevelType w:val="hybridMultilevel"/>
    <w:tmpl w:val="82FC684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DC06B1"/>
    <w:multiLevelType w:val="hybridMultilevel"/>
    <w:tmpl w:val="D416FA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33924"/>
    <w:multiLevelType w:val="hybridMultilevel"/>
    <w:tmpl w:val="E5FED73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F5A1A48"/>
    <w:multiLevelType w:val="hybridMultilevel"/>
    <w:tmpl w:val="C60E85A0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5130"/>
    <w:rsid w:val="00017C82"/>
    <w:rsid w:val="00032B88"/>
    <w:rsid w:val="000353B7"/>
    <w:rsid w:val="000362C0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19C1"/>
    <w:rsid w:val="000D291C"/>
    <w:rsid w:val="000D5C33"/>
    <w:rsid w:val="000E5A54"/>
    <w:rsid w:val="000E63D3"/>
    <w:rsid w:val="000E67CF"/>
    <w:rsid w:val="0010461E"/>
    <w:rsid w:val="00106FAA"/>
    <w:rsid w:val="00113443"/>
    <w:rsid w:val="001217E7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96A25"/>
    <w:rsid w:val="001A009E"/>
    <w:rsid w:val="001A1287"/>
    <w:rsid w:val="001A3859"/>
    <w:rsid w:val="001A3C9D"/>
    <w:rsid w:val="001A43F8"/>
    <w:rsid w:val="001B79E5"/>
    <w:rsid w:val="001C598A"/>
    <w:rsid w:val="001D56F0"/>
    <w:rsid w:val="001D663B"/>
    <w:rsid w:val="001D7B41"/>
    <w:rsid w:val="001E46DA"/>
    <w:rsid w:val="001E5F8D"/>
    <w:rsid w:val="001E7D80"/>
    <w:rsid w:val="001F23E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0035"/>
    <w:rsid w:val="00244AD1"/>
    <w:rsid w:val="002463BC"/>
    <w:rsid w:val="002465CE"/>
    <w:rsid w:val="0025734A"/>
    <w:rsid w:val="00263255"/>
    <w:rsid w:val="00276494"/>
    <w:rsid w:val="00277B0C"/>
    <w:rsid w:val="002B1A2C"/>
    <w:rsid w:val="002B455B"/>
    <w:rsid w:val="002C34F2"/>
    <w:rsid w:val="002C4F5C"/>
    <w:rsid w:val="002C58FF"/>
    <w:rsid w:val="002C6639"/>
    <w:rsid w:val="002C7AFE"/>
    <w:rsid w:val="002D05D2"/>
    <w:rsid w:val="002D0EE3"/>
    <w:rsid w:val="002E0D61"/>
    <w:rsid w:val="002E4C7B"/>
    <w:rsid w:val="0030740C"/>
    <w:rsid w:val="00315833"/>
    <w:rsid w:val="003215EE"/>
    <w:rsid w:val="003224BF"/>
    <w:rsid w:val="003241A8"/>
    <w:rsid w:val="003241AC"/>
    <w:rsid w:val="003253F0"/>
    <w:rsid w:val="003337DA"/>
    <w:rsid w:val="00334EFB"/>
    <w:rsid w:val="0033589B"/>
    <w:rsid w:val="00335CDE"/>
    <w:rsid w:val="003365A5"/>
    <w:rsid w:val="00347192"/>
    <w:rsid w:val="0034744C"/>
    <w:rsid w:val="00351FE0"/>
    <w:rsid w:val="00352615"/>
    <w:rsid w:val="00352CDD"/>
    <w:rsid w:val="0035412B"/>
    <w:rsid w:val="0035657B"/>
    <w:rsid w:val="003567A8"/>
    <w:rsid w:val="00362895"/>
    <w:rsid w:val="00370051"/>
    <w:rsid w:val="00370DBF"/>
    <w:rsid w:val="00386093"/>
    <w:rsid w:val="003904A4"/>
    <w:rsid w:val="00391841"/>
    <w:rsid w:val="00391B6D"/>
    <w:rsid w:val="00394922"/>
    <w:rsid w:val="00395148"/>
    <w:rsid w:val="003A0E32"/>
    <w:rsid w:val="003A2B94"/>
    <w:rsid w:val="003A4C48"/>
    <w:rsid w:val="003B387D"/>
    <w:rsid w:val="003B5AFC"/>
    <w:rsid w:val="003C0D58"/>
    <w:rsid w:val="003D4FA3"/>
    <w:rsid w:val="003D725D"/>
    <w:rsid w:val="003E0807"/>
    <w:rsid w:val="003E2C2A"/>
    <w:rsid w:val="003E51FB"/>
    <w:rsid w:val="003E6B39"/>
    <w:rsid w:val="003F07E1"/>
    <w:rsid w:val="003F1BA5"/>
    <w:rsid w:val="00401A59"/>
    <w:rsid w:val="004030BC"/>
    <w:rsid w:val="00403F7D"/>
    <w:rsid w:val="00406785"/>
    <w:rsid w:val="004079B4"/>
    <w:rsid w:val="00407CD2"/>
    <w:rsid w:val="00417A56"/>
    <w:rsid w:val="00420957"/>
    <w:rsid w:val="00422A10"/>
    <w:rsid w:val="00430179"/>
    <w:rsid w:val="004414B5"/>
    <w:rsid w:val="00444482"/>
    <w:rsid w:val="00444B42"/>
    <w:rsid w:val="00445E44"/>
    <w:rsid w:val="00447EDE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97CE3"/>
    <w:rsid w:val="004A5088"/>
    <w:rsid w:val="004B3D2C"/>
    <w:rsid w:val="004C1E3F"/>
    <w:rsid w:val="004C23F4"/>
    <w:rsid w:val="004C3475"/>
    <w:rsid w:val="004C58B6"/>
    <w:rsid w:val="004D16A3"/>
    <w:rsid w:val="004D4AA1"/>
    <w:rsid w:val="004D6D68"/>
    <w:rsid w:val="004E5EDD"/>
    <w:rsid w:val="004F2335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6C5B"/>
    <w:rsid w:val="00581055"/>
    <w:rsid w:val="00584AED"/>
    <w:rsid w:val="00591E38"/>
    <w:rsid w:val="005A19C5"/>
    <w:rsid w:val="005A3034"/>
    <w:rsid w:val="005A462D"/>
    <w:rsid w:val="005B253B"/>
    <w:rsid w:val="005B771D"/>
    <w:rsid w:val="005C5D16"/>
    <w:rsid w:val="005D14BE"/>
    <w:rsid w:val="005D2551"/>
    <w:rsid w:val="005D3193"/>
    <w:rsid w:val="005D4A6E"/>
    <w:rsid w:val="005E6979"/>
    <w:rsid w:val="005E75CB"/>
    <w:rsid w:val="005F5813"/>
    <w:rsid w:val="006013C1"/>
    <w:rsid w:val="0060669E"/>
    <w:rsid w:val="00610F2E"/>
    <w:rsid w:val="00611399"/>
    <w:rsid w:val="00624C4E"/>
    <w:rsid w:val="00625200"/>
    <w:rsid w:val="00634BA5"/>
    <w:rsid w:val="0063623B"/>
    <w:rsid w:val="006363A8"/>
    <w:rsid w:val="00636DB7"/>
    <w:rsid w:val="0064172B"/>
    <w:rsid w:val="00650905"/>
    <w:rsid w:val="006532ED"/>
    <w:rsid w:val="006549F2"/>
    <w:rsid w:val="006567B7"/>
    <w:rsid w:val="00657BFB"/>
    <w:rsid w:val="0066333C"/>
    <w:rsid w:val="006639B4"/>
    <w:rsid w:val="00664BEA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349B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2916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6EA6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0B40"/>
    <w:rsid w:val="008630EE"/>
    <w:rsid w:val="00864534"/>
    <w:rsid w:val="00864D13"/>
    <w:rsid w:val="00871CD5"/>
    <w:rsid w:val="008745A2"/>
    <w:rsid w:val="008765D8"/>
    <w:rsid w:val="008768A8"/>
    <w:rsid w:val="00877F5E"/>
    <w:rsid w:val="008859C7"/>
    <w:rsid w:val="0088798F"/>
    <w:rsid w:val="00887E4B"/>
    <w:rsid w:val="008915C8"/>
    <w:rsid w:val="008921AE"/>
    <w:rsid w:val="008A36CF"/>
    <w:rsid w:val="008A3BC4"/>
    <w:rsid w:val="008B403C"/>
    <w:rsid w:val="008B7983"/>
    <w:rsid w:val="008C2511"/>
    <w:rsid w:val="008C35B9"/>
    <w:rsid w:val="008D026D"/>
    <w:rsid w:val="008D23AB"/>
    <w:rsid w:val="008D4B8B"/>
    <w:rsid w:val="008D5A78"/>
    <w:rsid w:val="008E4F1F"/>
    <w:rsid w:val="008E7B64"/>
    <w:rsid w:val="008F5DCD"/>
    <w:rsid w:val="00900951"/>
    <w:rsid w:val="00901958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3588"/>
    <w:rsid w:val="00974F2D"/>
    <w:rsid w:val="00977524"/>
    <w:rsid w:val="00977E88"/>
    <w:rsid w:val="00984920"/>
    <w:rsid w:val="0099303A"/>
    <w:rsid w:val="009971C2"/>
    <w:rsid w:val="009A1254"/>
    <w:rsid w:val="009A7CEC"/>
    <w:rsid w:val="009B2FF2"/>
    <w:rsid w:val="009B380C"/>
    <w:rsid w:val="009B4843"/>
    <w:rsid w:val="009B6543"/>
    <w:rsid w:val="009C0D40"/>
    <w:rsid w:val="009C199D"/>
    <w:rsid w:val="009C278F"/>
    <w:rsid w:val="009C2B94"/>
    <w:rsid w:val="009C3925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2682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17CB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1FCE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14A6"/>
    <w:rsid w:val="00B40C60"/>
    <w:rsid w:val="00B479A9"/>
    <w:rsid w:val="00B528D7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3354"/>
    <w:rsid w:val="00BB612A"/>
    <w:rsid w:val="00BC4D96"/>
    <w:rsid w:val="00BD42E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7F23"/>
    <w:rsid w:val="00CD1F9B"/>
    <w:rsid w:val="00CD2BFD"/>
    <w:rsid w:val="00CE5AD6"/>
    <w:rsid w:val="00CE617F"/>
    <w:rsid w:val="00CE78EF"/>
    <w:rsid w:val="00D0279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5EFC"/>
    <w:rsid w:val="00DC75DB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4407"/>
    <w:rsid w:val="00E06F40"/>
    <w:rsid w:val="00E07CE8"/>
    <w:rsid w:val="00E23C93"/>
    <w:rsid w:val="00E26A07"/>
    <w:rsid w:val="00E27114"/>
    <w:rsid w:val="00E32595"/>
    <w:rsid w:val="00E37CFD"/>
    <w:rsid w:val="00E41A26"/>
    <w:rsid w:val="00E429B8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3BBA"/>
    <w:rsid w:val="00ED1D89"/>
    <w:rsid w:val="00ED57DA"/>
    <w:rsid w:val="00ED66BC"/>
    <w:rsid w:val="00EF233A"/>
    <w:rsid w:val="00EF303E"/>
    <w:rsid w:val="00EF3A40"/>
    <w:rsid w:val="00EF46A7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502F"/>
    <w:rsid w:val="00F56DD0"/>
    <w:rsid w:val="00F629F1"/>
    <w:rsid w:val="00F6491C"/>
    <w:rsid w:val="00F679B9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6B7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B214A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EF46A7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ekPlu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744D10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AF1E-E24A-4A8D-98D6-620160B9BF26}">
  <ds:schemaRefs>
    <ds:schemaRef ds:uri="bf54d604-3e62-4e70-ba33-9e9084b96a66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19A7BE-BE67-4C8B-9629-49DDB343E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D94F7-4147-4CCD-BCFA-AEBFE9DB2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812EE-DDD5-4BD2-8D0D-61AE83B1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2020-03-25T22:37:00Z</dcterms:created>
  <dcterms:modified xsi:type="dcterms:W3CDTF">2020-07-21T01:44:00Z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