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C1B8A" w14:textId="77777777" w:rsidR="00BD499F" w:rsidRPr="004C23F4" w:rsidRDefault="00512529" w:rsidP="00B40C60">
      <w:pPr>
        <w:pStyle w:val="Heading1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ameofChemical"/>
          <w:tag w:val="NameofChemical"/>
          <w:id w:val="1425919599"/>
          <w:lock w:val="sdtLocked"/>
          <w:placeholder>
            <w:docPart w:val="CE1736E50B02464986D1BEC8B7ACDE96"/>
          </w:placeholder>
          <w:text/>
        </w:sdtPr>
        <w:sdtEndPr/>
        <w:sdtContent>
          <w:r w:rsidR="00F82437">
            <w:rPr>
              <w:rFonts w:ascii="Arial" w:hAnsi="Arial" w:cs="Arial"/>
            </w:rPr>
            <w:t>Thiram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5"/>
        <w:gridCol w:w="5051"/>
      </w:tblGrid>
      <w:tr w:rsidR="00F43AD5" w:rsidRPr="004C23F4" w14:paraId="0DE65D7B" w14:textId="77777777" w:rsidTr="000D2D25">
        <w:trPr>
          <w:cantSplit/>
          <w:tblHeader/>
        </w:trPr>
        <w:tc>
          <w:tcPr>
            <w:tcW w:w="3975" w:type="dxa"/>
          </w:tcPr>
          <w:p w14:paraId="3BF943B7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51" w:type="dxa"/>
          </w:tcPr>
          <w:p w14:paraId="64A7A15D" w14:textId="77777777" w:rsidR="00F43AD5" w:rsidRPr="00717D45" w:rsidRDefault="00F82437" w:rsidP="00B76A41">
            <w:pPr>
              <w:pStyle w:val="Tablefont"/>
            </w:pPr>
            <w:r w:rsidRPr="00F82437">
              <w:t>137-26-8</w:t>
            </w:r>
          </w:p>
        </w:tc>
      </w:tr>
      <w:tr w:rsidR="00F43AD5" w:rsidRPr="004C23F4" w14:paraId="295EEEF1" w14:textId="77777777" w:rsidTr="000D2D25">
        <w:trPr>
          <w:cantSplit/>
        </w:trPr>
        <w:tc>
          <w:tcPr>
            <w:tcW w:w="3975" w:type="dxa"/>
          </w:tcPr>
          <w:p w14:paraId="599CF25A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51" w:type="dxa"/>
          </w:tcPr>
          <w:p w14:paraId="26A52A92" w14:textId="622CFCD2" w:rsidR="00F43AD5" w:rsidRPr="00717D45" w:rsidRDefault="001B2FBD" w:rsidP="000D2D25">
            <w:pPr>
              <w:pStyle w:val="Tablefont"/>
            </w:pPr>
            <w:proofErr w:type="gramStart"/>
            <w:r>
              <w:t>bis(</w:t>
            </w:r>
            <w:proofErr w:type="spellStart"/>
            <w:proofErr w:type="gramEnd"/>
            <w:r>
              <w:t>Dimethylthio</w:t>
            </w:r>
            <w:proofErr w:type="spellEnd"/>
            <w:r>
              <w:t xml:space="preserve"> carbamoyl) disulphide, </w:t>
            </w:r>
            <w:proofErr w:type="spellStart"/>
            <w:r>
              <w:t>tetramethylthioram</w:t>
            </w:r>
            <w:proofErr w:type="spellEnd"/>
            <w:r>
              <w:t xml:space="preserve"> disulphide, </w:t>
            </w:r>
            <w:r w:rsidR="000D2D25">
              <w:br/>
            </w:r>
            <w:r>
              <w:t>tetramethyl</w:t>
            </w:r>
            <w:r w:rsidR="000D2D25">
              <w:t xml:space="preserve"> </w:t>
            </w:r>
            <w:proofErr w:type="spellStart"/>
            <w:r>
              <w:t>thioperoxydicarbonic</w:t>
            </w:r>
            <w:proofErr w:type="spellEnd"/>
            <w:r>
              <w:t xml:space="preserve"> d</w:t>
            </w:r>
            <w:r w:rsidR="00EC29BD">
              <w:t>iamide, TMT, TMTD, TMTDS</w:t>
            </w:r>
          </w:p>
        </w:tc>
      </w:tr>
      <w:tr w:rsidR="00F43AD5" w:rsidRPr="004C23F4" w14:paraId="6E98AE47" w14:textId="77777777" w:rsidTr="000D2D25">
        <w:trPr>
          <w:cantSplit/>
        </w:trPr>
        <w:tc>
          <w:tcPr>
            <w:tcW w:w="3975" w:type="dxa"/>
          </w:tcPr>
          <w:p w14:paraId="3A016D77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51" w:type="dxa"/>
          </w:tcPr>
          <w:p w14:paraId="63D146DE" w14:textId="77777777" w:rsidR="00F43AD5" w:rsidRPr="00717D45" w:rsidRDefault="00880814" w:rsidP="00B76A41">
            <w:pPr>
              <w:pStyle w:val="Tablefont"/>
            </w:pPr>
            <w:r w:rsidRPr="00880814">
              <w:t>C</w:t>
            </w:r>
            <w:r w:rsidRPr="00880814">
              <w:rPr>
                <w:vertAlign w:val="subscript"/>
              </w:rPr>
              <w:t>6</w:t>
            </w:r>
            <w:r w:rsidRPr="00880814">
              <w:t>H</w:t>
            </w:r>
            <w:r w:rsidRPr="00880814">
              <w:rPr>
                <w:vertAlign w:val="subscript"/>
              </w:rPr>
              <w:t>12</w:t>
            </w:r>
            <w:r w:rsidRPr="00880814">
              <w:t>N</w:t>
            </w:r>
            <w:r w:rsidRPr="00880814">
              <w:rPr>
                <w:vertAlign w:val="subscript"/>
              </w:rPr>
              <w:t>2</w:t>
            </w:r>
            <w:r w:rsidRPr="00880814">
              <w:t>S</w:t>
            </w:r>
            <w:r w:rsidRPr="00880814">
              <w:rPr>
                <w:vertAlign w:val="subscript"/>
              </w:rPr>
              <w:t>4</w:t>
            </w:r>
          </w:p>
        </w:tc>
      </w:tr>
    </w:tbl>
    <w:p w14:paraId="6D2A00ED" w14:textId="7A6D5965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0D2D25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4EF5E533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7F72699F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634AFDC2" w14:textId="691EBD4C" w:rsidR="002C7AFE" w:rsidRPr="00B31F72" w:rsidRDefault="00B31F7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037E52" w:rsidRPr="004C23F4" w14:paraId="4897192B" w14:textId="77777777" w:rsidTr="00037E52">
        <w:trPr>
          <w:cantSplit/>
        </w:trPr>
        <w:tc>
          <w:tcPr>
            <w:tcW w:w="4010" w:type="dxa"/>
            <w:vAlign w:val="center"/>
          </w:tcPr>
          <w:p w14:paraId="4A66BAAE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6214874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6B6ACDE6" w14:textId="77777777" w:rsidTr="00037E52">
        <w:trPr>
          <w:cantSplit/>
        </w:trPr>
        <w:tc>
          <w:tcPr>
            <w:tcW w:w="4010" w:type="dxa"/>
            <w:vAlign w:val="center"/>
          </w:tcPr>
          <w:p w14:paraId="67AD670D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0257552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18854242" w14:textId="77777777" w:rsidTr="00037E52">
        <w:trPr>
          <w:cantSplit/>
        </w:trPr>
        <w:tc>
          <w:tcPr>
            <w:tcW w:w="4010" w:type="dxa"/>
          </w:tcPr>
          <w:p w14:paraId="7B69DFBF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27B9A896" w14:textId="12616D52" w:rsidR="00037E52" w:rsidRPr="00EB3D1B" w:rsidRDefault="00AC1CF1" w:rsidP="00037E52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Sk., </w:t>
            </w:r>
            <w:r w:rsidR="00756003">
              <w:rPr>
                <w:b/>
              </w:rPr>
              <w:t>DSEN</w:t>
            </w:r>
            <w:r w:rsidR="00512529">
              <w:rPr>
                <w:b/>
              </w:rPr>
              <w:t>, RSEN</w:t>
            </w:r>
            <w:bookmarkStart w:id="0" w:name="_GoBack"/>
            <w:bookmarkEnd w:id="0"/>
          </w:p>
        </w:tc>
      </w:tr>
      <w:tr w:rsidR="00037E52" w:rsidRPr="004C23F4" w14:paraId="1B3C6AB3" w14:textId="77777777" w:rsidTr="00037E52">
        <w:trPr>
          <w:cantSplit/>
        </w:trPr>
        <w:tc>
          <w:tcPr>
            <w:tcW w:w="4010" w:type="dxa"/>
            <w:vAlign w:val="center"/>
          </w:tcPr>
          <w:p w14:paraId="4B4BA78E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3067DAAA" w14:textId="1CCAAB07" w:rsidR="00037E52" w:rsidRPr="00EB3D1B" w:rsidRDefault="00D314EC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100 mg/m</w:t>
            </w:r>
            <w:r w:rsidRPr="00D314EC">
              <w:rPr>
                <w:b/>
                <w:vertAlign w:val="superscript"/>
              </w:rPr>
              <w:t>3</w:t>
            </w:r>
          </w:p>
        </w:tc>
      </w:tr>
      <w:tr w:rsidR="00155999" w:rsidRPr="004C23F4" w14:paraId="6C63E841" w14:textId="77777777" w:rsidTr="00B31F72">
        <w:trPr>
          <w:cantSplit/>
        </w:trPr>
        <w:tc>
          <w:tcPr>
            <w:tcW w:w="9026" w:type="dxa"/>
            <w:gridSpan w:val="2"/>
            <w:vAlign w:val="center"/>
          </w:tcPr>
          <w:p w14:paraId="77D61EAE" w14:textId="68CCB734" w:rsidR="00155999" w:rsidRPr="00EB3D1B" w:rsidRDefault="00155999" w:rsidP="00037E52">
            <w:pPr>
              <w:pStyle w:val="Tablefont"/>
              <w:rPr>
                <w:b/>
              </w:rPr>
            </w:pPr>
            <w:r w:rsidRPr="00A215C0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7947BC" w:rsidRPr="00A215C0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4FD1E6F2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295A9F4" w14:textId="63A2F1A2" w:rsidR="006639B4" w:rsidRDefault="00B31F72" w:rsidP="000C139A">
      <w:pPr>
        <w:rPr>
          <w:rFonts w:cs="Arial"/>
        </w:rPr>
      </w:pPr>
      <w:r w:rsidRPr="00B31F72">
        <w:rPr>
          <w:rFonts w:cs="Arial"/>
        </w:rPr>
        <w:t xml:space="preserve">A TWA of </w:t>
      </w:r>
      <w:r>
        <w:rPr>
          <w:rFonts w:cs="Arial"/>
        </w:rPr>
        <w:t>1</w:t>
      </w:r>
      <w:r w:rsidRPr="00B31F72">
        <w:rPr>
          <w:rFonts w:cs="Arial"/>
        </w:rPr>
        <w:t xml:space="preserve"> mg/m</w:t>
      </w:r>
      <w:r w:rsidRPr="00B31F72">
        <w:rPr>
          <w:rFonts w:cs="Arial"/>
          <w:vertAlign w:val="superscript"/>
        </w:rPr>
        <w:t>3</w:t>
      </w:r>
      <w:r w:rsidRPr="00B31F72">
        <w:rPr>
          <w:rFonts w:cs="Arial"/>
        </w:rPr>
        <w:t xml:space="preserve"> is recommended to protect for </w:t>
      </w:r>
      <w:r>
        <w:rPr>
          <w:rFonts w:cs="Arial"/>
        </w:rPr>
        <w:t>adverse haematological effects</w:t>
      </w:r>
      <w:r w:rsidRPr="00B31F72">
        <w:rPr>
          <w:rFonts w:cs="Arial"/>
        </w:rPr>
        <w:t xml:space="preserve"> in exposed workers</w:t>
      </w:r>
      <w:r>
        <w:rPr>
          <w:rFonts w:cs="Arial"/>
        </w:rPr>
        <w:t>.</w:t>
      </w:r>
    </w:p>
    <w:p w14:paraId="6C33E17C" w14:textId="59E84667" w:rsidR="00EC29BD" w:rsidRPr="004C23F4" w:rsidRDefault="00EC29BD" w:rsidP="000C139A">
      <w:pPr>
        <w:rPr>
          <w:rFonts w:cs="Arial"/>
        </w:rPr>
      </w:pPr>
      <w:r w:rsidRPr="00EC29BD">
        <w:rPr>
          <w:rFonts w:cs="Arial"/>
        </w:rPr>
        <w:t xml:space="preserve">Given the limited data </w:t>
      </w:r>
      <w:r w:rsidR="00EA6FFB">
        <w:rPr>
          <w:rFonts w:cs="Arial"/>
        </w:rPr>
        <w:t xml:space="preserve">on potential irritational endpoints </w:t>
      </w:r>
      <w:r w:rsidRPr="00EC29BD">
        <w:rPr>
          <w:rFonts w:cs="Arial"/>
        </w:rPr>
        <w:t>available from the primary sources, it is recommended that a review of additional sources be conducted at the next scheduled review.</w:t>
      </w:r>
    </w:p>
    <w:p w14:paraId="02A5DFE5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377A95C" w14:textId="1DC13C50" w:rsidR="000D2D25" w:rsidRDefault="00313919" w:rsidP="006639B4">
      <w:pPr>
        <w:rPr>
          <w:rFonts w:cs="Arial"/>
        </w:rPr>
      </w:pPr>
      <w:r>
        <w:rPr>
          <w:rFonts w:cs="Arial"/>
        </w:rPr>
        <w:t>Thiram is used as a fungicide, rubber vulcaniser and bacteriostat in soap.</w:t>
      </w:r>
      <w:r w:rsidR="00A215C0">
        <w:rPr>
          <w:rFonts w:cs="Arial"/>
        </w:rPr>
        <w:t xml:space="preserve"> </w:t>
      </w:r>
    </w:p>
    <w:p w14:paraId="47AC7EAB" w14:textId="77777777" w:rsidR="005A74E6" w:rsidRDefault="00313919" w:rsidP="006639B4">
      <w:pPr>
        <w:rPr>
          <w:rFonts w:cs="Arial"/>
        </w:rPr>
      </w:pPr>
      <w:r>
        <w:rPr>
          <w:rFonts w:cs="Arial"/>
        </w:rPr>
        <w:t xml:space="preserve">Critical effects of exposure are </w:t>
      </w:r>
      <w:r w:rsidR="00344733">
        <w:rPr>
          <w:rFonts w:cs="Arial"/>
        </w:rPr>
        <w:t xml:space="preserve">adverse haematological changes, </w:t>
      </w:r>
      <w:r>
        <w:rPr>
          <w:rFonts w:cs="Arial"/>
        </w:rPr>
        <w:t>irritation of the skin, mucous membranes and respiratory tract and dermal sensitisation</w:t>
      </w:r>
      <w:r w:rsidR="00EC29BD">
        <w:rPr>
          <w:rFonts w:cs="Arial"/>
        </w:rPr>
        <w:t>.</w:t>
      </w:r>
      <w:r w:rsidR="000D2D25">
        <w:rPr>
          <w:rFonts w:cs="Arial"/>
        </w:rPr>
        <w:t xml:space="preserve"> </w:t>
      </w:r>
    </w:p>
    <w:p w14:paraId="0A39189D" w14:textId="71DC496A" w:rsidR="003F08ED" w:rsidRDefault="004110AA" w:rsidP="006639B4">
      <w:pPr>
        <w:rPr>
          <w:rFonts w:cs="Arial"/>
        </w:rPr>
      </w:pPr>
      <w:r>
        <w:rPr>
          <w:rFonts w:cs="Arial"/>
        </w:rPr>
        <w:t>Quantitative h</w:t>
      </w:r>
      <w:r w:rsidR="003F08ED">
        <w:rPr>
          <w:rFonts w:cs="Arial"/>
        </w:rPr>
        <w:t xml:space="preserve">uman exposure </w:t>
      </w:r>
      <w:r>
        <w:rPr>
          <w:rFonts w:cs="Arial"/>
        </w:rPr>
        <w:t>data are limited</w:t>
      </w:r>
      <w:r w:rsidR="00344733">
        <w:rPr>
          <w:rFonts w:cs="Arial"/>
        </w:rPr>
        <w:t xml:space="preserve"> to </w:t>
      </w:r>
      <w:r w:rsidR="00756003">
        <w:rPr>
          <w:rFonts w:cs="Arial"/>
        </w:rPr>
        <w:t>clinical studies</w:t>
      </w:r>
      <w:r w:rsidR="00344733">
        <w:rPr>
          <w:rFonts w:cs="Arial"/>
        </w:rPr>
        <w:t xml:space="preserve"> of dermal sensitisation in </w:t>
      </w:r>
      <w:r w:rsidR="00756003">
        <w:rPr>
          <w:rFonts w:cs="Arial"/>
        </w:rPr>
        <w:t>exposed workers</w:t>
      </w:r>
      <w:r w:rsidR="000D2D25">
        <w:rPr>
          <w:rFonts w:cs="Arial"/>
        </w:rPr>
        <w:t xml:space="preserve"> that</w:t>
      </w:r>
      <w:r w:rsidR="00EA6FFB">
        <w:rPr>
          <w:rFonts w:cs="Arial"/>
        </w:rPr>
        <w:t xml:space="preserve"> </w:t>
      </w:r>
      <w:r w:rsidR="001322AD">
        <w:rPr>
          <w:rFonts w:cs="Arial"/>
        </w:rPr>
        <w:t>demonstrated</w:t>
      </w:r>
      <w:r w:rsidR="00EA6FFB">
        <w:rPr>
          <w:rFonts w:cs="Arial"/>
        </w:rPr>
        <w:t xml:space="preserve"> dermal sensitisation</w:t>
      </w:r>
      <w:r w:rsidR="00B6079B">
        <w:rPr>
          <w:rFonts w:cs="Arial"/>
        </w:rPr>
        <w:t xml:space="preserve"> potential</w:t>
      </w:r>
      <w:r>
        <w:rPr>
          <w:rFonts w:cs="Arial"/>
        </w:rPr>
        <w:t xml:space="preserve">. </w:t>
      </w:r>
      <w:r w:rsidR="00344733">
        <w:rPr>
          <w:rFonts w:cs="Arial"/>
        </w:rPr>
        <w:t xml:space="preserve">Haematological changes, including decreased red blood cell </w:t>
      </w:r>
      <w:r w:rsidR="00A215C0">
        <w:rPr>
          <w:rFonts w:cs="Arial"/>
        </w:rPr>
        <w:t xml:space="preserve">(RBC) </w:t>
      </w:r>
      <w:r w:rsidR="00344733">
        <w:rPr>
          <w:rFonts w:cs="Arial"/>
        </w:rPr>
        <w:t xml:space="preserve">count and haemoglobin </w:t>
      </w:r>
      <w:r w:rsidR="000D2D25">
        <w:rPr>
          <w:rFonts w:cs="Arial"/>
        </w:rPr>
        <w:t xml:space="preserve">(Hb) </w:t>
      </w:r>
      <w:r w:rsidR="00344733">
        <w:rPr>
          <w:rFonts w:cs="Arial"/>
        </w:rPr>
        <w:t xml:space="preserve">concentrations, are indicated as the most sensitive systemic endpoints in </w:t>
      </w:r>
      <w:r>
        <w:rPr>
          <w:rFonts w:cs="Arial"/>
        </w:rPr>
        <w:t>sub</w:t>
      </w:r>
      <w:r w:rsidR="00340565">
        <w:rPr>
          <w:rFonts w:cs="Arial"/>
        </w:rPr>
        <w:t>-</w:t>
      </w:r>
      <w:r>
        <w:rPr>
          <w:rFonts w:cs="Arial"/>
        </w:rPr>
        <w:t xml:space="preserve">chronic and chronic </w:t>
      </w:r>
      <w:r w:rsidR="003F08ED">
        <w:rPr>
          <w:rFonts w:cs="Arial"/>
        </w:rPr>
        <w:t xml:space="preserve">animal </w:t>
      </w:r>
      <w:r w:rsidR="00756003">
        <w:rPr>
          <w:rFonts w:cs="Arial"/>
        </w:rPr>
        <w:t xml:space="preserve">exposure </w:t>
      </w:r>
      <w:r>
        <w:rPr>
          <w:rFonts w:cs="Arial"/>
        </w:rPr>
        <w:t>studies</w:t>
      </w:r>
      <w:r w:rsidR="00344733">
        <w:rPr>
          <w:rFonts w:cs="Arial"/>
        </w:rPr>
        <w:t xml:space="preserve"> with a NOAEL of 0.4 mg/kg/day in dogs and 0.</w:t>
      </w:r>
      <w:r w:rsidR="000D2D25">
        <w:rPr>
          <w:rFonts w:cs="Arial"/>
        </w:rPr>
        <w:t>5 </w:t>
      </w:r>
      <w:r w:rsidR="00344733">
        <w:rPr>
          <w:rFonts w:cs="Arial"/>
        </w:rPr>
        <w:t xml:space="preserve">mg/kg/day in rats (ACGIH, 2018; DFG, 2012; HCOTN, 2003). </w:t>
      </w:r>
      <w:r w:rsidR="00756003">
        <w:rPr>
          <w:rFonts w:cs="Arial"/>
        </w:rPr>
        <w:t>Thresholds for i</w:t>
      </w:r>
      <w:r w:rsidR="00B579E0">
        <w:rPr>
          <w:rFonts w:cs="Arial"/>
        </w:rPr>
        <w:t xml:space="preserve">rritational endpoints </w:t>
      </w:r>
      <w:r w:rsidR="00756003">
        <w:rPr>
          <w:rFonts w:cs="Arial"/>
        </w:rPr>
        <w:t xml:space="preserve">and repeat inhalation studies are not </w:t>
      </w:r>
      <w:r w:rsidR="005A74E6">
        <w:rPr>
          <w:rFonts w:cs="Arial"/>
        </w:rPr>
        <w:t xml:space="preserve">documented </w:t>
      </w:r>
      <w:r w:rsidR="00756003">
        <w:rPr>
          <w:rFonts w:cs="Arial"/>
        </w:rPr>
        <w:t>in the available database.</w:t>
      </w:r>
      <w:r w:rsidR="000D2D25">
        <w:rPr>
          <w:rFonts w:cs="Arial"/>
        </w:rPr>
        <w:t xml:space="preserve"> There is some evidence of mutagenicity. However, Thiram is not considered carcinogenic.</w:t>
      </w:r>
    </w:p>
    <w:p w14:paraId="26DA942E" w14:textId="066F9B02" w:rsidR="00756003" w:rsidRPr="00B31F72" w:rsidRDefault="00756003" w:rsidP="006639B4">
      <w:pPr>
        <w:rPr>
          <w:rFonts w:cs="Arial"/>
        </w:rPr>
      </w:pPr>
      <w:r>
        <w:rPr>
          <w:rFonts w:cs="Arial"/>
        </w:rPr>
        <w:t>In the absence of quantitative inhalation data for humans or animals, the recommended TWA is based on sub</w:t>
      </w:r>
      <w:r w:rsidR="00340565">
        <w:rPr>
          <w:rFonts w:cs="Arial"/>
        </w:rPr>
        <w:t>-</w:t>
      </w:r>
      <w:r>
        <w:rPr>
          <w:rFonts w:cs="Arial"/>
        </w:rPr>
        <w:t>chronic and chronic oral studies with animals. The NOAEL</w:t>
      </w:r>
      <w:r w:rsidR="00B31F72">
        <w:rPr>
          <w:rFonts w:cs="Arial"/>
        </w:rPr>
        <w:t xml:space="preserve"> </w:t>
      </w:r>
      <w:r>
        <w:rPr>
          <w:rFonts w:cs="Arial"/>
        </w:rPr>
        <w:t xml:space="preserve">for haematological </w:t>
      </w:r>
      <w:r w:rsidR="00B31F72">
        <w:rPr>
          <w:rFonts w:cs="Arial"/>
        </w:rPr>
        <w:t xml:space="preserve">changes ranges from 0.4 mg/kg/day in dogs to 3 mg/kg/day in mice and is equivalent </w:t>
      </w:r>
      <w:r w:rsidR="007947BC">
        <w:rPr>
          <w:rFonts w:cs="Arial"/>
        </w:rPr>
        <w:t xml:space="preserve">to a </w:t>
      </w:r>
      <w:r w:rsidR="00B31F72">
        <w:rPr>
          <w:rFonts w:cs="Arial"/>
        </w:rPr>
        <w:t>NOAEC range of 2.8</w:t>
      </w:r>
      <w:r w:rsidR="005A74E6">
        <w:rPr>
          <w:rFonts w:cs="Arial"/>
        </w:rPr>
        <w:t> </w:t>
      </w:r>
      <w:r w:rsidR="00B31F72">
        <w:rPr>
          <w:rFonts w:cs="Arial"/>
        </w:rPr>
        <w:t>to 4.2 mg/m</w:t>
      </w:r>
      <w:r w:rsidR="00B31F72">
        <w:rPr>
          <w:rFonts w:cs="Arial"/>
          <w:vertAlign w:val="superscript"/>
        </w:rPr>
        <w:t>3</w:t>
      </w:r>
      <w:r w:rsidR="00B31F72">
        <w:rPr>
          <w:rFonts w:cs="Arial"/>
        </w:rPr>
        <w:t xml:space="preserve">. </w:t>
      </w:r>
      <w:r w:rsidR="005A74E6">
        <w:rPr>
          <w:rFonts w:cs="Arial"/>
        </w:rPr>
        <w:t>T</w:t>
      </w:r>
      <w:r w:rsidR="00B31F72">
        <w:rPr>
          <w:rFonts w:cs="Arial"/>
        </w:rPr>
        <w:t xml:space="preserve">he </w:t>
      </w:r>
      <w:r w:rsidR="005A74E6">
        <w:rPr>
          <w:rFonts w:cs="Arial"/>
        </w:rPr>
        <w:t>TWA of 1 mg/m</w:t>
      </w:r>
      <w:r w:rsidR="005A74E6">
        <w:rPr>
          <w:rFonts w:cs="Arial"/>
          <w:vertAlign w:val="superscript"/>
        </w:rPr>
        <w:t>3</w:t>
      </w:r>
      <w:r w:rsidR="005A74E6">
        <w:rPr>
          <w:rFonts w:cs="Arial"/>
        </w:rPr>
        <w:t xml:space="preserve"> by DFG (2012) is </w:t>
      </w:r>
      <w:r w:rsidR="00B31F72">
        <w:rPr>
          <w:rFonts w:cs="Arial"/>
        </w:rPr>
        <w:t xml:space="preserve">recommended </w:t>
      </w:r>
      <w:r w:rsidR="008420EF">
        <w:rPr>
          <w:rFonts w:cs="Arial"/>
        </w:rPr>
        <w:t xml:space="preserve">to </w:t>
      </w:r>
      <w:r w:rsidR="005A74E6">
        <w:rPr>
          <w:rFonts w:cs="Arial"/>
        </w:rPr>
        <w:t xml:space="preserve">be retained and is </w:t>
      </w:r>
      <w:r w:rsidR="00B31F72">
        <w:rPr>
          <w:rFonts w:cs="Arial"/>
        </w:rPr>
        <w:t>considered sufficiently low to be protective of haematological changes. From the available source materia</w:t>
      </w:r>
      <w:r w:rsidR="007947BC">
        <w:rPr>
          <w:rFonts w:cs="Arial"/>
        </w:rPr>
        <w:t xml:space="preserve">l, a threshold for irritation </w:t>
      </w:r>
      <w:r w:rsidR="00B31F72">
        <w:rPr>
          <w:rFonts w:cs="Arial"/>
        </w:rPr>
        <w:t xml:space="preserve">is unclear and should be sought from additional sources during </w:t>
      </w:r>
      <w:r w:rsidR="008420EF">
        <w:rPr>
          <w:rFonts w:cs="Arial"/>
        </w:rPr>
        <w:t xml:space="preserve">next </w:t>
      </w:r>
      <w:r w:rsidR="00B31F72">
        <w:rPr>
          <w:rFonts w:cs="Arial"/>
        </w:rPr>
        <w:t>subsequent review.</w:t>
      </w:r>
    </w:p>
    <w:p w14:paraId="5E33D981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062C146A" w14:textId="77777777" w:rsidR="008E4F1F" w:rsidRPr="00EA6FFB" w:rsidRDefault="008E4F1F" w:rsidP="008E4F1F">
      <w:pPr>
        <w:rPr>
          <w:rFonts w:cs="Arial"/>
        </w:rPr>
      </w:pPr>
      <w:r w:rsidRPr="00EA6FFB">
        <w:rPr>
          <w:rFonts w:cs="Arial"/>
        </w:rPr>
        <w:t>Not classified as a carcinogen according to the Globally Harmonized System of</w:t>
      </w:r>
      <w:r w:rsidR="00155999" w:rsidRPr="00EA6FFB">
        <w:rPr>
          <w:rFonts w:cs="Arial"/>
        </w:rPr>
        <w:t xml:space="preserve"> Classification and Labelling of</w:t>
      </w:r>
      <w:r w:rsidRPr="00EA6FFB">
        <w:rPr>
          <w:rFonts w:cs="Arial"/>
        </w:rPr>
        <w:t xml:space="preserve"> Chemicals (GHS). </w:t>
      </w:r>
    </w:p>
    <w:p w14:paraId="6417E539" w14:textId="29FB29BD" w:rsidR="008E4F1F" w:rsidRPr="00EA6FFB" w:rsidRDefault="00EA6FFB" w:rsidP="008E4F1F">
      <w:pPr>
        <w:rPr>
          <w:rFonts w:cs="Arial"/>
        </w:rPr>
      </w:pPr>
      <w:r w:rsidRPr="00EA6FFB">
        <w:rPr>
          <w:rFonts w:cs="Arial"/>
        </w:rPr>
        <w:t>C</w:t>
      </w:r>
      <w:r w:rsidR="008E4F1F" w:rsidRPr="00EA6FFB">
        <w:rPr>
          <w:rFonts w:cs="Arial"/>
        </w:rPr>
        <w:t xml:space="preserve">lassified as a skin </w:t>
      </w:r>
      <w:r w:rsidRPr="00EA6FFB">
        <w:rPr>
          <w:rFonts w:cs="Arial"/>
        </w:rPr>
        <w:t>sensitiser</w:t>
      </w:r>
      <w:r w:rsidR="000D2D25">
        <w:rPr>
          <w:rFonts w:cs="Arial"/>
        </w:rPr>
        <w:t xml:space="preserve"> and</w:t>
      </w:r>
      <w:r w:rsidRPr="00EA6FFB">
        <w:rPr>
          <w:rFonts w:cs="Arial"/>
        </w:rPr>
        <w:t xml:space="preserve"> a </w:t>
      </w:r>
      <w:r w:rsidR="008E4F1F" w:rsidRPr="00EA6FFB">
        <w:rPr>
          <w:rFonts w:cs="Arial"/>
        </w:rPr>
        <w:t>respiratory sensitiser according to the GHS.</w:t>
      </w:r>
    </w:p>
    <w:p w14:paraId="34C3CB55" w14:textId="33BA9C1C" w:rsidR="0025734A" w:rsidRPr="00EA6FFB" w:rsidRDefault="00EA6FFB">
      <w:pPr>
        <w:rPr>
          <w:rFonts w:cs="Arial"/>
        </w:rPr>
      </w:pPr>
      <w:r w:rsidRPr="00EA6FFB">
        <w:rPr>
          <w:rFonts w:cs="Arial"/>
        </w:rPr>
        <w:t xml:space="preserve">A skin notation is </w:t>
      </w:r>
      <w:r w:rsidR="00E74F03">
        <w:rPr>
          <w:rFonts w:cs="Arial"/>
        </w:rPr>
        <w:t>recommended</w:t>
      </w:r>
      <w:r w:rsidRPr="00EA6FFB">
        <w:rPr>
          <w:rFonts w:cs="Arial"/>
        </w:rPr>
        <w:t xml:space="preserve"> as evidence indicates allergic dermatitis in humans and animals.</w:t>
      </w:r>
    </w:p>
    <w:p w14:paraId="565C5BF0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03FDAC8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CB90745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159258B" w14:textId="77777777" w:rsidTr="001978B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0158A907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0CF3F80" w14:textId="77777777" w:rsidTr="001978B2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4022196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572A85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572A85">
                  <w:t>TWA: 1 mg/m</w:t>
                </w:r>
                <w:r w:rsidR="00572A85" w:rsidRPr="00572A85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099BB7A3" w14:textId="77777777" w:rsidTr="001978B2">
        <w:trPr>
          <w:gridAfter w:val="1"/>
          <w:wAfter w:w="8" w:type="pct"/>
          <w:cantSplit/>
        </w:trPr>
        <w:tc>
          <w:tcPr>
            <w:tcW w:w="4992" w:type="pct"/>
          </w:tcPr>
          <w:p w14:paraId="19C3DA55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6E6AE46" w14:textId="77777777" w:rsidTr="001978B2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5E0AA01" w14:textId="7B1AC840" w:rsidR="00C978F0" w:rsidRPr="00DA352E" w:rsidRDefault="00DA352E" w:rsidP="00136888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ind w:left="2947" w:hanging="2947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72A85">
                  <w:t>2014</w:t>
                </w:r>
              </w:sdtContent>
            </w:sdt>
            <w:r w:rsidR="00916EC0" w:rsidRPr="003365A5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72A85">
                  <w:t>TLV-TWA: 0.005 ppm (0.05 mg/m</w:t>
                </w:r>
                <w:r w:rsidR="00572A85" w:rsidRPr="00572A85">
                  <w:rPr>
                    <w:vertAlign w:val="superscript"/>
                  </w:rPr>
                  <w:t>3</w:t>
                </w:r>
                <w:r w:rsidR="00572A85">
                  <w:t>)</w:t>
                </w:r>
                <w:r w:rsidR="00136888">
                  <w:t xml:space="preserve"> (Inhalable fraction and vapor)</w:t>
                </w:r>
              </w:sdtContent>
            </w:sdt>
          </w:p>
        </w:tc>
      </w:tr>
      <w:tr w:rsidR="00C978F0" w:rsidRPr="00DA352E" w14:paraId="720564C8" w14:textId="77777777" w:rsidTr="001978B2">
        <w:trPr>
          <w:gridAfter w:val="1"/>
          <w:wAfter w:w="8" w:type="pct"/>
        </w:trPr>
        <w:tc>
          <w:tcPr>
            <w:tcW w:w="4992" w:type="pct"/>
          </w:tcPr>
          <w:p w14:paraId="45B2F72C" w14:textId="77777777" w:rsidR="000D2D25" w:rsidRDefault="00061147" w:rsidP="003365A5">
            <w:pPr>
              <w:pStyle w:val="Tabletextprimarysource"/>
            </w:pPr>
            <w:r>
              <w:t xml:space="preserve">TLV-TWA intended to protect for irritation and dermal sensitisation. </w:t>
            </w:r>
          </w:p>
          <w:p w14:paraId="028289F0" w14:textId="77777777" w:rsidR="000D2D25" w:rsidRDefault="00061147" w:rsidP="003365A5">
            <w:pPr>
              <w:pStyle w:val="Tabletextprimarysource"/>
            </w:pPr>
            <w:r>
              <w:t xml:space="preserve">Positive mutagenic potential is not associated with a carcinogenic mechanism of action; no evidence of carcinogenicity in chronic animal feeding studies, therefore not classified as a human carcinogen (A4). </w:t>
            </w:r>
          </w:p>
          <w:p w14:paraId="45B52748" w14:textId="77777777" w:rsidR="000D2D25" w:rsidRDefault="00061147" w:rsidP="003365A5">
            <w:pPr>
              <w:pStyle w:val="Tabletextprimarysource"/>
            </w:pPr>
            <w:r>
              <w:t xml:space="preserve">Skin notation not recommended based on acute dermal application studies. </w:t>
            </w:r>
          </w:p>
          <w:p w14:paraId="0F4C3EF2" w14:textId="64F27D13" w:rsidR="00061147" w:rsidRDefault="00061147" w:rsidP="003365A5">
            <w:pPr>
              <w:pStyle w:val="Tabletextprimarysource"/>
            </w:pPr>
            <w:r>
              <w:t>DSEN notation warranted based on reports of dermal sensitisation in humans and animals.</w:t>
            </w:r>
          </w:p>
          <w:p w14:paraId="1541778E" w14:textId="5BADB030" w:rsidR="00061147" w:rsidRDefault="00061147" w:rsidP="003365A5">
            <w:pPr>
              <w:pStyle w:val="Tabletextprimarysource"/>
            </w:pPr>
            <w:r>
              <w:t>Summary of information</w:t>
            </w:r>
            <w:r w:rsidR="00C02CDC">
              <w:t>:</w:t>
            </w:r>
          </w:p>
          <w:p w14:paraId="09802CF0" w14:textId="2A00976A" w:rsidR="00061147" w:rsidRPr="00923951" w:rsidRDefault="00061147" w:rsidP="003365A5">
            <w:pPr>
              <w:pStyle w:val="Tabletextprimarysource"/>
            </w:pPr>
            <w:r>
              <w:t xml:space="preserve">In the absence of adequate human exposure data, TLV-TWA based on NOAEL of </w:t>
            </w:r>
            <w:r>
              <w:rPr>
                <w:rFonts w:cs="Arial"/>
              </w:rPr>
              <w:t>≈</w:t>
            </w:r>
            <w:r>
              <w:t>0.5 mg/kg</w:t>
            </w:r>
            <w:r w:rsidR="005A74E6">
              <w:t>/d</w:t>
            </w:r>
            <w:r>
              <w:t xml:space="preserve"> reported in sub</w:t>
            </w:r>
            <w:r w:rsidR="005A74E6">
              <w:t>-</w:t>
            </w:r>
            <w:r>
              <w:t xml:space="preserve">chronic and chronic feeding studies </w:t>
            </w:r>
            <w:r w:rsidR="000D2D25">
              <w:t>in</w:t>
            </w:r>
            <w:r>
              <w:t xml:space="preserve"> rats and dogs.</w:t>
            </w:r>
            <w:r w:rsidR="001E03B1">
              <w:t xml:space="preserve"> </w:t>
            </w:r>
            <w:r w:rsidR="00076B28">
              <w:t xml:space="preserve">Equivalent inhalational dose </w:t>
            </w:r>
            <w:r w:rsidR="0039259D">
              <w:t>calculated as</w:t>
            </w:r>
            <w:r w:rsidR="00923951">
              <w:t xml:space="preserve"> 3.5 mg/m</w:t>
            </w:r>
            <w:r w:rsidR="00923951">
              <w:rPr>
                <w:vertAlign w:val="superscript"/>
              </w:rPr>
              <w:t>3</w:t>
            </w:r>
            <w:r w:rsidR="00923951">
              <w:t xml:space="preserve"> a</w:t>
            </w:r>
            <w:r w:rsidR="001E03B1">
              <w:t>ssuming 100% absorption in a 70</w:t>
            </w:r>
            <w:r w:rsidR="000D2D25">
              <w:t xml:space="preserve"> </w:t>
            </w:r>
            <w:r w:rsidR="001E03B1">
              <w:t xml:space="preserve">kg worker with a respiratory volume </w:t>
            </w:r>
            <w:r w:rsidR="00076B28">
              <w:t>of 10 m</w:t>
            </w:r>
            <w:r w:rsidR="00076B28">
              <w:rPr>
                <w:vertAlign w:val="superscript"/>
              </w:rPr>
              <w:t>3</w:t>
            </w:r>
            <w:r w:rsidR="00076B28">
              <w:t xml:space="preserve"> during an 8</w:t>
            </w:r>
            <w:r w:rsidR="000D2D25">
              <w:t xml:space="preserve"> </w:t>
            </w:r>
            <w:r w:rsidR="00076B28">
              <w:t>h shift.</w:t>
            </w:r>
            <w:r w:rsidR="00923951">
              <w:t xml:space="preserve"> TLV-TWA of 0.05 mg/m</w:t>
            </w:r>
            <w:r w:rsidR="00923951">
              <w:rPr>
                <w:vertAlign w:val="superscript"/>
              </w:rPr>
              <w:t>3</w:t>
            </w:r>
            <w:r w:rsidR="00923951">
              <w:t xml:space="preserve"> </w:t>
            </w:r>
            <w:r w:rsidR="0039259D">
              <w:t xml:space="preserve">considered sufficiently low; however, </w:t>
            </w:r>
            <w:r w:rsidR="00BA211C">
              <w:t xml:space="preserve">derivation of the 70-fold UF is not presented or discussed by </w:t>
            </w:r>
            <w:r w:rsidR="00C02CDC">
              <w:t>ACGIH</w:t>
            </w:r>
            <w:r w:rsidR="00BA211C">
              <w:t>.</w:t>
            </w:r>
          </w:p>
          <w:p w14:paraId="0D37C89A" w14:textId="60D2FFA6" w:rsidR="00061147" w:rsidRDefault="00061147" w:rsidP="003365A5">
            <w:pPr>
              <w:pStyle w:val="Tabletextprimarysource"/>
            </w:pPr>
            <w:r>
              <w:t>Human data</w:t>
            </w:r>
            <w:r w:rsidR="00C02CDC">
              <w:t>:</w:t>
            </w:r>
          </w:p>
          <w:p w14:paraId="55E46C6E" w14:textId="1D28264B" w:rsidR="0039259D" w:rsidRDefault="0039259D" w:rsidP="0039259D">
            <w:pPr>
              <w:pStyle w:val="Tabletextprimarysource"/>
              <w:numPr>
                <w:ilvl w:val="0"/>
                <w:numId w:val="2"/>
              </w:numPr>
            </w:pPr>
            <w:r>
              <w:t>Increased incidence of coughing, eye irritation, thoracic pain, tachycardia, dermal lesions and liver dysfunction in production workers (n=223</w:t>
            </w:r>
            <w:r w:rsidR="00C02CDC">
              <w:t>)</w:t>
            </w:r>
            <w:r w:rsidR="005A74E6">
              <w:t xml:space="preserve">. No </w:t>
            </w:r>
            <w:r w:rsidR="00BA211C">
              <w:t>further details</w:t>
            </w:r>
          </w:p>
          <w:p w14:paraId="29C15C91" w14:textId="1AB655BC" w:rsidR="0039259D" w:rsidRDefault="0039259D" w:rsidP="0039259D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Intolerance to alcohol </w:t>
            </w:r>
            <w:r w:rsidR="00BA211C">
              <w:t>manifested as flushing in face</w:t>
            </w:r>
            <w:r>
              <w:t>, rapid pulse, dizziness and hypotension presumably due to inhibition of acetaldehyde metabolism (no further details)</w:t>
            </w:r>
            <w:r w:rsidR="00A215C0">
              <w:t>.</w:t>
            </w:r>
          </w:p>
          <w:p w14:paraId="3228D20F" w14:textId="2851C252" w:rsidR="00061147" w:rsidRDefault="00061147" w:rsidP="003365A5">
            <w:pPr>
              <w:pStyle w:val="Tabletextprimarysource"/>
            </w:pPr>
            <w:r>
              <w:t>Animal data</w:t>
            </w:r>
            <w:r w:rsidR="00C02CDC">
              <w:t>:</w:t>
            </w:r>
          </w:p>
          <w:p w14:paraId="24F8F2ED" w14:textId="6003C079" w:rsidR="00061147" w:rsidRDefault="00072D94" w:rsidP="00072D94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300–1,000 mg/m</w:t>
            </w:r>
            <w:r>
              <w:rPr>
                <w:vertAlign w:val="superscript"/>
              </w:rPr>
              <w:t>3</w:t>
            </w:r>
            <w:r>
              <w:t xml:space="preserve"> (rats, 4 h); rapid breathing, tremor and convulsions observed</w:t>
            </w:r>
          </w:p>
          <w:p w14:paraId="181B48F5" w14:textId="5544A212" w:rsidR="00072D94" w:rsidRDefault="00072D94" w:rsidP="00072D94">
            <w:pPr>
              <w:pStyle w:val="Tabletextprimarysource"/>
              <w:numPr>
                <w:ilvl w:val="0"/>
                <w:numId w:val="1"/>
              </w:numPr>
            </w:pPr>
            <w:r>
              <w:t>Dermal sensitisation reported in acute dermal application study (rabbits, no further details)</w:t>
            </w:r>
          </w:p>
          <w:p w14:paraId="450A78CF" w14:textId="7FC98E78" w:rsidR="00072D94" w:rsidRDefault="00072D94" w:rsidP="00072D94">
            <w:pPr>
              <w:pStyle w:val="Tabletextprimarysource"/>
              <w:numPr>
                <w:ilvl w:val="0"/>
                <w:numId w:val="1"/>
              </w:numPr>
            </w:pPr>
            <w:r>
              <w:t>NOAEL: 2.5 mg/kg/d for decreased food intake and changes in blood biochemistry in sub</w:t>
            </w:r>
            <w:r w:rsidR="00C02CDC">
              <w:t>-</w:t>
            </w:r>
            <w:r>
              <w:t>chronic feeding study with dose groups 0, 2.5, 25 and 50 mg/kg</w:t>
            </w:r>
            <w:r w:rsidR="005A74E6">
              <w:t>/d</w:t>
            </w:r>
            <w:r>
              <w:t xml:space="preserve"> (rats, 13 </w:t>
            </w:r>
            <w:proofErr w:type="spellStart"/>
            <w:r>
              <w:t>wk</w:t>
            </w:r>
            <w:proofErr w:type="spellEnd"/>
            <w:r>
              <w:t>)</w:t>
            </w:r>
          </w:p>
          <w:p w14:paraId="572F2BAB" w14:textId="7B979546" w:rsidR="000D2D25" w:rsidRDefault="00072D94" w:rsidP="00072D94">
            <w:pPr>
              <w:pStyle w:val="Tabletextprimarysource"/>
              <w:numPr>
                <w:ilvl w:val="0"/>
                <w:numId w:val="1"/>
              </w:numPr>
            </w:pPr>
            <w:r>
              <w:t>LOAEL: 2 mg/kg/d for blood biochemistry and haematological changes</w:t>
            </w:r>
            <w:r w:rsidR="00EB49D2">
              <w:t xml:space="preserve"> (decreased </w:t>
            </w:r>
            <w:r w:rsidR="00A215C0">
              <w:t>RBC</w:t>
            </w:r>
            <w:r w:rsidR="00EB49D2">
              <w:t xml:space="preserve"> and </w:t>
            </w:r>
            <w:r w:rsidR="000D2D25">
              <w:t xml:space="preserve">Hb </w:t>
            </w:r>
            <w:r w:rsidR="00EB49D2">
              <w:t>concentration)</w:t>
            </w:r>
            <w:r>
              <w:t xml:space="preserve"> in sub</w:t>
            </w:r>
            <w:r w:rsidR="00C02CDC">
              <w:t>-</w:t>
            </w:r>
            <w:r>
              <w:t>chronic feeding study with dose groups 0, 2, 7 and 12</w:t>
            </w:r>
            <w:r w:rsidR="00C02CDC">
              <w:t> </w:t>
            </w:r>
            <w:r>
              <w:t xml:space="preserve">mg/kg/d (dogs, 13 </w:t>
            </w:r>
            <w:proofErr w:type="spellStart"/>
            <w:r>
              <w:t>wk</w:t>
            </w:r>
            <w:proofErr w:type="spellEnd"/>
            <w:r>
              <w:t>)</w:t>
            </w:r>
            <w:r w:rsidR="00C02CDC">
              <w:t>:</w:t>
            </w:r>
            <w:r w:rsidR="00093D31">
              <w:t xml:space="preserve"> </w:t>
            </w:r>
          </w:p>
          <w:p w14:paraId="2B46EFB6" w14:textId="08CA6271" w:rsidR="00072D94" w:rsidRDefault="00093D31" w:rsidP="000D2D25">
            <w:pPr>
              <w:pStyle w:val="Tabletextprimarysource"/>
              <w:numPr>
                <w:ilvl w:val="0"/>
                <w:numId w:val="3"/>
              </w:numPr>
            </w:pPr>
            <w:r>
              <w:t>no histopathologic changes observed in any groups</w:t>
            </w:r>
          </w:p>
          <w:p w14:paraId="1C7E327F" w14:textId="480E49CB" w:rsidR="008D73F7" w:rsidRDefault="00D54EBA" w:rsidP="00072D94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NOAEL: 0.5 mg/kg/d for haematological changes and decreased body and relative organ weight </w:t>
            </w:r>
            <w:r w:rsidR="008D73F7">
              <w:t xml:space="preserve">(heart, liver, kidney, spleen) </w:t>
            </w:r>
            <w:r>
              <w:t>in chronic feeding study</w:t>
            </w:r>
            <w:r w:rsidR="008D73F7">
              <w:t xml:space="preserve"> with dose groups 0, 0.05, 0.5, 5, 50 mg/kg/d (rats, 2 </w:t>
            </w:r>
            <w:proofErr w:type="spellStart"/>
            <w:r w:rsidR="008D73F7">
              <w:t>yr</w:t>
            </w:r>
            <w:proofErr w:type="spellEnd"/>
            <w:r w:rsidR="008D73F7">
              <w:t>)</w:t>
            </w:r>
            <w:r w:rsidR="00C02CDC">
              <w:t>:</w:t>
            </w:r>
            <w:r w:rsidR="008D73F7">
              <w:t xml:space="preserve"> </w:t>
            </w:r>
          </w:p>
          <w:p w14:paraId="51888024" w14:textId="2F63AFE5" w:rsidR="00EB49D2" w:rsidRDefault="00EB49D2" w:rsidP="00A215C0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no increased incidence of tumours in any groups</w:t>
            </w:r>
          </w:p>
          <w:p w14:paraId="0D3E1031" w14:textId="754ACC32" w:rsidR="00093D31" w:rsidRDefault="008D73F7" w:rsidP="00A215C0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stomach irritation and inflammation observed in all groups</w:t>
            </w:r>
          </w:p>
          <w:p w14:paraId="204A7031" w14:textId="35A67FF3" w:rsidR="008D73F7" w:rsidRDefault="008D73F7" w:rsidP="00A215C0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 xml:space="preserve">plasma carboxylesterase inhibition at 5 and 50 mg/kg/d </w:t>
            </w:r>
          </w:p>
          <w:p w14:paraId="37F0C2D0" w14:textId="3EA95FE3" w:rsidR="008D73F7" w:rsidRDefault="008D73F7" w:rsidP="00A215C0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agency considers LOAEL of 0.05 mg/kg/d inconsistent with results of other chronic feeding studies and therefore uses NOAEL of 0.5 mg/kg/d for haematological endpoints as point of departure</w:t>
            </w:r>
          </w:p>
          <w:p w14:paraId="4F874FF7" w14:textId="47FD7B05" w:rsidR="008D73F7" w:rsidRDefault="008D73F7" w:rsidP="008D73F7">
            <w:pPr>
              <w:pStyle w:val="Tabletextprimarysource"/>
              <w:numPr>
                <w:ilvl w:val="0"/>
                <w:numId w:val="1"/>
              </w:numPr>
            </w:pPr>
            <w:r>
              <w:t>NOAEL: 1–1.5 mg/kg/d for haematological changes</w:t>
            </w:r>
            <w:r w:rsidR="00EB49D2">
              <w:t xml:space="preserve"> and carcinogenicity in 2 separate chronic feeding studies with dose range 0–15 mg/kg/d (rats, 2 </w:t>
            </w:r>
            <w:proofErr w:type="spellStart"/>
            <w:r w:rsidR="00EB49D2">
              <w:t>yr</w:t>
            </w:r>
            <w:proofErr w:type="spellEnd"/>
            <w:r w:rsidR="00EB49D2">
              <w:t>)</w:t>
            </w:r>
          </w:p>
          <w:p w14:paraId="62655252" w14:textId="4F8323B2" w:rsidR="00641DBB" w:rsidRDefault="00641DBB" w:rsidP="008D73F7">
            <w:pPr>
              <w:pStyle w:val="Tabletextprimarysource"/>
              <w:numPr>
                <w:ilvl w:val="0"/>
                <w:numId w:val="1"/>
              </w:numPr>
            </w:pPr>
            <w:r>
              <w:lastRenderedPageBreak/>
              <w:t xml:space="preserve">NOAEL: 0.4 mg/kg/d for nausea, vomiting, fundal haemorrhage, miosis, liver </w:t>
            </w:r>
            <w:r w:rsidR="00571229">
              <w:t>and kidney damage</w:t>
            </w:r>
            <w:r>
              <w:t xml:space="preserve"> and haematological changes </w:t>
            </w:r>
            <w:r w:rsidR="00571229">
              <w:t xml:space="preserve">in chronic gavage capsule study with dose groups 0, 0.4, 4 and 40 mg/kg/d (dogs, 2 </w:t>
            </w:r>
            <w:proofErr w:type="spellStart"/>
            <w:r w:rsidR="00571229">
              <w:t>yr</w:t>
            </w:r>
            <w:proofErr w:type="spellEnd"/>
            <w:r w:rsidR="00571229">
              <w:t>)</w:t>
            </w:r>
          </w:p>
          <w:p w14:paraId="3EFB7931" w14:textId="5FB54F82" w:rsidR="0039259D" w:rsidRDefault="0039259D" w:rsidP="008D73F7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Equivocal evidence for mutagenicity </w:t>
            </w:r>
            <w:r>
              <w:rPr>
                <w:i/>
              </w:rPr>
              <w:t>in vitro</w:t>
            </w:r>
            <w:r>
              <w:t xml:space="preserve"> in bacteria, positive mutagenicity </w:t>
            </w:r>
            <w:r>
              <w:rPr>
                <w:i/>
              </w:rPr>
              <w:t xml:space="preserve">in vitro </w:t>
            </w:r>
            <w:r>
              <w:t xml:space="preserve">in human lymphocytes and testicular cells, positive sex-linked recessive lethal assay </w:t>
            </w:r>
            <w:r>
              <w:rPr>
                <w:i/>
              </w:rPr>
              <w:t xml:space="preserve">in </w:t>
            </w:r>
            <w:r w:rsidRPr="0039259D">
              <w:rPr>
                <w:i/>
              </w:rPr>
              <w:t>vivo</w:t>
            </w:r>
            <w:r>
              <w:t xml:space="preserve"> </w:t>
            </w:r>
            <w:r w:rsidRPr="0039259D">
              <w:t>with</w:t>
            </w:r>
            <w:r>
              <w:t xml:space="preserve"> </w:t>
            </w:r>
            <w:r>
              <w:rPr>
                <w:i/>
              </w:rPr>
              <w:t>Drosophila melanogaster</w:t>
            </w:r>
            <w:r w:rsidR="00A215C0">
              <w:rPr>
                <w:i/>
              </w:rPr>
              <w:t>.</w:t>
            </w:r>
          </w:p>
          <w:p w14:paraId="08F5D0CB" w14:textId="77777777" w:rsidR="000D2D25" w:rsidRDefault="000D2D25" w:rsidP="003365A5">
            <w:pPr>
              <w:pStyle w:val="Tabletextprimarysource"/>
            </w:pPr>
          </w:p>
          <w:p w14:paraId="16037733" w14:textId="77777777" w:rsidR="00061147" w:rsidRDefault="00061147" w:rsidP="003365A5">
            <w:pPr>
              <w:pStyle w:val="Tabletextprimarysource"/>
            </w:pPr>
            <w:r>
              <w:t xml:space="preserve">Insufficient data to recommend a TLV-STEL or RSEN notation. </w:t>
            </w:r>
          </w:p>
          <w:p w14:paraId="5AB878F6" w14:textId="5957BD3B" w:rsidR="000D2D25" w:rsidRPr="00DA352E" w:rsidRDefault="000D2D25" w:rsidP="003365A5">
            <w:pPr>
              <w:pStyle w:val="Tabletextprimarysource"/>
            </w:pPr>
          </w:p>
        </w:tc>
      </w:tr>
      <w:tr w:rsidR="00C978F0" w:rsidRPr="00DA352E" w14:paraId="783BFF25" w14:textId="77777777" w:rsidTr="001978B2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3F850AE" w14:textId="535D9F3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39259D">
                  <w:t>2007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574A8D">
                  <w:t>MAK: 1 mg/m</w:t>
                </w:r>
                <w:r w:rsidR="00574A8D" w:rsidRPr="00574A8D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4276A2C" w14:textId="77777777" w:rsidTr="001978B2">
        <w:trPr>
          <w:gridAfter w:val="1"/>
          <w:wAfter w:w="8" w:type="pct"/>
          <w:cantSplit/>
        </w:trPr>
        <w:tc>
          <w:tcPr>
            <w:tcW w:w="4992" w:type="pct"/>
          </w:tcPr>
          <w:p w14:paraId="7B22BDBA" w14:textId="0CA82588" w:rsidR="00BA211C" w:rsidRDefault="0039259D" w:rsidP="003365A5">
            <w:pPr>
              <w:pStyle w:val="Tabletextprimarysource"/>
            </w:pPr>
            <w:r>
              <w:t>Summary of additional information</w:t>
            </w:r>
            <w:r w:rsidR="00C02CDC">
              <w:t>:</w:t>
            </w:r>
          </w:p>
          <w:p w14:paraId="01C4497B" w14:textId="29B4879C" w:rsidR="00BA211C" w:rsidRDefault="00BA211C" w:rsidP="003365A5">
            <w:pPr>
              <w:pStyle w:val="Tabletextprimarysource"/>
            </w:pPr>
            <w:r>
              <w:t xml:space="preserve">In the absence of adequate inhalational data for humans or animals, MAK derived from NOAEL of 3 separate chronic oral dose studies with rats, mice and dogs (also cited by ACGIH, 2018). The NOAEL in these species ranged from 0.4–3 mg/kg/d, converted to </w:t>
            </w:r>
            <w:r w:rsidR="0004049B">
              <w:t xml:space="preserve">an </w:t>
            </w:r>
            <w:r>
              <w:t xml:space="preserve">equivalent inhalational NOAEC of </w:t>
            </w:r>
            <w:r w:rsidR="0004049B">
              <w:t>2.8–4.2 mg/m</w:t>
            </w:r>
            <w:r w:rsidR="0004049B">
              <w:rPr>
                <w:vertAlign w:val="superscript"/>
              </w:rPr>
              <w:t>3</w:t>
            </w:r>
            <w:r w:rsidR="0004049B">
              <w:t xml:space="preserve"> assuming 100% absorption in a 70</w:t>
            </w:r>
            <w:r w:rsidR="000D2D25">
              <w:t xml:space="preserve"> </w:t>
            </w:r>
            <w:r w:rsidR="0004049B">
              <w:t>kg worker with a respiratory volume of 10 m</w:t>
            </w:r>
            <w:r w:rsidR="0004049B">
              <w:rPr>
                <w:vertAlign w:val="superscript"/>
              </w:rPr>
              <w:t>3</w:t>
            </w:r>
            <w:r w:rsidR="0004049B">
              <w:t xml:space="preserve"> during an 8</w:t>
            </w:r>
            <w:r w:rsidR="000D2D25">
              <w:t xml:space="preserve"> </w:t>
            </w:r>
            <w:r w:rsidR="0004049B">
              <w:t>h shift; additional factors of 7/5 to account for continuous exposure and species-specific allometric scaling factors applied to calculate NOAEC. Due to similarity in NOAEC estimates across species, humans not expected to be significantly more sensitive; MAK of 1 mg/m</w:t>
            </w:r>
            <w:r w:rsidR="0004049B">
              <w:rPr>
                <w:vertAlign w:val="superscript"/>
              </w:rPr>
              <w:t>3</w:t>
            </w:r>
            <w:r w:rsidR="0004049B">
              <w:t xml:space="preserve"> therefore expected to be protective.</w:t>
            </w:r>
          </w:p>
          <w:p w14:paraId="5D4CB3E1" w14:textId="348B284D" w:rsidR="004A4AA9" w:rsidRDefault="004A4AA9" w:rsidP="003365A5">
            <w:pPr>
              <w:pStyle w:val="Tabletextprimarysource"/>
            </w:pPr>
            <w:r>
              <w:t>Not classified as a carcinogen based on overall negative mutagenicity of pure substance and lack of tumorigenicity in chronic animal feeding studies.</w:t>
            </w:r>
          </w:p>
          <w:p w14:paraId="18920943" w14:textId="7048B354" w:rsidR="004A4AA9" w:rsidRDefault="004A4AA9" w:rsidP="003365A5">
            <w:pPr>
              <w:pStyle w:val="Tabletextprimarysource"/>
            </w:pPr>
            <w:r>
              <w:t>Acute dermal toxicity is low, skin notation therefore not warranted.</w:t>
            </w:r>
          </w:p>
          <w:p w14:paraId="3014842B" w14:textId="18C069D1" w:rsidR="004A4AA9" w:rsidRDefault="004A4AA9" w:rsidP="003365A5">
            <w:pPr>
              <w:pStyle w:val="Tabletextprimarysource"/>
            </w:pPr>
            <w:r>
              <w:t>Dermal sensitisation evidenced in several clinical studies and controlled animal studies, warrants a dermal sensitiser (</w:t>
            </w:r>
            <w:proofErr w:type="spellStart"/>
            <w:r>
              <w:t>Sh</w:t>
            </w:r>
            <w:proofErr w:type="spellEnd"/>
            <w:r>
              <w:t>) notation.</w:t>
            </w:r>
          </w:p>
          <w:p w14:paraId="0EE5040E" w14:textId="77777777" w:rsidR="0004049B" w:rsidRDefault="0004049B" w:rsidP="003365A5">
            <w:pPr>
              <w:pStyle w:val="Tabletextprimarysource"/>
            </w:pPr>
            <w:r>
              <w:t>Human data:</w:t>
            </w:r>
          </w:p>
          <w:p w14:paraId="3B71FC4F" w14:textId="131444F5" w:rsidR="0004049B" w:rsidRDefault="0004049B" w:rsidP="0004049B">
            <w:pPr>
              <w:pStyle w:val="Tabletextprimarysource"/>
              <w:numPr>
                <w:ilvl w:val="0"/>
                <w:numId w:val="1"/>
              </w:numPr>
            </w:pPr>
            <w:r>
              <w:t>Positive dermal sensitisation evidenced in several clinical</w:t>
            </w:r>
            <w:r w:rsidR="004A4AA9">
              <w:t xml:space="preserve"> dermal sensitisation</w:t>
            </w:r>
            <w:r>
              <w:t xml:space="preserve"> studies of </w:t>
            </w:r>
            <w:r w:rsidR="004A4AA9">
              <w:t>rubber components testing pure thiram and mixtures</w:t>
            </w:r>
            <w:r w:rsidR="00C02CDC">
              <w:t>:</w:t>
            </w:r>
          </w:p>
          <w:p w14:paraId="4F3AAB72" w14:textId="2C7B4ED9" w:rsidR="0004049B" w:rsidRDefault="004A4AA9" w:rsidP="00A215C0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p</w:t>
            </w:r>
            <w:r w:rsidR="0004049B">
              <w:t>ositive dermal sensitisation in 1–2% of subjects (n=6,942) using 1% topical ointment in petrolatum</w:t>
            </w:r>
            <w:r w:rsidR="00A215C0">
              <w:t>.</w:t>
            </w:r>
          </w:p>
          <w:p w14:paraId="05C54906" w14:textId="680B0538" w:rsidR="0004049B" w:rsidRDefault="0004049B" w:rsidP="003365A5">
            <w:pPr>
              <w:pStyle w:val="Tabletextprimarysource"/>
            </w:pPr>
            <w:r>
              <w:t>Animal data</w:t>
            </w:r>
            <w:r w:rsidR="00C02CDC">
              <w:t>:</w:t>
            </w:r>
          </w:p>
          <w:p w14:paraId="4423628D" w14:textId="7E88FAD0" w:rsidR="00B579E0" w:rsidRDefault="00B579E0" w:rsidP="005A3EAC">
            <w:pPr>
              <w:pStyle w:val="Tabletextprimarysource"/>
              <w:numPr>
                <w:ilvl w:val="0"/>
                <w:numId w:val="1"/>
              </w:numPr>
            </w:pPr>
            <w:r>
              <w:t>Non-irritating to rabbit skin after 4 h, slight irritation at 24 h (no further details provided)</w:t>
            </w:r>
            <w:r w:rsidR="00C02CDC">
              <w:t>:</w:t>
            </w:r>
          </w:p>
          <w:p w14:paraId="0597E9D8" w14:textId="689059D7" w:rsidR="00B579E0" w:rsidRDefault="00B579E0" w:rsidP="00A215C0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irritating to eyes, reversible within 15 d (no further details provided)</w:t>
            </w:r>
          </w:p>
          <w:p w14:paraId="4231B695" w14:textId="03C654AE" w:rsidR="005A3EAC" w:rsidRDefault="005A3EAC" w:rsidP="005A3EAC">
            <w:pPr>
              <w:pStyle w:val="Tabletextprimarysource"/>
              <w:numPr>
                <w:ilvl w:val="0"/>
                <w:numId w:val="1"/>
              </w:numPr>
            </w:pPr>
            <w:r>
              <w:t>NOAEL: 1.2/1.4 mg/kg/d (males/females) for reduced b</w:t>
            </w:r>
            <w:r w:rsidR="00326FEE">
              <w:t xml:space="preserve">ody </w:t>
            </w:r>
            <w:r>
              <w:t>w</w:t>
            </w:r>
            <w:r w:rsidR="00326FEE">
              <w:t>eight</w:t>
            </w:r>
            <w:r>
              <w:t xml:space="preserve">, anaemia and muscular atrophy (females) in chronic feeding study with dose groups 0/0, 0.1/0.1, 1.2/1.4, 11.6/13.8 mg/kg/d (rats, 2 </w:t>
            </w:r>
            <w:proofErr w:type="spellStart"/>
            <w:r>
              <w:t>yr</w:t>
            </w:r>
            <w:proofErr w:type="spellEnd"/>
            <w:r>
              <w:t>)</w:t>
            </w:r>
          </w:p>
          <w:p w14:paraId="2443BF8D" w14:textId="09D41D20" w:rsidR="008272E6" w:rsidRDefault="005A3EAC" w:rsidP="008272E6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NOAEL: 3 mg/kg/d for skin inflammation and necrosis and decreased </w:t>
            </w:r>
            <w:r w:rsidR="00326FEE">
              <w:t>body weight</w:t>
            </w:r>
            <w:r>
              <w:t xml:space="preserve"> in chronic feeding study with dose groups 0/0, 3/3, 24/57, 50/112 mg/kg/d (males/females) (mice, 2 </w:t>
            </w:r>
            <w:proofErr w:type="spellStart"/>
            <w:r>
              <w:t>yr</w:t>
            </w:r>
            <w:proofErr w:type="spellEnd"/>
            <w:r>
              <w:t>)</w:t>
            </w:r>
          </w:p>
          <w:p w14:paraId="6B3AB8F9" w14:textId="188F614E" w:rsidR="005A3EAC" w:rsidRDefault="005A3EAC" w:rsidP="005A3EAC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Agency concludes </w:t>
            </w:r>
            <w:r w:rsidR="008272E6">
              <w:t>pure substance is non-mutagenic</w:t>
            </w:r>
            <w:r>
              <w:t xml:space="preserve"> based on</w:t>
            </w:r>
            <w:r w:rsidR="008272E6">
              <w:t xml:space="preserve"> results of</w:t>
            </w:r>
            <w:r>
              <w:t xml:space="preserve"> several </w:t>
            </w:r>
            <w:r>
              <w:rPr>
                <w:i/>
              </w:rPr>
              <w:t>in vitro</w:t>
            </w:r>
            <w:r>
              <w:t xml:space="preserve"> and </w:t>
            </w:r>
            <w:r>
              <w:rPr>
                <w:i/>
              </w:rPr>
              <w:t>in vivo</w:t>
            </w:r>
            <w:r>
              <w:t xml:space="preserve"> assays</w:t>
            </w:r>
            <w:r w:rsidR="00A215C0">
              <w:t>.</w:t>
            </w:r>
          </w:p>
          <w:p w14:paraId="0086D1B3" w14:textId="77777777" w:rsidR="000D2D25" w:rsidRDefault="000D2D25" w:rsidP="003365A5">
            <w:pPr>
              <w:pStyle w:val="Tabletextprimarysource"/>
            </w:pPr>
          </w:p>
          <w:p w14:paraId="37B4EB78" w14:textId="77777777" w:rsidR="004A4AA9" w:rsidRDefault="004A4AA9" w:rsidP="003365A5">
            <w:pPr>
              <w:pStyle w:val="Tabletextprimarysource"/>
            </w:pPr>
            <w:r>
              <w:t>Insufficient data to recommend a respiratory sensitiser notation.</w:t>
            </w:r>
          </w:p>
          <w:p w14:paraId="30B829C6" w14:textId="4F2774B4" w:rsidR="000D2D25" w:rsidRPr="00DA352E" w:rsidRDefault="000D2D25" w:rsidP="003365A5">
            <w:pPr>
              <w:pStyle w:val="Tabletextprimarysource"/>
            </w:pPr>
          </w:p>
        </w:tc>
      </w:tr>
      <w:tr w:rsidR="00C978F0" w:rsidRPr="00DA352E" w14:paraId="6262836C" w14:textId="77777777" w:rsidTr="001978B2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720DA47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5345F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5345F7">
                  <w:t>NA</w:t>
                </w:r>
                <w:proofErr w:type="spellEnd"/>
              </w:sdtContent>
            </w:sdt>
          </w:p>
        </w:tc>
      </w:tr>
      <w:tr w:rsidR="00C978F0" w:rsidRPr="00DA352E" w14:paraId="7E910193" w14:textId="77777777" w:rsidTr="001978B2">
        <w:trPr>
          <w:gridAfter w:val="1"/>
          <w:wAfter w:w="8" w:type="pct"/>
          <w:cantSplit/>
        </w:trPr>
        <w:tc>
          <w:tcPr>
            <w:tcW w:w="4992" w:type="pct"/>
          </w:tcPr>
          <w:p w14:paraId="7858B7D3" w14:textId="4F94BD6F" w:rsidR="00C978F0" w:rsidRPr="00DA352E" w:rsidRDefault="005345F7" w:rsidP="003365A5">
            <w:pPr>
              <w:pStyle w:val="Tabletextprimarysource"/>
            </w:pPr>
            <w:r>
              <w:t>No report</w:t>
            </w:r>
            <w:r w:rsidR="00A215C0">
              <w:t>.</w:t>
            </w:r>
          </w:p>
        </w:tc>
      </w:tr>
      <w:tr w:rsidR="00DA352E" w:rsidRPr="00DA352E" w14:paraId="56226431" w14:textId="77777777" w:rsidTr="001978B2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BF66236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F811B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F811B5">
                  <w:t>NA</w:t>
                </w:r>
                <w:proofErr w:type="spellEnd"/>
              </w:sdtContent>
            </w:sdt>
          </w:p>
        </w:tc>
      </w:tr>
      <w:tr w:rsidR="00DA352E" w:rsidRPr="00DA352E" w14:paraId="1513AE08" w14:textId="77777777" w:rsidTr="001978B2">
        <w:trPr>
          <w:gridAfter w:val="1"/>
          <w:wAfter w:w="8" w:type="pct"/>
          <w:cantSplit/>
        </w:trPr>
        <w:tc>
          <w:tcPr>
            <w:tcW w:w="4992" w:type="pct"/>
          </w:tcPr>
          <w:p w14:paraId="006A9CF2" w14:textId="18342BD6" w:rsidR="00DA352E" w:rsidRPr="00DA352E" w:rsidRDefault="00F811B5" w:rsidP="003365A5">
            <w:pPr>
              <w:pStyle w:val="Tabletextprimarysource"/>
            </w:pPr>
            <w:r>
              <w:t>No report</w:t>
            </w:r>
            <w:r w:rsidR="00A215C0">
              <w:t>.</w:t>
            </w:r>
          </w:p>
        </w:tc>
      </w:tr>
      <w:tr w:rsidR="00DA352E" w:rsidRPr="00DA352E" w14:paraId="688B725D" w14:textId="77777777" w:rsidTr="001978B2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F0832A3" w14:textId="4B60A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896FF6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F811B5" w:rsidRPr="00F811B5">
                  <w:t>TWA:</w:t>
                </w:r>
                <w:r w:rsidR="00F811B5">
                  <w:t xml:space="preserve"> 5 mg/m</w:t>
                </w:r>
                <w:r w:rsidR="00F811B5" w:rsidRPr="00F811B5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0709E3EB" w14:textId="77777777" w:rsidTr="001978B2">
        <w:trPr>
          <w:gridAfter w:val="1"/>
          <w:wAfter w:w="8" w:type="pct"/>
          <w:cantSplit/>
        </w:trPr>
        <w:tc>
          <w:tcPr>
            <w:tcW w:w="4992" w:type="pct"/>
          </w:tcPr>
          <w:p w14:paraId="433FB1C0" w14:textId="7AC41B70" w:rsidR="00DA352E" w:rsidRDefault="008272E6" w:rsidP="003365A5">
            <w:pPr>
              <w:pStyle w:val="Tabletextprimarysource"/>
            </w:pPr>
            <w:r>
              <w:t>Summary of additional information</w:t>
            </w:r>
            <w:r w:rsidR="00C02CDC">
              <w:t>:</w:t>
            </w:r>
          </w:p>
          <w:p w14:paraId="7D32B21D" w14:textId="11095765" w:rsidR="008272E6" w:rsidRDefault="00BE2FF7" w:rsidP="003365A5">
            <w:pPr>
              <w:pStyle w:val="Tabletextprimarysource"/>
            </w:pPr>
            <w:r>
              <w:t xml:space="preserve">Existing administrative OEL considered too high, HBROEL derived from NOAEL of 0.4 mg/kg/d </w:t>
            </w:r>
            <w:r w:rsidRPr="00BE2FF7">
              <w:t>in chronic</w:t>
            </w:r>
            <w:r>
              <w:t xml:space="preserve"> feeding study </w:t>
            </w:r>
            <w:r w:rsidR="000D2D25">
              <w:t>in</w:t>
            </w:r>
            <w:r>
              <w:t xml:space="preserve"> dogs (also cited by ACGIH, 2018 and DFG, 2012). Conversion to an inhalational equivalent in humans, application of an allometric scaling factor and overall UF of 9 to account for inter- and intraspecies differences affords an HBROEL of 0.2 mg/m</w:t>
            </w:r>
            <w:r>
              <w:rPr>
                <w:vertAlign w:val="superscript"/>
              </w:rPr>
              <w:t>3</w:t>
            </w:r>
            <w:r>
              <w:t xml:space="preserve"> as a TWA.</w:t>
            </w:r>
          </w:p>
          <w:p w14:paraId="00E30D52" w14:textId="77777777" w:rsidR="00BE2FF7" w:rsidRDefault="00BE2FF7" w:rsidP="003365A5">
            <w:pPr>
              <w:pStyle w:val="Tabletextprimarysource"/>
            </w:pPr>
            <w:r>
              <w:t>Available evidence does not warrant a skin notation.</w:t>
            </w:r>
          </w:p>
          <w:p w14:paraId="7326D859" w14:textId="0D18E3DC" w:rsidR="008E484C" w:rsidRDefault="008E484C" w:rsidP="003365A5">
            <w:pPr>
              <w:pStyle w:val="Tabletextprimarysource"/>
            </w:pPr>
            <w:r>
              <w:t>Human data</w:t>
            </w:r>
            <w:r w:rsidR="00C02CDC">
              <w:t>:</w:t>
            </w:r>
          </w:p>
          <w:p w14:paraId="27C2CE0F" w14:textId="47DA09E2" w:rsidR="008E484C" w:rsidRDefault="008E484C" w:rsidP="008E484C">
            <w:pPr>
              <w:pStyle w:val="Tabletextprimarysource"/>
              <w:numPr>
                <w:ilvl w:val="0"/>
                <w:numId w:val="1"/>
              </w:numPr>
            </w:pPr>
            <w:r>
              <w:t>Excessive exposure causes skin</w:t>
            </w:r>
            <w:r w:rsidR="007E50C9">
              <w:t>,</w:t>
            </w:r>
            <w:r>
              <w:t xml:space="preserve"> </w:t>
            </w:r>
            <w:r w:rsidR="007E50C9">
              <w:t xml:space="preserve">mucous membrane and respiratory tract </w:t>
            </w:r>
            <w:r>
              <w:t xml:space="preserve">irritation, erythema, urticaria </w:t>
            </w:r>
            <w:r w:rsidR="007E50C9">
              <w:t xml:space="preserve">and </w:t>
            </w:r>
            <w:r>
              <w:t xml:space="preserve">conjunctivitis </w:t>
            </w:r>
            <w:r w:rsidR="007E50C9">
              <w:t>(no further details provided)</w:t>
            </w:r>
          </w:p>
          <w:p w14:paraId="6F7E8800" w14:textId="12BA002A" w:rsidR="007E50C9" w:rsidRDefault="007E50C9" w:rsidP="008E484C">
            <w:pPr>
              <w:pStyle w:val="Tabletextprimarysource"/>
              <w:numPr>
                <w:ilvl w:val="0"/>
                <w:numId w:val="1"/>
              </w:numPr>
            </w:pPr>
            <w:r>
              <w:t>Reports of allergic dermatitis in rubber factory workers, users of thiram-containing soap, fungicide sprayers and from wearing rubber gloves</w:t>
            </w:r>
            <w:r w:rsidR="00A215C0">
              <w:t>.</w:t>
            </w:r>
          </w:p>
          <w:p w14:paraId="5F50A999" w14:textId="0EEA2459" w:rsidR="00BE2FF7" w:rsidRDefault="00BE2FF7" w:rsidP="003365A5">
            <w:pPr>
              <w:pStyle w:val="Tabletextprimarysource"/>
            </w:pPr>
            <w:r>
              <w:t>Animal data</w:t>
            </w:r>
            <w:r w:rsidR="00C02CDC">
              <w:t>:</w:t>
            </w:r>
          </w:p>
          <w:p w14:paraId="646A4171" w14:textId="04A515AA" w:rsidR="00BE2FF7" w:rsidRPr="000D2D25" w:rsidRDefault="00BE2FF7" w:rsidP="00BE2FF7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Gene mutations induced in sensitive </w:t>
            </w:r>
            <w:r w:rsidR="008E484C">
              <w:t xml:space="preserve">strains of </w:t>
            </w:r>
            <w:r w:rsidR="008E484C">
              <w:rPr>
                <w:i/>
              </w:rPr>
              <w:t>S</w:t>
            </w:r>
            <w:r w:rsidR="00A215C0">
              <w:rPr>
                <w:i/>
              </w:rPr>
              <w:t>.</w:t>
            </w:r>
            <w:r w:rsidR="008E484C">
              <w:rPr>
                <w:i/>
              </w:rPr>
              <w:t xml:space="preserve"> typhimurium </w:t>
            </w:r>
            <w:r w:rsidR="008E484C">
              <w:t xml:space="preserve">and </w:t>
            </w:r>
            <w:r w:rsidR="00A215C0">
              <w:rPr>
                <w:i/>
              </w:rPr>
              <w:t>E.</w:t>
            </w:r>
            <w:r w:rsidR="008E484C">
              <w:rPr>
                <w:i/>
              </w:rPr>
              <w:t xml:space="preserve"> coli</w:t>
            </w:r>
            <w:r w:rsidR="008E484C">
              <w:t xml:space="preserve"> and mammalian cells at cytotoxic </w:t>
            </w:r>
            <w:r w:rsidR="00DB1E04">
              <w:t>concentrations</w:t>
            </w:r>
            <w:r w:rsidR="008E484C">
              <w:t xml:space="preserve">; no significant increase in micronuclei </w:t>
            </w:r>
            <w:r w:rsidR="008E484C">
              <w:rPr>
                <w:i/>
              </w:rPr>
              <w:t>in vivo</w:t>
            </w:r>
            <w:r w:rsidR="008E484C">
              <w:t xml:space="preserve"> in mice, clastogenic effects only observed at maximum tolerated doses </w:t>
            </w:r>
            <w:r w:rsidR="008E484C">
              <w:rPr>
                <w:i/>
              </w:rPr>
              <w:t>in vivo</w:t>
            </w:r>
            <w:r w:rsidR="00A215C0">
              <w:rPr>
                <w:i/>
              </w:rPr>
              <w:t>.</w:t>
            </w:r>
          </w:p>
          <w:p w14:paraId="48AF457F" w14:textId="69F7D9C5" w:rsidR="000D2D25" w:rsidRPr="000D2D25" w:rsidRDefault="000D2D25" w:rsidP="000D2D25">
            <w:pPr>
              <w:pStyle w:val="Tabletextprimarysource"/>
            </w:pPr>
          </w:p>
        </w:tc>
      </w:tr>
    </w:tbl>
    <w:p w14:paraId="21796C7D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8"/>
        <w:gridCol w:w="422"/>
        <w:gridCol w:w="661"/>
        <w:gridCol w:w="6455"/>
      </w:tblGrid>
      <w:tr w:rsidR="00AC1CF1" w:rsidRPr="00263255" w14:paraId="41CE03B0" w14:textId="77777777" w:rsidTr="00197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88" w:type="dxa"/>
            <w:shd w:val="clear" w:color="auto" w:fill="BFBFBF" w:themeFill="background1" w:themeFillShade="BF"/>
            <w:vAlign w:val="center"/>
          </w:tcPr>
          <w:p w14:paraId="4A43C124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245551BB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82D29A1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5" w:type="dxa"/>
            <w:shd w:val="clear" w:color="auto" w:fill="BFBFBF" w:themeFill="background1" w:themeFillShade="BF"/>
            <w:vAlign w:val="center"/>
          </w:tcPr>
          <w:p w14:paraId="77A2F641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AC1CF1" w:rsidRPr="004C23F4" w14:paraId="133C7DC0" w14:textId="77777777" w:rsidTr="001978B2">
        <w:trPr>
          <w:cantSplit/>
        </w:trPr>
        <w:tc>
          <w:tcPr>
            <w:tcW w:w="1488" w:type="dxa"/>
          </w:tcPr>
          <w:p w14:paraId="2AD31F50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14:paraId="00650021" w14:textId="58389BD3" w:rsidR="004966BF" w:rsidRPr="00CE617F" w:rsidRDefault="00512529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9705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DC2B114" w14:textId="1BABCD7C" w:rsidR="004966BF" w:rsidRPr="009A0AC0" w:rsidRDefault="00B9705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55" w:type="dxa"/>
          </w:tcPr>
          <w:p w14:paraId="3FDB653E" w14:textId="424F9E1E" w:rsidR="000D2D25" w:rsidRDefault="00B97055" w:rsidP="00717D45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 w:rsidRPr="00A215C0">
              <w:rPr>
                <w:rFonts w:cs="Arial"/>
              </w:rPr>
              <w:t xml:space="preserve">Evidence for mutagenicity </w:t>
            </w:r>
            <w:r w:rsidRPr="00A215C0">
              <w:rPr>
                <w:rFonts w:cs="Arial"/>
                <w:i/>
              </w:rPr>
              <w:t>in</w:t>
            </w:r>
            <w:r w:rsidRPr="00A215C0">
              <w:rPr>
                <w:rFonts w:cs="Arial"/>
              </w:rPr>
              <w:t xml:space="preserve"> </w:t>
            </w:r>
            <w:r w:rsidRPr="00A215C0">
              <w:rPr>
                <w:rFonts w:cs="Arial"/>
                <w:i/>
              </w:rPr>
              <w:t>vitro</w:t>
            </w:r>
            <w:r w:rsidRPr="00A215C0">
              <w:rPr>
                <w:rFonts w:cs="Arial"/>
              </w:rPr>
              <w:t xml:space="preserve"> and in somatic cells </w:t>
            </w:r>
            <w:r w:rsidRPr="00A215C0">
              <w:rPr>
                <w:rFonts w:cs="Arial"/>
                <w:i/>
              </w:rPr>
              <w:t>in</w:t>
            </w:r>
            <w:r w:rsidRPr="00A215C0">
              <w:rPr>
                <w:rFonts w:cs="Arial"/>
              </w:rPr>
              <w:t xml:space="preserve"> </w:t>
            </w:r>
            <w:r w:rsidRPr="00A215C0">
              <w:rPr>
                <w:rFonts w:cs="Arial"/>
                <w:i/>
              </w:rPr>
              <w:t>vivo</w:t>
            </w:r>
            <w:r w:rsidRPr="00A215C0">
              <w:rPr>
                <w:rFonts w:cs="Arial"/>
              </w:rPr>
              <w:t xml:space="preserve"> based on weight of evidence of available data</w:t>
            </w:r>
            <w:r w:rsidR="00C02CDC">
              <w:rPr>
                <w:rFonts w:cs="Arial"/>
              </w:rPr>
              <w:t>:</w:t>
            </w:r>
            <w:r w:rsidRPr="00A215C0">
              <w:rPr>
                <w:rFonts w:cs="Arial"/>
              </w:rPr>
              <w:t xml:space="preserve"> </w:t>
            </w:r>
          </w:p>
          <w:p w14:paraId="6A1CE5EF" w14:textId="48820A8B" w:rsidR="009A0AC0" w:rsidRPr="00A215C0" w:rsidRDefault="00B97055" w:rsidP="000D2D25">
            <w:pPr>
              <w:pStyle w:val="Tablefont"/>
              <w:numPr>
                <w:ilvl w:val="0"/>
                <w:numId w:val="4"/>
              </w:numPr>
              <w:rPr>
                <w:rFonts w:cs="Arial"/>
              </w:rPr>
            </w:pPr>
            <w:r w:rsidRPr="00A215C0">
              <w:rPr>
                <w:rFonts w:cs="Arial"/>
              </w:rPr>
              <w:t>germ cell mutagenicity assays were overall negative</w:t>
            </w:r>
          </w:p>
          <w:p w14:paraId="1DB118EF" w14:textId="6E684569" w:rsidR="009A0AC0" w:rsidRPr="00A215C0" w:rsidRDefault="009A0AC0" w:rsidP="00717D45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 w:rsidRPr="00A215C0">
              <w:rPr>
                <w:rFonts w:cs="Arial"/>
              </w:rPr>
              <w:t>N</w:t>
            </w:r>
            <w:r w:rsidR="00B97055" w:rsidRPr="00A215C0">
              <w:rPr>
                <w:rFonts w:cs="Arial"/>
              </w:rPr>
              <w:t xml:space="preserve">ot considered </w:t>
            </w:r>
            <w:r w:rsidRPr="00A215C0">
              <w:rPr>
                <w:rFonts w:cs="Arial"/>
              </w:rPr>
              <w:t>carcinogenic based on available chronic feeding studies with rats (also presented by ACGIH, 2018; DFG, 2012; HCOTN, 2003)</w:t>
            </w:r>
          </w:p>
          <w:p w14:paraId="711023DB" w14:textId="0371BCDE" w:rsidR="004966BF" w:rsidRPr="009A0AC0" w:rsidRDefault="009A0AC0" w:rsidP="00717D45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 w:rsidRPr="00A215C0">
              <w:rPr>
                <w:rFonts w:cs="Arial"/>
              </w:rPr>
              <w:t>Decreased brain weights and increased hyperactivity at 21</w:t>
            </w:r>
            <w:r w:rsidR="00326FEE">
              <w:rPr>
                <w:rFonts w:cs="Arial"/>
              </w:rPr>
              <w:noBreakHyphen/>
            </w:r>
            <w:r w:rsidRPr="00A215C0">
              <w:rPr>
                <w:rFonts w:cs="Arial"/>
              </w:rPr>
              <w:t xml:space="preserve">44 mg/kg/d during </w:t>
            </w:r>
            <w:proofErr w:type="spellStart"/>
            <w:r w:rsidRPr="00A215C0">
              <w:rPr>
                <w:rFonts w:cs="Arial"/>
              </w:rPr>
              <w:t>wk</w:t>
            </w:r>
            <w:proofErr w:type="spellEnd"/>
            <w:r w:rsidRPr="00A215C0">
              <w:rPr>
                <w:rFonts w:cs="Arial"/>
              </w:rPr>
              <w:t xml:space="preserve"> 8 and 13 in </w:t>
            </w:r>
            <w:r w:rsidRPr="009A0AC0">
              <w:rPr>
                <w:rFonts w:cs="Arial"/>
              </w:rPr>
              <w:t>repeat oral dose study (rats, 90 d)</w:t>
            </w:r>
            <w:r w:rsidR="00A215C0">
              <w:rPr>
                <w:rFonts w:cs="Arial"/>
              </w:rPr>
              <w:t>.</w:t>
            </w:r>
          </w:p>
        </w:tc>
      </w:tr>
      <w:tr w:rsidR="00AC1CF1" w:rsidRPr="004C23F4" w14:paraId="4EBC4715" w14:textId="77777777" w:rsidTr="001978B2">
        <w:trPr>
          <w:cantSplit/>
        </w:trPr>
        <w:tc>
          <w:tcPr>
            <w:tcW w:w="1488" w:type="dxa"/>
          </w:tcPr>
          <w:p w14:paraId="003F7C96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2" w:type="dxa"/>
          </w:tcPr>
          <w:p w14:paraId="1E9B46B5" w14:textId="3C9B5A00" w:rsidR="004966BF" w:rsidRPr="00CE617F" w:rsidRDefault="00512529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C1CF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5F45AC8" w14:textId="30FEDE15" w:rsidR="004966BF" w:rsidRPr="00AC1CF1" w:rsidRDefault="00AC1CF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1991</w:t>
            </w:r>
          </w:p>
        </w:tc>
        <w:tc>
          <w:tcPr>
            <w:tcW w:w="6455" w:type="dxa"/>
          </w:tcPr>
          <w:p w14:paraId="3B3E298F" w14:textId="3D674D91" w:rsidR="00B97055" w:rsidRPr="00AC1CF1" w:rsidRDefault="00B97055" w:rsidP="00B97055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 w:rsidRPr="00AC1CF1">
              <w:rPr>
                <w:rFonts w:cs="Arial"/>
              </w:rPr>
              <w:t>Eye irritation, coughing, chest pain, tachycardia, nose-bleed, dermal lesions, non-inflammatory heart disease, liver dysfunction and weakness</w:t>
            </w:r>
            <w:r w:rsidR="00AC1CF1" w:rsidRPr="00AC1CF1">
              <w:rPr>
                <w:rFonts w:cs="Arial"/>
              </w:rPr>
              <w:t xml:space="preserve"> reported in exposed production workers (n=223) compared with non-exposed control cases (n=193) (no details on exposure)</w:t>
            </w:r>
            <w:r w:rsidR="00C02CDC">
              <w:rPr>
                <w:rFonts w:cs="Arial"/>
              </w:rPr>
              <w:t>:</w:t>
            </w:r>
          </w:p>
          <w:p w14:paraId="014E97FD" w14:textId="35D85124" w:rsidR="00AC1CF1" w:rsidRPr="00AC1CF1" w:rsidRDefault="00AC1CF1" w:rsidP="00A215C0">
            <w:pPr>
              <w:pStyle w:val="Tablefont"/>
              <w:numPr>
                <w:ilvl w:val="1"/>
                <w:numId w:val="1"/>
              </w:numPr>
              <w:ind w:left="1143"/>
              <w:rPr>
                <w:rFonts w:cs="Arial"/>
              </w:rPr>
            </w:pPr>
            <w:r w:rsidRPr="00AC1CF1">
              <w:rPr>
                <w:rFonts w:cs="Arial"/>
              </w:rPr>
              <w:t xml:space="preserve">7 cases of enlarged thyroid glands and 1 case of malignant thyroid lesion reported in 105 workers </w:t>
            </w:r>
          </w:p>
          <w:p w14:paraId="6155CD85" w14:textId="77777777" w:rsidR="00AC1CF1" w:rsidRPr="00AC1CF1" w:rsidRDefault="00AC1CF1" w:rsidP="00A215C0">
            <w:pPr>
              <w:pStyle w:val="Tablefont"/>
              <w:numPr>
                <w:ilvl w:val="1"/>
                <w:numId w:val="1"/>
              </w:numPr>
              <w:ind w:left="1143"/>
              <w:rPr>
                <w:rFonts w:cs="Arial"/>
              </w:rPr>
            </w:pPr>
            <w:r w:rsidRPr="00AC1CF1">
              <w:rPr>
                <w:rFonts w:cs="Arial"/>
              </w:rPr>
              <w:t>thyroid gland disorders reported at 7.6% in exposed cases compared with 1.04% in non-exposed cases</w:t>
            </w:r>
          </w:p>
          <w:p w14:paraId="4A4B8864" w14:textId="53F2F046" w:rsidR="004966BF" w:rsidRPr="00AC1CF1" w:rsidRDefault="00AC1CF1" w:rsidP="00AC1CF1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 w:rsidRPr="00AC1CF1">
              <w:rPr>
                <w:rFonts w:cs="Arial"/>
              </w:rPr>
              <w:t>Available data are inadequate to classify carcinogenicity in humans or animals (Group 3)</w:t>
            </w:r>
            <w:r w:rsidR="00A215C0">
              <w:rPr>
                <w:rFonts w:cs="Arial"/>
              </w:rPr>
              <w:t>.</w:t>
            </w:r>
          </w:p>
        </w:tc>
      </w:tr>
      <w:tr w:rsidR="00AC1CF1" w:rsidRPr="004C23F4" w14:paraId="2A4ACEB4" w14:textId="77777777" w:rsidTr="001978B2">
        <w:tc>
          <w:tcPr>
            <w:tcW w:w="1488" w:type="dxa"/>
          </w:tcPr>
          <w:p w14:paraId="508F8407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2" w:type="dxa"/>
          </w:tcPr>
          <w:p w14:paraId="2CC8DA15" w14:textId="2B228B67" w:rsidR="004966BF" w:rsidRPr="00CE617F" w:rsidRDefault="00512529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2480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06333CB" w14:textId="1A6787B4" w:rsidR="004966BF" w:rsidRPr="004C23F4" w:rsidRDefault="0072480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2020</w:t>
            </w:r>
          </w:p>
        </w:tc>
        <w:tc>
          <w:tcPr>
            <w:tcW w:w="6455" w:type="dxa"/>
          </w:tcPr>
          <w:p w14:paraId="38797892" w14:textId="77D8E27B" w:rsidR="0072480E" w:rsidRDefault="00AB0BAC" w:rsidP="0072480E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 w:rsidRPr="00AB0BAC">
              <w:rPr>
                <w:rFonts w:cs="Arial"/>
              </w:rPr>
              <w:t>No quantitative dose-response data available for local effect</w:t>
            </w:r>
            <w:r w:rsidR="0072480E">
              <w:rPr>
                <w:rFonts w:cs="Arial"/>
              </w:rPr>
              <w:t>s on skin and respiratory tract</w:t>
            </w:r>
            <w:r w:rsidRPr="00AB0BAC">
              <w:rPr>
                <w:rFonts w:cs="Arial"/>
              </w:rPr>
              <w:t xml:space="preserve"> </w:t>
            </w:r>
          </w:p>
          <w:p w14:paraId="38538CA1" w14:textId="65C2875F" w:rsidR="004966BF" w:rsidRDefault="0072480E" w:rsidP="0072480E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M</w:t>
            </w:r>
            <w:r w:rsidR="00AB0BAC" w:rsidRPr="00AB0BAC">
              <w:rPr>
                <w:rFonts w:cs="Arial"/>
              </w:rPr>
              <w:t>ost sensitive local endpoint is skin sensitisation.</w:t>
            </w:r>
          </w:p>
          <w:p w14:paraId="298F486A" w14:textId="3DA9719C" w:rsidR="00AB0BAC" w:rsidRDefault="00273FAF" w:rsidP="0072480E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NOAEL: 0.84 (males) and 2.54 mg/kg/d (females) for changes in clinical chemistry, including decreased total protein, </w:t>
            </w:r>
            <w:r w:rsidR="0072480E">
              <w:rPr>
                <w:rFonts w:cs="Arial"/>
              </w:rPr>
              <w:t xml:space="preserve">increased cholesterol and increased liver weight in chronic feeding study (dogs, 1 </w:t>
            </w:r>
            <w:proofErr w:type="spellStart"/>
            <w:r w:rsidR="0072480E">
              <w:rPr>
                <w:rFonts w:cs="Arial"/>
              </w:rPr>
              <w:t>yr</w:t>
            </w:r>
            <w:proofErr w:type="spellEnd"/>
            <w:r w:rsidR="0072480E">
              <w:rPr>
                <w:rFonts w:cs="Arial"/>
              </w:rPr>
              <w:t>); LOAEL: 2.61 (males) and 7.23 mg/kg/d (females)</w:t>
            </w:r>
          </w:p>
          <w:p w14:paraId="007A3BF8" w14:textId="3F178101" w:rsidR="00AB0BAC" w:rsidRDefault="0072480E" w:rsidP="0072480E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AB0BAC" w:rsidRPr="00AB0BAC">
              <w:rPr>
                <w:rFonts w:cs="Arial"/>
              </w:rPr>
              <w:t xml:space="preserve">ong-term inhalation DNEL based on </w:t>
            </w:r>
            <w:r>
              <w:rPr>
                <w:rFonts w:cs="Arial"/>
              </w:rPr>
              <w:t>NOAEL of 0.84 mg/kg/d in male dogs;</w:t>
            </w:r>
            <w:r w:rsidR="00AB0BAC" w:rsidRPr="00AB0BAC">
              <w:rPr>
                <w:rFonts w:cs="Arial"/>
              </w:rPr>
              <w:t xml:space="preserve"> starting point was corrected</w:t>
            </w:r>
            <w:r>
              <w:rPr>
                <w:rFonts w:cs="Arial"/>
              </w:rPr>
              <w:t xml:space="preserve"> to 1.475 mg/m</w:t>
            </w:r>
            <w:r>
              <w:rPr>
                <w:rFonts w:cs="Arial"/>
                <w:vertAlign w:val="superscript"/>
              </w:rPr>
              <w:t>3</w:t>
            </w:r>
            <w:r w:rsidR="00AB0BAC" w:rsidRPr="00AB0BAC">
              <w:rPr>
                <w:rFonts w:cs="Arial"/>
              </w:rPr>
              <w:t xml:space="preserve"> using 10 m</w:t>
            </w:r>
            <w:r>
              <w:rPr>
                <w:rFonts w:cs="Arial"/>
                <w:vertAlign w:val="superscript"/>
              </w:rPr>
              <w:t>3</w:t>
            </w:r>
            <w:r w:rsidR="00AB0BAC" w:rsidRPr="00AB0BA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respiratory</w:t>
            </w:r>
            <w:r w:rsidR="00AB0BAC" w:rsidRPr="00AB0BAC">
              <w:rPr>
                <w:rFonts w:cs="Arial"/>
              </w:rPr>
              <w:t xml:space="preserve"> volume </w:t>
            </w:r>
            <w:r>
              <w:rPr>
                <w:rFonts w:cs="Arial"/>
              </w:rPr>
              <w:t>during</w:t>
            </w:r>
            <w:r w:rsidR="00AB0BAC" w:rsidRPr="00AB0BAC">
              <w:rPr>
                <w:rFonts w:cs="Arial"/>
              </w:rPr>
              <w:t xml:space="preserve"> 8-h shift </w:t>
            </w:r>
            <w:r>
              <w:rPr>
                <w:rFonts w:cs="Arial"/>
              </w:rPr>
              <w:t>in a 70-kg worker</w:t>
            </w:r>
            <w:r w:rsidR="00C02CDC">
              <w:rPr>
                <w:rFonts w:cs="Arial"/>
              </w:rPr>
              <w:t>:</w:t>
            </w:r>
          </w:p>
          <w:p w14:paraId="68C6B641" w14:textId="04DB7416" w:rsidR="0072480E" w:rsidRPr="004C23F4" w:rsidRDefault="0072480E" w:rsidP="00A215C0">
            <w:pPr>
              <w:pStyle w:val="Tablefont"/>
              <w:numPr>
                <w:ilvl w:val="1"/>
                <w:numId w:val="1"/>
              </w:numPr>
              <w:ind w:left="1143"/>
              <w:rPr>
                <w:rStyle w:val="checkbox"/>
                <w:rFonts w:ascii="Arial" w:hAnsi="Arial" w:cs="Arial"/>
              </w:rPr>
            </w:pPr>
            <w:r>
              <w:t>overall UF of 12.5 applied to account for inter- and intraspecies differences</w:t>
            </w:r>
            <w:r w:rsidR="00AC1CF1">
              <w:t xml:space="preserve"> to arrive at </w:t>
            </w:r>
            <w:r w:rsidR="00E74F03">
              <w:t>long-term inhalational worker DNEL of 0.118 mg/m</w:t>
            </w:r>
            <w:r w:rsidR="00E74F03">
              <w:rPr>
                <w:vertAlign w:val="superscript"/>
              </w:rPr>
              <w:t>3</w:t>
            </w:r>
            <w:r w:rsidR="00A215C0">
              <w:t>.</w:t>
            </w:r>
          </w:p>
        </w:tc>
      </w:tr>
      <w:tr w:rsidR="00AC1CF1" w:rsidRPr="004C23F4" w14:paraId="38EB8AF7" w14:textId="77777777" w:rsidTr="001978B2">
        <w:trPr>
          <w:cantSplit/>
        </w:trPr>
        <w:tc>
          <w:tcPr>
            <w:tcW w:w="1488" w:type="dxa"/>
          </w:tcPr>
          <w:p w14:paraId="3F946CEC" w14:textId="77777777" w:rsidR="004966BF" w:rsidRDefault="004966BF" w:rsidP="00224EE2">
            <w:pPr>
              <w:pStyle w:val="Tablefont"/>
            </w:pPr>
            <w:r>
              <w:lastRenderedPageBreak/>
              <w:t>US NIOSH</w:t>
            </w:r>
          </w:p>
        </w:tc>
        <w:tc>
          <w:tcPr>
            <w:tcW w:w="422" w:type="dxa"/>
          </w:tcPr>
          <w:p w14:paraId="3C237B84" w14:textId="14CA2474" w:rsidR="004966BF" w:rsidRDefault="00512529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1391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846525E" w14:textId="6BCCE165" w:rsidR="004966BF" w:rsidRPr="004C23F4" w:rsidRDefault="00313919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5" w:type="dxa"/>
          </w:tcPr>
          <w:p w14:paraId="7CD2AAB3" w14:textId="555C4B10" w:rsidR="004966BF" w:rsidRPr="004C23F4" w:rsidRDefault="00313919" w:rsidP="00587623">
            <w:pPr>
              <w:pStyle w:val="Tablefont"/>
              <w:numPr>
                <w:ilvl w:val="0"/>
                <w:numId w:val="5"/>
              </w:numPr>
              <w:rPr>
                <w:rStyle w:val="checkbox"/>
                <w:rFonts w:ascii="Arial" w:hAnsi="Arial" w:cs="Arial"/>
              </w:rPr>
            </w:pPr>
            <w:r w:rsidRPr="00313919">
              <w:rPr>
                <w:rFonts w:cs="Arial"/>
              </w:rPr>
              <w:t>IDLH based on acute inhalation toxicity data in animals</w:t>
            </w:r>
            <w:r>
              <w:rPr>
                <w:rFonts w:cs="Arial"/>
              </w:rPr>
              <w:t>.</w:t>
            </w:r>
          </w:p>
        </w:tc>
      </w:tr>
    </w:tbl>
    <w:bookmarkEnd w:id="1"/>
    <w:p w14:paraId="6E555BEB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48B1310D" w14:textId="77777777" w:rsidTr="00BE2FF7">
        <w:trPr>
          <w:trHeight w:val="454"/>
          <w:tblHeader/>
        </w:trPr>
        <w:tc>
          <w:tcPr>
            <w:tcW w:w="6603" w:type="dxa"/>
            <w:vAlign w:val="center"/>
          </w:tcPr>
          <w:p w14:paraId="5BB425C1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9193FCC" w14:textId="23ADA809" w:rsidR="002E0D61" w:rsidRDefault="00B97055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19A99D72" w14:textId="77777777" w:rsidTr="00BE2FF7">
        <w:trPr>
          <w:trHeight w:val="454"/>
        </w:trPr>
        <w:tc>
          <w:tcPr>
            <w:tcW w:w="6603" w:type="dxa"/>
            <w:vAlign w:val="center"/>
          </w:tcPr>
          <w:p w14:paraId="50B3A58D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16E2E64C" w14:textId="66E0995B" w:rsidR="008A36CF" w:rsidRDefault="00BE2FF7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2830B059" w14:textId="77777777" w:rsidTr="00BE2FF7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B09DBDC" w14:textId="22565C48" w:rsidR="008A36CF" w:rsidRPr="006901A2" w:rsidRDefault="00BE2FF7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6444384C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6757689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886FB67" w14:textId="77777777" w:rsidTr="00197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F53D1C8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DA39B3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0E56391" w14:textId="77777777" w:rsidTr="001978B2">
        <w:trPr>
          <w:cantSplit/>
        </w:trPr>
        <w:tc>
          <w:tcPr>
            <w:tcW w:w="3227" w:type="dxa"/>
          </w:tcPr>
          <w:p w14:paraId="2D6777A9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5664EAE" w14:textId="5D33CD69" w:rsidR="00687890" w:rsidRPr="00DD2F9B" w:rsidRDefault="00313919" w:rsidP="00351FC1">
            <w:pPr>
              <w:pStyle w:val="Tablefont"/>
              <w:tabs>
                <w:tab w:val="left" w:pos="1014"/>
              </w:tabs>
            </w:pPr>
            <w:r>
              <w:t>Sen</w:t>
            </w:r>
          </w:p>
        </w:tc>
      </w:tr>
      <w:tr w:rsidR="007925F0" w:rsidRPr="004C23F4" w14:paraId="0C69F49F" w14:textId="77777777" w:rsidTr="001978B2">
        <w:trPr>
          <w:cantSplit/>
        </w:trPr>
        <w:tc>
          <w:tcPr>
            <w:tcW w:w="3227" w:type="dxa"/>
          </w:tcPr>
          <w:p w14:paraId="2B29A358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76C2F92" w14:textId="77777777" w:rsidR="007925F0" w:rsidRPr="00DD2F9B" w:rsidRDefault="00351FC1" w:rsidP="00351FC1">
            <w:pPr>
              <w:pStyle w:val="Tablefont"/>
              <w:tabs>
                <w:tab w:val="left" w:pos="1014"/>
              </w:tabs>
            </w:pPr>
            <w:r w:rsidRPr="00351FC1">
              <w:t>Skin sensitisation – category 1</w:t>
            </w:r>
          </w:p>
        </w:tc>
      </w:tr>
      <w:tr w:rsidR="00AF483F" w:rsidRPr="004C23F4" w14:paraId="22A701D4" w14:textId="77777777" w:rsidTr="001978B2">
        <w:trPr>
          <w:cantSplit/>
        </w:trPr>
        <w:tc>
          <w:tcPr>
            <w:tcW w:w="3227" w:type="dxa"/>
          </w:tcPr>
          <w:p w14:paraId="57DA1F8C" w14:textId="77777777" w:rsidR="00AF483F" w:rsidRPr="00AC1CF1" w:rsidRDefault="00AF483F" w:rsidP="00F4402E">
            <w:pPr>
              <w:pStyle w:val="Tablefont"/>
            </w:pPr>
            <w:r w:rsidRPr="00AC1CF1">
              <w:t>NICNAS</w:t>
            </w:r>
          </w:p>
        </w:tc>
        <w:tc>
          <w:tcPr>
            <w:tcW w:w="6015" w:type="dxa"/>
          </w:tcPr>
          <w:p w14:paraId="65F92901" w14:textId="59F64BC0" w:rsidR="00AF483F" w:rsidRPr="00AC1CF1" w:rsidRDefault="00205A9D" w:rsidP="00DD2F9B">
            <w:pPr>
              <w:pStyle w:val="Tablefont"/>
            </w:pPr>
            <w:r w:rsidRPr="00AC1CF1">
              <w:t xml:space="preserve">Skin </w:t>
            </w:r>
            <w:r w:rsidR="009A0AC0" w:rsidRPr="00AC1CF1">
              <w:t>sensitisation – category 1</w:t>
            </w:r>
          </w:p>
        </w:tc>
      </w:tr>
      <w:tr w:rsidR="00687890" w:rsidRPr="004C23F4" w14:paraId="2C3C0326" w14:textId="77777777" w:rsidTr="001978B2">
        <w:trPr>
          <w:cantSplit/>
        </w:trPr>
        <w:tc>
          <w:tcPr>
            <w:tcW w:w="3227" w:type="dxa"/>
          </w:tcPr>
          <w:p w14:paraId="7BFDDC28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4F3E8EF" w14:textId="77777777" w:rsidR="00687890" w:rsidRPr="00DD2F9B" w:rsidRDefault="00205A9D" w:rsidP="00DD2F9B">
            <w:pPr>
              <w:pStyle w:val="Tablefont"/>
            </w:pPr>
            <w:r>
              <w:t>S</w:t>
            </w:r>
            <w:r w:rsidRPr="00205A9D">
              <w:t>kin sensitisation – category 1</w:t>
            </w:r>
          </w:p>
        </w:tc>
      </w:tr>
      <w:tr w:rsidR="00E41A26" w:rsidRPr="004C23F4" w14:paraId="58A0B587" w14:textId="77777777" w:rsidTr="001978B2">
        <w:trPr>
          <w:cantSplit/>
        </w:trPr>
        <w:tc>
          <w:tcPr>
            <w:tcW w:w="3227" w:type="dxa"/>
          </w:tcPr>
          <w:p w14:paraId="155198FB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666964B" w14:textId="3673446E" w:rsidR="00E41A26" w:rsidRPr="00DD2F9B" w:rsidRDefault="00313919" w:rsidP="000E5DF7">
            <w:pPr>
              <w:pStyle w:val="Tablefont"/>
              <w:tabs>
                <w:tab w:val="left" w:pos="1165"/>
              </w:tabs>
            </w:pPr>
            <w:r>
              <w:t>—</w:t>
            </w:r>
          </w:p>
        </w:tc>
      </w:tr>
      <w:tr w:rsidR="002E0D61" w:rsidRPr="004C23F4" w14:paraId="02FEFCD5" w14:textId="77777777" w:rsidTr="001978B2">
        <w:trPr>
          <w:cantSplit/>
        </w:trPr>
        <w:tc>
          <w:tcPr>
            <w:tcW w:w="3227" w:type="dxa"/>
          </w:tcPr>
          <w:p w14:paraId="2860E6AB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87DF3CE" w14:textId="77777777" w:rsidR="002E0D61" w:rsidRPr="00DD2F9B" w:rsidRDefault="00B51B9D" w:rsidP="00DD2F9B">
            <w:pPr>
              <w:pStyle w:val="Tablefont"/>
            </w:pPr>
            <w:r w:rsidRPr="00B51B9D">
              <w:t>Carcinogenicity – A4</w:t>
            </w:r>
            <w:r>
              <w:t>, DSEN</w:t>
            </w:r>
          </w:p>
        </w:tc>
      </w:tr>
      <w:tr w:rsidR="002E0D61" w:rsidRPr="004C23F4" w14:paraId="772A9144" w14:textId="77777777" w:rsidTr="001978B2">
        <w:trPr>
          <w:cantSplit/>
        </w:trPr>
        <w:tc>
          <w:tcPr>
            <w:tcW w:w="3227" w:type="dxa"/>
          </w:tcPr>
          <w:p w14:paraId="0B362670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76D4CDD" w14:textId="77777777" w:rsidR="002E0D61" w:rsidRPr="00DD2F9B" w:rsidRDefault="00574A8D" w:rsidP="00DD2F9B">
            <w:pPr>
              <w:pStyle w:val="Tablefont"/>
            </w:pPr>
            <w:proofErr w:type="spellStart"/>
            <w:r w:rsidRPr="00574A8D">
              <w:t>Sh</w:t>
            </w:r>
            <w:proofErr w:type="spellEnd"/>
            <w:r w:rsidRPr="00574A8D">
              <w:t xml:space="preserve"> (dermal sensitiser)</w:t>
            </w:r>
          </w:p>
        </w:tc>
      </w:tr>
      <w:tr w:rsidR="002E0D61" w:rsidRPr="004C23F4" w14:paraId="0D0346CA" w14:textId="77777777" w:rsidTr="001978B2">
        <w:trPr>
          <w:cantSplit/>
        </w:trPr>
        <w:tc>
          <w:tcPr>
            <w:tcW w:w="3227" w:type="dxa"/>
          </w:tcPr>
          <w:p w14:paraId="3713CA33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D40E0F8" w14:textId="77777777" w:rsidR="002E0D61" w:rsidRPr="00DD2F9B" w:rsidRDefault="00F811B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C580864" w14:textId="77777777" w:rsidTr="001978B2">
        <w:trPr>
          <w:cantSplit/>
        </w:trPr>
        <w:tc>
          <w:tcPr>
            <w:tcW w:w="3227" w:type="dxa"/>
          </w:tcPr>
          <w:p w14:paraId="51BF6BCE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7978F0F" w14:textId="2D097819" w:rsidR="002E0D61" w:rsidRPr="00DD2F9B" w:rsidRDefault="00313919" w:rsidP="00DD2F9B">
            <w:pPr>
              <w:pStyle w:val="Tablefont"/>
            </w:pPr>
            <w:r>
              <w:t xml:space="preserve"> —</w:t>
            </w:r>
          </w:p>
        </w:tc>
      </w:tr>
      <w:tr w:rsidR="00386093" w:rsidRPr="004C23F4" w14:paraId="0AFCFE81" w14:textId="77777777" w:rsidTr="001978B2">
        <w:trPr>
          <w:cantSplit/>
        </w:trPr>
        <w:tc>
          <w:tcPr>
            <w:tcW w:w="3227" w:type="dxa"/>
          </w:tcPr>
          <w:p w14:paraId="6846CB47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EF152A8" w14:textId="1A1EC8CD" w:rsidR="00386093" w:rsidRPr="00DD2F9B" w:rsidRDefault="00103D67" w:rsidP="00DD2F9B">
            <w:pPr>
              <w:pStyle w:val="Tablefont"/>
            </w:pPr>
            <w:r w:rsidRPr="00103D67">
              <w:t>Carcinogenicity – Group 3</w:t>
            </w:r>
          </w:p>
        </w:tc>
      </w:tr>
      <w:tr w:rsidR="00386093" w:rsidRPr="004C23F4" w14:paraId="04A35372" w14:textId="77777777" w:rsidTr="001978B2">
        <w:trPr>
          <w:cantSplit/>
        </w:trPr>
        <w:tc>
          <w:tcPr>
            <w:tcW w:w="3227" w:type="dxa"/>
          </w:tcPr>
          <w:p w14:paraId="26BC5DED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36C1661" w14:textId="59B9EF80" w:rsidR="00386093" w:rsidRPr="00DD2F9B" w:rsidRDefault="00D314EC" w:rsidP="00D314EC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08C4E57A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4A4417B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BEC7ED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C70BC17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D4B2717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98" w:type="dxa"/>
              <w:tblLook w:val="04A0" w:firstRow="1" w:lastRow="0" w:firstColumn="1" w:lastColumn="0" w:noHBand="0" w:noVBand="1"/>
            </w:tblPr>
            <w:tblGrid>
              <w:gridCol w:w="3818"/>
              <w:gridCol w:w="1135"/>
              <w:gridCol w:w="1039"/>
              <w:gridCol w:w="2818"/>
            </w:tblGrid>
            <w:tr w:rsidR="00313919" w:rsidRPr="00313919" w14:paraId="7698CBE3" w14:textId="77777777" w:rsidTr="00313919">
              <w:trPr>
                <w:trHeight w:val="271"/>
              </w:trPr>
              <w:tc>
                <w:tcPr>
                  <w:tcW w:w="3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6B01D4" w14:textId="77777777" w:rsidR="00313919" w:rsidRPr="00313919" w:rsidRDefault="00313919" w:rsidP="0031391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9320C7C" w14:textId="77777777" w:rsidR="00313919" w:rsidRPr="00313919" w:rsidRDefault="00313919" w:rsidP="0031391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15F586" w14:textId="77777777" w:rsidR="00313919" w:rsidRPr="00313919" w:rsidRDefault="00313919" w:rsidP="0031391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78CE8D" w14:textId="77777777" w:rsidR="00313919" w:rsidRPr="00313919" w:rsidRDefault="00313919" w:rsidP="0031391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13919" w:rsidRPr="00313919" w14:paraId="0AF9887B" w14:textId="77777777" w:rsidTr="00313919">
              <w:trPr>
                <w:trHeight w:val="271"/>
              </w:trPr>
              <w:tc>
                <w:tcPr>
                  <w:tcW w:w="3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D2CD68" w14:textId="77777777" w:rsidR="00313919" w:rsidRPr="00313919" w:rsidRDefault="00313919" w:rsidP="0031391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1EF80E" w14:textId="77777777" w:rsidR="00313919" w:rsidRPr="00313919" w:rsidRDefault="00313919" w:rsidP="0031391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1F12CB" w14:textId="77777777" w:rsidR="00313919" w:rsidRPr="00313919" w:rsidRDefault="00313919" w:rsidP="0031391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20CA31" w14:textId="77777777" w:rsidR="00313919" w:rsidRPr="00313919" w:rsidRDefault="00313919" w:rsidP="0031391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13919" w:rsidRPr="00313919" w14:paraId="28C922ED" w14:textId="77777777" w:rsidTr="00313919">
              <w:trPr>
                <w:trHeight w:val="271"/>
              </w:trPr>
              <w:tc>
                <w:tcPr>
                  <w:tcW w:w="3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F57F86" w14:textId="77777777" w:rsidR="00313919" w:rsidRPr="00313919" w:rsidRDefault="00313919" w:rsidP="0031391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29EAEE" w14:textId="77777777" w:rsidR="00313919" w:rsidRPr="00313919" w:rsidRDefault="00313919" w:rsidP="0031391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268F96" w14:textId="77777777" w:rsidR="00313919" w:rsidRPr="00313919" w:rsidRDefault="00313919" w:rsidP="0031391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5F799C" w14:textId="77777777" w:rsidR="00313919" w:rsidRPr="00313919" w:rsidRDefault="00313919" w:rsidP="0031391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13919" w:rsidRPr="00313919" w14:paraId="696F3D13" w14:textId="77777777" w:rsidTr="00313919">
              <w:trPr>
                <w:trHeight w:val="271"/>
              </w:trPr>
              <w:tc>
                <w:tcPr>
                  <w:tcW w:w="3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4D9BFD" w14:textId="77777777" w:rsidR="00313919" w:rsidRPr="00313919" w:rsidRDefault="00313919" w:rsidP="0031391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66141A" w14:textId="77777777" w:rsidR="00313919" w:rsidRPr="00313919" w:rsidRDefault="00313919" w:rsidP="0031391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1DDF17" w14:textId="77777777" w:rsidR="00313919" w:rsidRPr="00313919" w:rsidRDefault="00313919" w:rsidP="0031391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0477A7" w14:textId="77777777" w:rsidR="00313919" w:rsidRPr="00313919" w:rsidRDefault="00313919" w:rsidP="0031391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13919" w:rsidRPr="00313919" w14:paraId="5BEAA597" w14:textId="77777777" w:rsidTr="00313919">
              <w:trPr>
                <w:trHeight w:val="271"/>
              </w:trPr>
              <w:tc>
                <w:tcPr>
                  <w:tcW w:w="3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86E208" w14:textId="77777777" w:rsidR="00313919" w:rsidRPr="00313919" w:rsidRDefault="00313919" w:rsidP="0031391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9A4ED5" w14:textId="77777777" w:rsidR="00313919" w:rsidRPr="00313919" w:rsidRDefault="00313919" w:rsidP="0031391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CF1A05" w14:textId="77777777" w:rsidR="00313919" w:rsidRPr="00313919" w:rsidRDefault="00313919" w:rsidP="0031391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260715" w14:textId="77777777" w:rsidR="00313919" w:rsidRPr="00313919" w:rsidRDefault="00313919" w:rsidP="0031391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13919" w:rsidRPr="00313919" w14:paraId="2958E23B" w14:textId="77777777" w:rsidTr="00313919">
              <w:trPr>
                <w:trHeight w:val="271"/>
              </w:trPr>
              <w:tc>
                <w:tcPr>
                  <w:tcW w:w="3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DF8073" w14:textId="77777777" w:rsidR="00313919" w:rsidRPr="00313919" w:rsidRDefault="00313919" w:rsidP="0031391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4F9983" w14:textId="77777777" w:rsidR="00313919" w:rsidRPr="00313919" w:rsidRDefault="00313919" w:rsidP="0031391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C11958" w14:textId="77777777" w:rsidR="00313919" w:rsidRPr="00313919" w:rsidRDefault="00313919" w:rsidP="0031391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F62E3E" w14:textId="77777777" w:rsidR="00313919" w:rsidRPr="00313919" w:rsidRDefault="00313919" w:rsidP="0031391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13919" w:rsidRPr="00313919" w14:paraId="1F21DA48" w14:textId="77777777" w:rsidTr="00313919">
              <w:trPr>
                <w:trHeight w:val="271"/>
              </w:trPr>
              <w:tc>
                <w:tcPr>
                  <w:tcW w:w="3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EBC5E1" w14:textId="77777777" w:rsidR="00313919" w:rsidRPr="00313919" w:rsidRDefault="00313919" w:rsidP="0031391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131769" w14:textId="77777777" w:rsidR="00313919" w:rsidRPr="00313919" w:rsidRDefault="00313919" w:rsidP="0031391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760CB5" w14:textId="77777777" w:rsidR="00313919" w:rsidRPr="00313919" w:rsidRDefault="00313919" w:rsidP="0031391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D2555F" w14:textId="77777777" w:rsidR="00313919" w:rsidRPr="00313919" w:rsidRDefault="00313919" w:rsidP="0031391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391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3ACBF38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0727600C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6A2AD0EB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C9C52CD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4213CEA" w14:textId="5F8D49BC" w:rsidR="00EB3D1B" w:rsidRDefault="0094535C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79DC781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1F09A94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AFB4434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4745C67" w14:textId="77777777" w:rsidR="001B79E5" w:rsidRDefault="00F65726" w:rsidP="001B79E5">
                <w:pPr>
                  <w:pStyle w:val="Tablefont"/>
                </w:pPr>
                <w:r>
                  <w:t>240.4</w:t>
                </w:r>
              </w:p>
            </w:tc>
          </w:sdtContent>
        </w:sdt>
      </w:tr>
      <w:tr w:rsidR="00A31D99" w:rsidRPr="004C23F4" w14:paraId="74AD357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0AF8B57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7981692F" w14:textId="4E6EBB3A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587623">
                  <w:t>9.9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587623" w:rsidRPr="00587623">
                  <w:t>0.10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D6022D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3E83C8B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F676A26" w14:textId="4465BAA9" w:rsidR="00687890" w:rsidRPr="004C23F4" w:rsidRDefault="007947BC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00A1C4DD" w14:textId="77777777" w:rsidTr="00EA6243">
        <w:trPr>
          <w:cantSplit/>
        </w:trPr>
        <w:tc>
          <w:tcPr>
            <w:tcW w:w="4077" w:type="dxa"/>
            <w:vAlign w:val="center"/>
          </w:tcPr>
          <w:p w14:paraId="1C25C02B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F49E34C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BEE157E" w14:textId="77777777" w:rsidTr="00EA6243">
        <w:trPr>
          <w:cantSplit/>
        </w:trPr>
        <w:tc>
          <w:tcPr>
            <w:tcW w:w="4077" w:type="dxa"/>
            <w:vAlign w:val="center"/>
          </w:tcPr>
          <w:p w14:paraId="5909F547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E1377F6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2B2A1DE" w14:textId="77777777" w:rsidTr="00EA6243">
        <w:trPr>
          <w:cantSplit/>
        </w:trPr>
        <w:tc>
          <w:tcPr>
            <w:tcW w:w="4077" w:type="dxa"/>
            <w:vAlign w:val="center"/>
          </w:tcPr>
          <w:p w14:paraId="77BB9029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1966BCE" w14:textId="77777777" w:rsidR="00E06F40" w:rsidRPr="00A006A0" w:rsidRDefault="00512529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9F88802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C077852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E867DB6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8915F73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6507F3E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59FCEC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ECDC022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592E2B6A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B445CB2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4A313A5" w14:textId="7571CCA1" w:rsidR="007947BC" w:rsidRDefault="008E4F1F" w:rsidP="008E4F1F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1C6259">
        <w:t>2012</w:t>
      </w:r>
      <w:r>
        <w:t xml:space="preserve">) </w:t>
      </w:r>
      <w:r w:rsidR="001C6259" w:rsidRPr="001C6259">
        <w:t>Thiram</w:t>
      </w:r>
      <w:r>
        <w:t xml:space="preserve"> – MAK value documentation</w:t>
      </w:r>
      <w:r w:rsidR="007947BC">
        <w:t>, German language edition</w:t>
      </w:r>
      <w:r>
        <w:t>.</w:t>
      </w:r>
    </w:p>
    <w:p w14:paraId="37992FFD" w14:textId="0FD45B93" w:rsidR="008E4F1F" w:rsidRDefault="008E4F1F" w:rsidP="008E4F1F">
      <w:r w:rsidRPr="002022B6">
        <w:t>Health Council of the Netherlands</w:t>
      </w:r>
      <w:r>
        <w:t xml:space="preserve"> (HCOTN) (</w:t>
      </w:r>
      <w:r w:rsidR="0088085F">
        <w:t>2003</w:t>
      </w:r>
      <w:r>
        <w:t xml:space="preserve">) </w:t>
      </w:r>
      <w:r w:rsidR="0088085F" w:rsidRPr="0088085F">
        <w:t>Thiram</w:t>
      </w:r>
      <w:r w:rsidRPr="005F7416">
        <w:t xml:space="preserve">. </w:t>
      </w:r>
      <w:r w:rsidR="0088085F" w:rsidRPr="0088085F">
        <w:t>Health-based Reassessment of Administrative Occupational Exposure Limits</w:t>
      </w:r>
      <w:r w:rsidRPr="005F7416">
        <w:t xml:space="preserve">. The Hague: Health Council of the Netherlands; publication no. </w:t>
      </w:r>
      <w:r w:rsidR="0088085F" w:rsidRPr="0088085F">
        <w:t>2000/15OSH/090</w:t>
      </w:r>
      <w:r>
        <w:t>.</w:t>
      </w:r>
    </w:p>
    <w:p w14:paraId="60C9CE39" w14:textId="3A775965" w:rsidR="00AC1CF1" w:rsidRPr="00AC1CF1" w:rsidRDefault="00AC1CF1" w:rsidP="008E4F1F">
      <w:r w:rsidRPr="00AC1CF1">
        <w:t>European Chemicals Agency (ECHA) (2020) Thiram</w:t>
      </w:r>
      <w:r>
        <w:t xml:space="preserve"> </w:t>
      </w:r>
      <w:r w:rsidRPr="00AC1CF1">
        <w:t>– REACH assessment.</w:t>
      </w:r>
    </w:p>
    <w:p w14:paraId="0AD2D601" w14:textId="619496A6" w:rsidR="008E4F1F" w:rsidRDefault="008E4F1F" w:rsidP="009E1574">
      <w:pPr>
        <w:rPr>
          <w:b/>
        </w:rPr>
      </w:pPr>
      <w:r w:rsidRPr="002022B6">
        <w:lastRenderedPageBreak/>
        <w:t>International Agency for Research on Cancer</w:t>
      </w:r>
      <w:r>
        <w:t xml:space="preserve"> (IARC) (</w:t>
      </w:r>
      <w:r w:rsidR="009E1574">
        <w:t>1991</w:t>
      </w:r>
      <w:r>
        <w:t>)</w:t>
      </w:r>
      <w:r w:rsidR="009E1574">
        <w:t xml:space="preserve"> Volume 53, Occupational Exposures in Insecticide Application, and Some Pesticides</w:t>
      </w:r>
      <w:r>
        <w:t>. IARC Monographs on the evaluation of the carcinogenic risk to humans.</w:t>
      </w:r>
    </w:p>
    <w:p w14:paraId="556896B7" w14:textId="1EA0BEBC" w:rsidR="008E4F1F" w:rsidRDefault="008E4F1F" w:rsidP="008E4F1F">
      <w:r w:rsidRPr="002022B6">
        <w:t>National Industrial Chemicals Notification and Assessment Scheme (NICNAS)</w:t>
      </w:r>
      <w:r>
        <w:t xml:space="preserve"> (</w:t>
      </w:r>
      <w:r w:rsidR="00450723">
        <w:t>2016</w:t>
      </w:r>
      <w:r>
        <w:t xml:space="preserve">) </w:t>
      </w:r>
      <w:proofErr w:type="spellStart"/>
      <w:r w:rsidR="00450723" w:rsidRPr="00450723">
        <w:t>Thioperoxydicarbonic</w:t>
      </w:r>
      <w:proofErr w:type="spellEnd"/>
      <w:r w:rsidR="00450723" w:rsidRPr="00450723">
        <w:t xml:space="preserve"> diamide ([(H2</w:t>
      </w:r>
      <w:proofErr w:type="gramStart"/>
      <w:r w:rsidR="00450723" w:rsidRPr="00450723">
        <w:t>N)C</w:t>
      </w:r>
      <w:proofErr w:type="gramEnd"/>
      <w:r w:rsidR="00450723" w:rsidRPr="00450723">
        <w:t>(S)]2S2), tetramethyl</w:t>
      </w:r>
      <w:r w:rsidR="00450723">
        <w:t>-</w:t>
      </w:r>
      <w:r w:rsidRPr="0071660C">
        <w:t xml:space="preserve">: Human health </w:t>
      </w:r>
      <w:sdt>
        <w:sdtPr>
          <w:id w:val="-1295753243"/>
          <w:placeholder>
            <w:docPart w:val="A070BFA618804340AABDA79FF681FE29"/>
          </w:placeholder>
          <w:temporary/>
          <w:showingPlcHdr/>
        </w:sdtPr>
        <w:sdtEndPr/>
        <w:sdtContent>
          <w:r w:rsidRPr="00450723">
            <w:t>tier II</w:t>
          </w:r>
        </w:sdtContent>
      </w:sdt>
      <w:r>
        <w:t xml:space="preserve"> </w:t>
      </w:r>
      <w:r w:rsidRPr="0071660C">
        <w:t>assessment</w:t>
      </w:r>
      <w:r>
        <w:t xml:space="preserve"> – IMAP report.</w:t>
      </w:r>
    </w:p>
    <w:p w14:paraId="17C1F7E8" w14:textId="2EFF3CE0" w:rsidR="00A215C0" w:rsidRPr="00A215C0" w:rsidRDefault="00A215C0" w:rsidP="008E4F1F">
      <w:r w:rsidRPr="008869EC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286AC6B8" w14:textId="5C02ED2A" w:rsidR="008E4F1F" w:rsidRDefault="008E4F1F" w:rsidP="008E4F1F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placeholder>
            <w:docPart w:val="FB0307FD2095404C9CFBE1E594ADF091"/>
          </w:placeholder>
          <w:temporary/>
          <w:showingPlcHdr/>
        </w:sdtPr>
        <w:sdtEndPr/>
        <w:sdtContent>
          <w:r w:rsidRPr="009B5DF6">
            <w:t>1994</w:t>
          </w:r>
        </w:sdtContent>
      </w:sdt>
      <w:r>
        <w:t xml:space="preserve">) Immediately dangerous to life or health concentrations – </w:t>
      </w:r>
      <w:r w:rsidR="009B5DF6">
        <w:t>thiram</w:t>
      </w:r>
      <w:r>
        <w:t>.</w:t>
      </w:r>
    </w:p>
    <w:p w14:paraId="23564B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E9B5C" w14:textId="77777777" w:rsidR="00F33495" w:rsidRDefault="00F33495" w:rsidP="00F43AD5">
      <w:pPr>
        <w:spacing w:after="0" w:line="240" w:lineRule="auto"/>
      </w:pPr>
      <w:r>
        <w:separator/>
      </w:r>
    </w:p>
  </w:endnote>
  <w:endnote w:type="continuationSeparator" w:id="0">
    <w:p w14:paraId="4E372761" w14:textId="77777777" w:rsidR="00F33495" w:rsidRDefault="00F3349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3775B" w14:textId="77777777" w:rsidR="001978B2" w:rsidRDefault="00197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E390B2" w14:textId="791E8A58" w:rsidR="00B31F72" w:rsidRDefault="00B31F72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Thiram (</w:t>
        </w:r>
        <w:r w:rsidRPr="00F82437">
          <w:rPr>
            <w:b/>
            <w:sz w:val="18"/>
            <w:szCs w:val="18"/>
          </w:rPr>
          <w:t>137-26-8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 w:rsidR="00A215C0">
          <w:rPr>
            <w:sz w:val="18"/>
            <w:szCs w:val="18"/>
          </w:rPr>
          <w:t>20</w:t>
        </w:r>
      </w:p>
      <w:p w14:paraId="3C32D41B" w14:textId="7F22121F" w:rsidR="00B31F72" w:rsidRPr="00F43AD5" w:rsidRDefault="00B31F72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E74F03">
          <w:rPr>
            <w:noProof/>
            <w:sz w:val="18"/>
            <w:szCs w:val="18"/>
          </w:rPr>
          <w:t>8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31DD7" w14:textId="77777777" w:rsidR="001978B2" w:rsidRDefault="00197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8BCF0" w14:textId="77777777" w:rsidR="00F33495" w:rsidRDefault="00F33495" w:rsidP="00F43AD5">
      <w:pPr>
        <w:spacing w:after="0" w:line="240" w:lineRule="auto"/>
      </w:pPr>
      <w:r>
        <w:separator/>
      </w:r>
    </w:p>
  </w:footnote>
  <w:footnote w:type="continuationSeparator" w:id="0">
    <w:p w14:paraId="43953E09" w14:textId="77777777" w:rsidR="00F33495" w:rsidRDefault="00F3349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1EC4E" w14:textId="77777777" w:rsidR="001978B2" w:rsidRDefault="00197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A3979" w14:textId="75ACD534" w:rsidR="001978B2" w:rsidRDefault="00512529" w:rsidP="001978B2">
    <w:pPr>
      <w:pStyle w:val="Header"/>
      <w:jc w:val="right"/>
    </w:pPr>
    <w:r>
      <w:pict w14:anchorId="3C1A1D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1978B2">
      <w:rPr>
        <w:noProof/>
        <w:lang w:eastAsia="en-AU"/>
      </w:rPr>
      <w:drawing>
        <wp:inline distT="0" distB="0" distL="0" distR="0" wp14:anchorId="50E28FFA" wp14:editId="5F4503BA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3B8DA7" w14:textId="77777777" w:rsidR="001978B2" w:rsidRDefault="001978B2" w:rsidP="001978B2">
    <w:pPr>
      <w:pStyle w:val="Header"/>
    </w:pPr>
  </w:p>
  <w:p w14:paraId="25C75E11" w14:textId="6A82EF10" w:rsidR="00B31F72" w:rsidRPr="001978B2" w:rsidRDefault="00B31F72" w:rsidP="00197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96F1A" w14:textId="77777777" w:rsidR="001978B2" w:rsidRDefault="001978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414D2" w14:textId="3722AD2D" w:rsidR="001978B2" w:rsidRDefault="00512529" w:rsidP="001978B2">
    <w:pPr>
      <w:pStyle w:val="Header"/>
      <w:jc w:val="right"/>
    </w:pPr>
    <w:r>
      <w:pict w14:anchorId="189F1F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1978B2">
      <w:rPr>
        <w:noProof/>
        <w:lang w:eastAsia="en-AU"/>
      </w:rPr>
      <w:drawing>
        <wp:inline distT="0" distB="0" distL="0" distR="0" wp14:anchorId="2B9532A1" wp14:editId="16904138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5F76F6" w14:textId="77777777" w:rsidR="001978B2" w:rsidRDefault="001978B2" w:rsidP="001978B2">
    <w:pPr>
      <w:pStyle w:val="Header"/>
    </w:pPr>
  </w:p>
  <w:p w14:paraId="688DF8A8" w14:textId="77777777" w:rsidR="00B31F72" w:rsidRDefault="00B31F72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AF1"/>
    <w:multiLevelType w:val="hybridMultilevel"/>
    <w:tmpl w:val="34E6E2F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3E0E8D"/>
    <w:multiLevelType w:val="hybridMultilevel"/>
    <w:tmpl w:val="19647F32"/>
    <w:lvl w:ilvl="0" w:tplc="D5BE75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E6D37"/>
    <w:multiLevelType w:val="hybridMultilevel"/>
    <w:tmpl w:val="4A24DF8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C62C41"/>
    <w:multiLevelType w:val="hybridMultilevel"/>
    <w:tmpl w:val="C4326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04434"/>
    <w:multiLevelType w:val="hybridMultilevel"/>
    <w:tmpl w:val="F72CDF12"/>
    <w:lvl w:ilvl="0" w:tplc="F6085C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049B"/>
    <w:rsid w:val="00046DF5"/>
    <w:rsid w:val="00052060"/>
    <w:rsid w:val="0005574A"/>
    <w:rsid w:val="00055FE1"/>
    <w:rsid w:val="00056EC2"/>
    <w:rsid w:val="00060B48"/>
    <w:rsid w:val="00061147"/>
    <w:rsid w:val="00067F32"/>
    <w:rsid w:val="00071807"/>
    <w:rsid w:val="00072D94"/>
    <w:rsid w:val="00073945"/>
    <w:rsid w:val="00076B28"/>
    <w:rsid w:val="000803E1"/>
    <w:rsid w:val="00084513"/>
    <w:rsid w:val="00084859"/>
    <w:rsid w:val="00092D94"/>
    <w:rsid w:val="00093D31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2D25"/>
    <w:rsid w:val="000E5A54"/>
    <w:rsid w:val="000E5DF7"/>
    <w:rsid w:val="000E63D3"/>
    <w:rsid w:val="000E67CF"/>
    <w:rsid w:val="0010178C"/>
    <w:rsid w:val="00103D67"/>
    <w:rsid w:val="0010461E"/>
    <w:rsid w:val="00106FAA"/>
    <w:rsid w:val="00113443"/>
    <w:rsid w:val="001269A7"/>
    <w:rsid w:val="00131092"/>
    <w:rsid w:val="001322AD"/>
    <w:rsid w:val="0013392F"/>
    <w:rsid w:val="00136888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91907"/>
    <w:rsid w:val="00193ECD"/>
    <w:rsid w:val="001978B2"/>
    <w:rsid w:val="001A009E"/>
    <w:rsid w:val="001A1287"/>
    <w:rsid w:val="001A3859"/>
    <w:rsid w:val="001A3C9D"/>
    <w:rsid w:val="001A43F8"/>
    <w:rsid w:val="001A60FB"/>
    <w:rsid w:val="001B273A"/>
    <w:rsid w:val="001B2FBD"/>
    <w:rsid w:val="001B79E5"/>
    <w:rsid w:val="001C6259"/>
    <w:rsid w:val="001D56F0"/>
    <w:rsid w:val="001D663B"/>
    <w:rsid w:val="001D7B41"/>
    <w:rsid w:val="001E03B1"/>
    <w:rsid w:val="001E46DA"/>
    <w:rsid w:val="001E7D80"/>
    <w:rsid w:val="001F04DA"/>
    <w:rsid w:val="001F4B6C"/>
    <w:rsid w:val="001F62CB"/>
    <w:rsid w:val="001F6ED0"/>
    <w:rsid w:val="001F72E6"/>
    <w:rsid w:val="001F73C5"/>
    <w:rsid w:val="002046A6"/>
    <w:rsid w:val="00204956"/>
    <w:rsid w:val="00205A9D"/>
    <w:rsid w:val="00213640"/>
    <w:rsid w:val="00215826"/>
    <w:rsid w:val="00221547"/>
    <w:rsid w:val="002216FC"/>
    <w:rsid w:val="00222533"/>
    <w:rsid w:val="00222F30"/>
    <w:rsid w:val="00224EE2"/>
    <w:rsid w:val="00227EC7"/>
    <w:rsid w:val="00242158"/>
    <w:rsid w:val="00244AD1"/>
    <w:rsid w:val="002463BC"/>
    <w:rsid w:val="002465CE"/>
    <w:rsid w:val="0025734A"/>
    <w:rsid w:val="00263255"/>
    <w:rsid w:val="00273FAF"/>
    <w:rsid w:val="00276494"/>
    <w:rsid w:val="00277B0C"/>
    <w:rsid w:val="002A0D20"/>
    <w:rsid w:val="002B1A2C"/>
    <w:rsid w:val="002C34F2"/>
    <w:rsid w:val="002C58FF"/>
    <w:rsid w:val="002C7AFE"/>
    <w:rsid w:val="002D05D2"/>
    <w:rsid w:val="002E0D61"/>
    <w:rsid w:val="002E4C7B"/>
    <w:rsid w:val="0030740C"/>
    <w:rsid w:val="00313919"/>
    <w:rsid w:val="00315833"/>
    <w:rsid w:val="003215EE"/>
    <w:rsid w:val="003224BF"/>
    <w:rsid w:val="003241A8"/>
    <w:rsid w:val="003253F0"/>
    <w:rsid w:val="00326FEE"/>
    <w:rsid w:val="003337DA"/>
    <w:rsid w:val="00334EFB"/>
    <w:rsid w:val="00335CDE"/>
    <w:rsid w:val="003365A5"/>
    <w:rsid w:val="00340565"/>
    <w:rsid w:val="00344733"/>
    <w:rsid w:val="00347192"/>
    <w:rsid w:val="0034744C"/>
    <w:rsid w:val="00351FC1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259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3F08ED"/>
    <w:rsid w:val="004030BC"/>
    <w:rsid w:val="00403F7D"/>
    <w:rsid w:val="00406785"/>
    <w:rsid w:val="004079B4"/>
    <w:rsid w:val="004110AA"/>
    <w:rsid w:val="00417A56"/>
    <w:rsid w:val="00420957"/>
    <w:rsid w:val="00422A10"/>
    <w:rsid w:val="00430179"/>
    <w:rsid w:val="004414B5"/>
    <w:rsid w:val="00444482"/>
    <w:rsid w:val="00444B42"/>
    <w:rsid w:val="00445E44"/>
    <w:rsid w:val="00450723"/>
    <w:rsid w:val="004509E2"/>
    <w:rsid w:val="004515EE"/>
    <w:rsid w:val="004529F0"/>
    <w:rsid w:val="00457397"/>
    <w:rsid w:val="00460A03"/>
    <w:rsid w:val="00472A11"/>
    <w:rsid w:val="00472AAD"/>
    <w:rsid w:val="00474E33"/>
    <w:rsid w:val="00476803"/>
    <w:rsid w:val="00485BFD"/>
    <w:rsid w:val="004867A2"/>
    <w:rsid w:val="004873F2"/>
    <w:rsid w:val="00487B02"/>
    <w:rsid w:val="00490D4C"/>
    <w:rsid w:val="00493A35"/>
    <w:rsid w:val="0049527A"/>
    <w:rsid w:val="004966BF"/>
    <w:rsid w:val="00497984"/>
    <w:rsid w:val="004A4AA9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2529"/>
    <w:rsid w:val="005142C4"/>
    <w:rsid w:val="0051509C"/>
    <w:rsid w:val="005272E2"/>
    <w:rsid w:val="0053108F"/>
    <w:rsid w:val="00532B56"/>
    <w:rsid w:val="005345F7"/>
    <w:rsid w:val="00534B10"/>
    <w:rsid w:val="005446A2"/>
    <w:rsid w:val="00544D2F"/>
    <w:rsid w:val="00551BD8"/>
    <w:rsid w:val="00571229"/>
    <w:rsid w:val="00572A85"/>
    <w:rsid w:val="00572E81"/>
    <w:rsid w:val="00574A8D"/>
    <w:rsid w:val="00574C10"/>
    <w:rsid w:val="00581055"/>
    <w:rsid w:val="00587623"/>
    <w:rsid w:val="00591E38"/>
    <w:rsid w:val="005A19C5"/>
    <w:rsid w:val="005A3034"/>
    <w:rsid w:val="005A3EAC"/>
    <w:rsid w:val="005A462D"/>
    <w:rsid w:val="005A74E6"/>
    <w:rsid w:val="005B253B"/>
    <w:rsid w:val="005B3769"/>
    <w:rsid w:val="005B47BE"/>
    <w:rsid w:val="005B771D"/>
    <w:rsid w:val="005C5D16"/>
    <w:rsid w:val="005D3193"/>
    <w:rsid w:val="005D4A6E"/>
    <w:rsid w:val="005E6979"/>
    <w:rsid w:val="005E75CB"/>
    <w:rsid w:val="006013C1"/>
    <w:rsid w:val="00602496"/>
    <w:rsid w:val="0060669E"/>
    <w:rsid w:val="00610F2E"/>
    <w:rsid w:val="00611399"/>
    <w:rsid w:val="00624C4E"/>
    <w:rsid w:val="00625200"/>
    <w:rsid w:val="006363A8"/>
    <w:rsid w:val="00636DB7"/>
    <w:rsid w:val="00641DBB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55B9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01813"/>
    <w:rsid w:val="00714021"/>
    <w:rsid w:val="00714957"/>
    <w:rsid w:val="00716A0F"/>
    <w:rsid w:val="00717D45"/>
    <w:rsid w:val="007208F7"/>
    <w:rsid w:val="007218AF"/>
    <w:rsid w:val="0072480E"/>
    <w:rsid w:val="007365D1"/>
    <w:rsid w:val="00740E0E"/>
    <w:rsid w:val="00747517"/>
    <w:rsid w:val="00750212"/>
    <w:rsid w:val="00754779"/>
    <w:rsid w:val="00756003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47BC"/>
    <w:rsid w:val="0079509C"/>
    <w:rsid w:val="00796708"/>
    <w:rsid w:val="007B1B42"/>
    <w:rsid w:val="007C30EB"/>
    <w:rsid w:val="007E063C"/>
    <w:rsid w:val="007E2A4B"/>
    <w:rsid w:val="007E307D"/>
    <w:rsid w:val="007E50C9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272E6"/>
    <w:rsid w:val="00834CC8"/>
    <w:rsid w:val="00835E00"/>
    <w:rsid w:val="00837113"/>
    <w:rsid w:val="008414E4"/>
    <w:rsid w:val="008420EF"/>
    <w:rsid w:val="00843E21"/>
    <w:rsid w:val="0084508E"/>
    <w:rsid w:val="00857302"/>
    <w:rsid w:val="00857A8A"/>
    <w:rsid w:val="008630EE"/>
    <w:rsid w:val="00864D13"/>
    <w:rsid w:val="00871CD5"/>
    <w:rsid w:val="008745A2"/>
    <w:rsid w:val="008768A8"/>
    <w:rsid w:val="00880814"/>
    <w:rsid w:val="0088085F"/>
    <w:rsid w:val="008869EC"/>
    <w:rsid w:val="0088798F"/>
    <w:rsid w:val="00887E4B"/>
    <w:rsid w:val="008915C8"/>
    <w:rsid w:val="00896FF6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D73F7"/>
    <w:rsid w:val="008E484C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23951"/>
    <w:rsid w:val="0093041A"/>
    <w:rsid w:val="00930714"/>
    <w:rsid w:val="00931B03"/>
    <w:rsid w:val="009323B9"/>
    <w:rsid w:val="00932DCE"/>
    <w:rsid w:val="0093327E"/>
    <w:rsid w:val="00934028"/>
    <w:rsid w:val="0093760E"/>
    <w:rsid w:val="0094535C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0AC0"/>
    <w:rsid w:val="009A1254"/>
    <w:rsid w:val="009B2FF2"/>
    <w:rsid w:val="009B380C"/>
    <w:rsid w:val="009B4843"/>
    <w:rsid w:val="009B5DF6"/>
    <w:rsid w:val="009B6543"/>
    <w:rsid w:val="009C199D"/>
    <w:rsid w:val="009C278F"/>
    <w:rsid w:val="009C2B94"/>
    <w:rsid w:val="009C5874"/>
    <w:rsid w:val="009D3B5A"/>
    <w:rsid w:val="009E0C05"/>
    <w:rsid w:val="009E0D1C"/>
    <w:rsid w:val="009E1574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15C0"/>
    <w:rsid w:val="00A2578F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A2549"/>
    <w:rsid w:val="00AB0BAC"/>
    <w:rsid w:val="00AB2672"/>
    <w:rsid w:val="00AB2817"/>
    <w:rsid w:val="00AB43C4"/>
    <w:rsid w:val="00AB7981"/>
    <w:rsid w:val="00AC1CF1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1F72"/>
    <w:rsid w:val="00B40C60"/>
    <w:rsid w:val="00B479A9"/>
    <w:rsid w:val="00B51B9D"/>
    <w:rsid w:val="00B52EDF"/>
    <w:rsid w:val="00B579E0"/>
    <w:rsid w:val="00B6079B"/>
    <w:rsid w:val="00B641E3"/>
    <w:rsid w:val="00B71188"/>
    <w:rsid w:val="00B76A41"/>
    <w:rsid w:val="00B87D4C"/>
    <w:rsid w:val="00B93646"/>
    <w:rsid w:val="00B97055"/>
    <w:rsid w:val="00BA0B38"/>
    <w:rsid w:val="00BA1DBB"/>
    <w:rsid w:val="00BA211C"/>
    <w:rsid w:val="00BA4510"/>
    <w:rsid w:val="00BA529A"/>
    <w:rsid w:val="00BB1D18"/>
    <w:rsid w:val="00BB612A"/>
    <w:rsid w:val="00BD499F"/>
    <w:rsid w:val="00BD56DE"/>
    <w:rsid w:val="00BE2FF7"/>
    <w:rsid w:val="00BF2406"/>
    <w:rsid w:val="00C02CDC"/>
    <w:rsid w:val="00C06E43"/>
    <w:rsid w:val="00C16315"/>
    <w:rsid w:val="00C3091E"/>
    <w:rsid w:val="00C3399C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4183"/>
    <w:rsid w:val="00CA58FE"/>
    <w:rsid w:val="00CB1CB1"/>
    <w:rsid w:val="00CB6BC1"/>
    <w:rsid w:val="00CB6CB8"/>
    <w:rsid w:val="00CC1A68"/>
    <w:rsid w:val="00CC2123"/>
    <w:rsid w:val="00CD0597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14EC"/>
    <w:rsid w:val="00D33220"/>
    <w:rsid w:val="00D334D1"/>
    <w:rsid w:val="00D44C89"/>
    <w:rsid w:val="00D516CD"/>
    <w:rsid w:val="00D54EBA"/>
    <w:rsid w:val="00D668E6"/>
    <w:rsid w:val="00D70670"/>
    <w:rsid w:val="00D74D80"/>
    <w:rsid w:val="00D765B1"/>
    <w:rsid w:val="00D76624"/>
    <w:rsid w:val="00D87570"/>
    <w:rsid w:val="00D91CB9"/>
    <w:rsid w:val="00D97989"/>
    <w:rsid w:val="00D97D8D"/>
    <w:rsid w:val="00DA352E"/>
    <w:rsid w:val="00DB1E04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4F03"/>
    <w:rsid w:val="00E804EA"/>
    <w:rsid w:val="00E80A71"/>
    <w:rsid w:val="00E82337"/>
    <w:rsid w:val="00E92499"/>
    <w:rsid w:val="00E949AF"/>
    <w:rsid w:val="00E9600B"/>
    <w:rsid w:val="00E96077"/>
    <w:rsid w:val="00EA0A06"/>
    <w:rsid w:val="00EA6243"/>
    <w:rsid w:val="00EA6FFB"/>
    <w:rsid w:val="00EA74AB"/>
    <w:rsid w:val="00EB3D1B"/>
    <w:rsid w:val="00EB49D2"/>
    <w:rsid w:val="00EC29BD"/>
    <w:rsid w:val="00ED1D89"/>
    <w:rsid w:val="00ED57DA"/>
    <w:rsid w:val="00ED66BC"/>
    <w:rsid w:val="00EE5E22"/>
    <w:rsid w:val="00EF233A"/>
    <w:rsid w:val="00EF303E"/>
    <w:rsid w:val="00EF3A40"/>
    <w:rsid w:val="00EF7F78"/>
    <w:rsid w:val="00F00372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3495"/>
    <w:rsid w:val="00F43AD5"/>
    <w:rsid w:val="00F4402E"/>
    <w:rsid w:val="00F51040"/>
    <w:rsid w:val="00F56DD0"/>
    <w:rsid w:val="00F6491C"/>
    <w:rsid w:val="00F65726"/>
    <w:rsid w:val="00F67BBB"/>
    <w:rsid w:val="00F70C01"/>
    <w:rsid w:val="00F811B5"/>
    <w:rsid w:val="00F82437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7F92FFC1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5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A9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A9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A9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A070BFA618804340AABDA79FF681F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EC806-D89B-43A1-9033-9237B76EF2C7}"/>
      </w:docPartPr>
      <w:docPartBody>
        <w:p w:rsidR="00CA72D3" w:rsidRDefault="00347D16" w:rsidP="00347D16">
          <w:pPr>
            <w:pStyle w:val="A070BFA618804340AABDA79FF681FE29"/>
          </w:pPr>
          <w:r>
            <w:rPr>
              <w:color w:val="00B050"/>
            </w:rPr>
            <w:t>tier </w:t>
          </w:r>
          <w:r w:rsidRPr="0071660C">
            <w:rPr>
              <w:color w:val="00B050"/>
            </w:rPr>
            <w:t>II</w:t>
          </w:r>
        </w:p>
      </w:docPartBody>
    </w:docPart>
    <w:docPart>
      <w:docPartPr>
        <w:name w:val="FB0307FD2095404C9CFBE1E594AD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C447-0BA0-4090-95C6-CC9FF0695D56}"/>
      </w:docPartPr>
      <w:docPartBody>
        <w:p w:rsidR="00CA72D3" w:rsidRDefault="00347D16" w:rsidP="00347D16">
          <w:pPr>
            <w:pStyle w:val="FB0307FD2095404C9CFBE1E594ADF091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AE1EA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5540D"/>
    <w:rsid w:val="00347D16"/>
    <w:rsid w:val="003E0149"/>
    <w:rsid w:val="00755FBF"/>
    <w:rsid w:val="00AE1EA3"/>
    <w:rsid w:val="00CA72D3"/>
    <w:rsid w:val="00D21A9F"/>
    <w:rsid w:val="00E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bf54d604-3e62-4e70-ba33-9e9084b96a6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42E653-30F5-438C-865B-399B8F54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0E19E-394D-4E1F-B7D3-1E534D6F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10</cp:revision>
  <cp:lastPrinted>2018-10-22T22:41:00Z</cp:lastPrinted>
  <dcterms:created xsi:type="dcterms:W3CDTF">2020-03-22T23:47:00Z</dcterms:created>
  <dcterms:modified xsi:type="dcterms:W3CDTF">2020-07-22T01:18:00Z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