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7A3AE70A" w:rsidR="00BD499F" w:rsidRPr="004C23F4" w:rsidRDefault="009C6554" w:rsidP="00B40C60">
          <w:pPr>
            <w:pStyle w:val="Heading1"/>
            <w:jc w:val="center"/>
            <w:rPr>
              <w:rFonts w:ascii="Arial" w:hAnsi="Arial" w:cs="Arial"/>
            </w:rPr>
          </w:pPr>
          <w:r w:rsidRPr="009C6554">
            <w:rPr>
              <w:rFonts w:ascii="Arial" w:hAnsi="Arial" w:cs="Arial"/>
            </w:rPr>
            <w:t>Titanium dioxide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189D6E38" w14:textId="77777777" w:rsidTr="00B620F2">
        <w:trPr>
          <w:cantSplit/>
          <w:tblHeader/>
        </w:trPr>
        <w:tc>
          <w:tcPr>
            <w:tcW w:w="3990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6" w:type="dxa"/>
          </w:tcPr>
          <w:p w14:paraId="3EDBFD9E" w14:textId="2CC5633B" w:rsidR="00F43AD5" w:rsidRPr="00717D45" w:rsidRDefault="009C6554" w:rsidP="00B76A41">
            <w:pPr>
              <w:pStyle w:val="Tablefont"/>
            </w:pPr>
            <w:r w:rsidRPr="009C6554">
              <w:t>13463-67-7</w:t>
            </w:r>
          </w:p>
        </w:tc>
      </w:tr>
      <w:tr w:rsidR="00F43AD5" w:rsidRPr="004C23F4" w14:paraId="562A9F51" w14:textId="77777777" w:rsidTr="00B620F2">
        <w:trPr>
          <w:cantSplit/>
        </w:trPr>
        <w:tc>
          <w:tcPr>
            <w:tcW w:w="3990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6" w:type="dxa"/>
          </w:tcPr>
          <w:p w14:paraId="32648AB9" w14:textId="150EFF12" w:rsidR="00F43AD5" w:rsidRPr="00717D45" w:rsidRDefault="00192E2E" w:rsidP="00B76A41">
            <w:pPr>
              <w:pStyle w:val="Tablefont"/>
            </w:pPr>
            <w:r>
              <w:t>Anatase, brookite, rutile</w:t>
            </w:r>
          </w:p>
        </w:tc>
      </w:tr>
      <w:tr w:rsidR="00F43AD5" w:rsidRPr="004C23F4" w14:paraId="6EE54A08" w14:textId="77777777" w:rsidTr="00B620F2">
        <w:trPr>
          <w:cantSplit/>
        </w:trPr>
        <w:tc>
          <w:tcPr>
            <w:tcW w:w="3990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6" w:type="dxa"/>
          </w:tcPr>
          <w:p w14:paraId="69369B00" w14:textId="4D9F3A1E" w:rsidR="00F43AD5" w:rsidRPr="00717D45" w:rsidRDefault="00192E2E" w:rsidP="00B76A41">
            <w:pPr>
              <w:pStyle w:val="Tablefont"/>
            </w:pPr>
            <w:r>
              <w:t>TiO</w:t>
            </w:r>
            <w:r w:rsidRPr="00192E2E">
              <w:rPr>
                <w:vertAlign w:val="subscript"/>
              </w:rPr>
              <w:t>2</w:t>
            </w:r>
          </w:p>
        </w:tc>
      </w:tr>
    </w:tbl>
    <w:p w14:paraId="71D72173" w14:textId="66127BE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24BF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6F6BA318" w:rsidR="00E0611C" w:rsidRPr="00EB3D1B" w:rsidRDefault="006D42E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mg/m</w:t>
            </w:r>
            <w:r>
              <w:rPr>
                <w:b/>
                <w:vertAlign w:val="superscript"/>
              </w:rPr>
              <w:t>3</w:t>
            </w:r>
            <w:r w:rsidR="00424BF0" w:rsidRPr="00424BF0">
              <w:rPr>
                <w:b/>
              </w:rPr>
              <w:t xml:space="preserve"> (inhalable fraction</w:t>
            </w:r>
            <w:r w:rsidR="00424BF0"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13C88DE0" w:rsidR="00037E52" w:rsidRPr="00EB3D1B" w:rsidRDefault="003F3D58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8816ED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5D9F0A62" w:rsidR="00155999" w:rsidRPr="00EB3D1B" w:rsidRDefault="00155999" w:rsidP="00037E52">
            <w:pPr>
              <w:pStyle w:val="Tablefont"/>
              <w:rPr>
                <w:b/>
              </w:rPr>
            </w:pPr>
            <w:r w:rsidRPr="000F4599">
              <w:rPr>
                <w:b/>
                <w:bCs/>
              </w:rPr>
              <w:t>Sampling and analysis:</w:t>
            </w:r>
            <w:r w:rsidRPr="000F4599">
              <w:rPr>
                <w:rStyle w:val="WESstatus"/>
                <w:b/>
                <w:bCs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9465E5" w:rsidRPr="000F4599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0B69D0FF" w:rsidR="006639B4" w:rsidRDefault="00424BF0" w:rsidP="000C139A">
      <w:pPr>
        <w:rPr>
          <w:rFonts w:cs="Arial"/>
        </w:rPr>
      </w:pPr>
      <w:r w:rsidRPr="00424BF0">
        <w:rPr>
          <w:rFonts w:cs="Arial"/>
        </w:rPr>
        <w:t xml:space="preserve">A TWA of </w:t>
      </w:r>
      <w:r w:rsidR="006D42E8">
        <w:rPr>
          <w:rFonts w:cs="Arial"/>
        </w:rPr>
        <w:t>1</w:t>
      </w:r>
      <w:r w:rsidRPr="00424BF0">
        <w:rPr>
          <w:rFonts w:cs="Arial"/>
        </w:rPr>
        <w:t xml:space="preserve"> mg/m</w:t>
      </w:r>
      <w:r w:rsidRPr="00424BF0"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  <w:r w:rsidR="002942FD">
        <w:rPr>
          <w:rFonts w:cs="Arial"/>
        </w:rPr>
        <w:t>(inhalable fraction</w:t>
      </w:r>
      <w:r w:rsidR="00C33008">
        <w:rPr>
          <w:rFonts w:cs="Arial"/>
        </w:rPr>
        <w:t>)</w:t>
      </w:r>
      <w:r w:rsidRPr="00424BF0">
        <w:rPr>
          <w:rFonts w:cs="Arial"/>
        </w:rPr>
        <w:t xml:space="preserve"> is recommended </w:t>
      </w:r>
      <w:r>
        <w:rPr>
          <w:rFonts w:cs="Arial"/>
        </w:rPr>
        <w:t>to</w:t>
      </w:r>
      <w:r w:rsidRPr="00424BF0">
        <w:rPr>
          <w:rFonts w:cs="Arial"/>
        </w:rPr>
        <w:t xml:space="preserve"> protect for </w:t>
      </w:r>
      <w:r>
        <w:rPr>
          <w:rFonts w:cs="Arial"/>
        </w:rPr>
        <w:t>reduced lung function and potential cancer associated with overloaded pulmonary clearance</w:t>
      </w:r>
      <w:r w:rsidR="00C33008">
        <w:rPr>
          <w:rFonts w:cs="Arial"/>
        </w:rPr>
        <w:t xml:space="preserve"> in exposed workers</w:t>
      </w:r>
      <w:r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AF6C047" w14:textId="725209E1" w:rsidR="006639B4" w:rsidRDefault="009465E5" w:rsidP="005D5B0C">
      <w:pPr>
        <w:spacing w:before="240"/>
        <w:rPr>
          <w:rFonts w:cs="Arial"/>
        </w:rPr>
      </w:pPr>
      <w:r>
        <w:rPr>
          <w:rFonts w:cs="Arial"/>
        </w:rPr>
        <w:t xml:space="preserve">Titanium dioxide </w:t>
      </w:r>
      <w:r w:rsidR="00C33008">
        <w:rPr>
          <w:rFonts w:cs="Arial"/>
        </w:rPr>
        <w:t>(</w:t>
      </w:r>
      <w:r w:rsidR="00C33008" w:rsidRPr="00B620F2">
        <w:t>TiO</w:t>
      </w:r>
      <w:r w:rsidR="00C33008" w:rsidRPr="00B620F2">
        <w:rPr>
          <w:vertAlign w:val="subscript"/>
        </w:rPr>
        <w:t>2</w:t>
      </w:r>
      <w:r w:rsidR="00C33008">
        <w:t xml:space="preserve">) </w:t>
      </w:r>
      <w:r w:rsidRPr="00B620F2">
        <w:rPr>
          <w:rFonts w:cs="Arial"/>
        </w:rPr>
        <w:t>is</w:t>
      </w:r>
      <w:r>
        <w:rPr>
          <w:rFonts w:cs="Arial"/>
        </w:rPr>
        <w:t xml:space="preserve"> used as a pigment, additive in the production of polymers, electronics</w:t>
      </w:r>
      <w:r w:rsidR="00D967A6">
        <w:rPr>
          <w:rFonts w:cs="Arial"/>
        </w:rPr>
        <w:t xml:space="preserve"> and</w:t>
      </w:r>
      <w:r>
        <w:rPr>
          <w:rFonts w:cs="Arial"/>
        </w:rPr>
        <w:t xml:space="preserve"> pharmaceuticals</w:t>
      </w:r>
      <w:r w:rsidR="00D967A6">
        <w:rPr>
          <w:rFonts w:cs="Arial"/>
        </w:rPr>
        <w:t xml:space="preserve"> and</w:t>
      </w:r>
      <w:r w:rsidR="00DC3F5B">
        <w:rPr>
          <w:rFonts w:cs="Arial"/>
        </w:rPr>
        <w:t xml:space="preserve"> food colourant.</w:t>
      </w:r>
      <w:r w:rsidR="00842218">
        <w:rPr>
          <w:rFonts w:cs="Arial"/>
        </w:rPr>
        <w:t xml:space="preserve"> The two most commonly used forms in industry are derived from the rutile or anatase</w:t>
      </w:r>
      <w:r w:rsidR="003E4782">
        <w:rPr>
          <w:rFonts w:cs="Arial"/>
        </w:rPr>
        <w:t xml:space="preserve"> mineral. </w:t>
      </w:r>
    </w:p>
    <w:p w14:paraId="736D265D" w14:textId="62B96DE6" w:rsidR="00EE1FC7" w:rsidRDefault="00042E9A" w:rsidP="006639B4">
      <w:pPr>
        <w:rPr>
          <w:rFonts w:cs="Arial"/>
        </w:rPr>
      </w:pPr>
      <w:r>
        <w:rPr>
          <w:rFonts w:cs="Arial"/>
        </w:rPr>
        <w:t>The c</w:t>
      </w:r>
      <w:r w:rsidR="00DC3F5B">
        <w:rPr>
          <w:rFonts w:cs="Arial"/>
        </w:rPr>
        <w:t xml:space="preserve">ritical effect of exposure </w:t>
      </w:r>
      <w:r w:rsidR="00BC7B1D">
        <w:rPr>
          <w:rFonts w:cs="Arial"/>
        </w:rPr>
        <w:t xml:space="preserve">is </w:t>
      </w:r>
      <w:r w:rsidR="00424BF0">
        <w:rPr>
          <w:rFonts w:cs="Arial"/>
        </w:rPr>
        <w:t>reduced</w:t>
      </w:r>
      <w:r w:rsidR="00DC3F5B">
        <w:rPr>
          <w:rFonts w:cs="Arial"/>
        </w:rPr>
        <w:t xml:space="preserve"> pulmonary </w:t>
      </w:r>
      <w:r w:rsidR="00424BF0">
        <w:rPr>
          <w:rFonts w:cs="Arial"/>
        </w:rPr>
        <w:t>function</w:t>
      </w:r>
      <w:r w:rsidR="00DC3F5B">
        <w:rPr>
          <w:rFonts w:cs="Arial"/>
        </w:rPr>
        <w:t xml:space="preserve"> associated with </w:t>
      </w:r>
      <w:r w:rsidR="00424BF0">
        <w:rPr>
          <w:rFonts w:cs="Arial"/>
        </w:rPr>
        <w:t>inert particle overload in the lungs</w:t>
      </w:r>
      <w:r w:rsidR="006676AA">
        <w:rPr>
          <w:rFonts w:cs="Arial"/>
        </w:rPr>
        <w:t xml:space="preserve">. Consequent </w:t>
      </w:r>
      <w:r w:rsidR="00424BF0">
        <w:rPr>
          <w:rFonts w:cs="Arial"/>
        </w:rPr>
        <w:t>c</w:t>
      </w:r>
      <w:r w:rsidR="00DC3F5B">
        <w:rPr>
          <w:rFonts w:cs="Arial"/>
        </w:rPr>
        <w:t xml:space="preserve">arcinogenicity is </w:t>
      </w:r>
      <w:r w:rsidR="006676AA">
        <w:rPr>
          <w:rFonts w:cs="Arial"/>
        </w:rPr>
        <w:t xml:space="preserve">reported </w:t>
      </w:r>
      <w:r w:rsidR="00DC3F5B">
        <w:rPr>
          <w:rFonts w:cs="Arial"/>
        </w:rPr>
        <w:t>in chronically exposed rats.</w:t>
      </w:r>
      <w:r w:rsidR="00C33008">
        <w:rPr>
          <w:rFonts w:cs="Arial"/>
        </w:rPr>
        <w:t xml:space="preserve"> </w:t>
      </w:r>
    </w:p>
    <w:p w14:paraId="3165221D" w14:textId="02CD2539" w:rsidR="00DC3F5B" w:rsidRDefault="00241F4E" w:rsidP="006639B4">
      <w:pPr>
        <w:rPr>
          <w:rFonts w:cs="Arial"/>
        </w:rPr>
      </w:pPr>
      <w:r>
        <w:rPr>
          <w:rFonts w:cs="Arial"/>
        </w:rPr>
        <w:t xml:space="preserve">From the available epidemiological data, </w:t>
      </w:r>
      <w:r w:rsidR="006676AA">
        <w:rPr>
          <w:rFonts w:cs="Arial"/>
        </w:rPr>
        <w:t xml:space="preserve">it is not certain that </w:t>
      </w:r>
      <w:r w:rsidR="004E3A81">
        <w:rPr>
          <w:rFonts w:cs="Arial"/>
        </w:rPr>
        <w:t xml:space="preserve">occupational </w:t>
      </w:r>
      <w:r w:rsidR="00DC3F5B">
        <w:rPr>
          <w:rFonts w:cs="Arial"/>
        </w:rPr>
        <w:t xml:space="preserve">exposure </w:t>
      </w:r>
      <w:r w:rsidR="006676AA">
        <w:rPr>
          <w:rFonts w:cs="Arial"/>
        </w:rPr>
        <w:t xml:space="preserve">causes </w:t>
      </w:r>
      <w:r>
        <w:rPr>
          <w:rFonts w:cs="Arial"/>
        </w:rPr>
        <w:t>in</w:t>
      </w:r>
      <w:r w:rsidR="00DC3F5B">
        <w:rPr>
          <w:rFonts w:cs="Arial"/>
        </w:rPr>
        <w:t xml:space="preserve">creased carcinogenicity (ACGIH, 2018; DFG, 2019; IARC, 2010). </w:t>
      </w:r>
      <w:r w:rsidR="00424BF0">
        <w:rPr>
          <w:rFonts w:cs="Arial"/>
        </w:rPr>
        <w:t>Carcinogenicity</w:t>
      </w:r>
      <w:r>
        <w:rPr>
          <w:rFonts w:cs="Arial"/>
        </w:rPr>
        <w:t xml:space="preserve"> induced by </w:t>
      </w:r>
      <w:r w:rsidR="00753401">
        <w:rPr>
          <w:rFonts w:cs="Arial"/>
        </w:rPr>
        <w:t xml:space="preserve">chronic inflammation </w:t>
      </w:r>
      <w:r w:rsidR="00424BF0">
        <w:rPr>
          <w:rFonts w:cs="Arial"/>
        </w:rPr>
        <w:t>from</w:t>
      </w:r>
      <w:r w:rsidR="00753401">
        <w:rPr>
          <w:rFonts w:cs="Arial"/>
        </w:rPr>
        <w:t xml:space="preserve"> </w:t>
      </w:r>
      <w:r w:rsidR="008816ED">
        <w:rPr>
          <w:rFonts w:cs="Arial"/>
        </w:rPr>
        <w:t>lung</w:t>
      </w:r>
      <w:r w:rsidR="00753401">
        <w:rPr>
          <w:rFonts w:cs="Arial"/>
        </w:rPr>
        <w:t xml:space="preserve"> overload </w:t>
      </w:r>
      <w:r>
        <w:rPr>
          <w:rFonts w:cs="Arial"/>
        </w:rPr>
        <w:t xml:space="preserve">is </w:t>
      </w:r>
      <w:r w:rsidR="006676AA">
        <w:rPr>
          <w:rFonts w:cs="Arial"/>
        </w:rPr>
        <w:t xml:space="preserve">reported </w:t>
      </w:r>
      <w:r>
        <w:rPr>
          <w:rFonts w:cs="Arial"/>
        </w:rPr>
        <w:t xml:space="preserve">in rats exposed by inhalation or intratracheal instillation (ACGIH, 2018; IARC, 2010). </w:t>
      </w:r>
      <w:r w:rsidR="00753401">
        <w:rPr>
          <w:rFonts w:cs="Arial"/>
        </w:rPr>
        <w:t xml:space="preserve">Under these conditions, rats are considered more susceptible </w:t>
      </w:r>
      <w:r w:rsidR="006676AA">
        <w:rPr>
          <w:rFonts w:cs="Arial"/>
        </w:rPr>
        <w:t xml:space="preserve">to </w:t>
      </w:r>
      <w:r w:rsidR="00753401">
        <w:rPr>
          <w:rFonts w:cs="Arial"/>
        </w:rPr>
        <w:t xml:space="preserve">carcinogenicity than other species and humans (ECHA, 2020). </w:t>
      </w:r>
      <w:r w:rsidR="00B41562">
        <w:rPr>
          <w:rFonts w:cs="Arial"/>
        </w:rPr>
        <w:t>Depending on the particle size, a</w:t>
      </w:r>
      <w:r w:rsidR="00753401">
        <w:rPr>
          <w:rFonts w:cs="Arial"/>
        </w:rPr>
        <w:t xml:space="preserve"> NOAEC </w:t>
      </w:r>
      <w:r w:rsidR="00B41562">
        <w:rPr>
          <w:rFonts w:cs="Arial"/>
        </w:rPr>
        <w:t xml:space="preserve">for lung overload ranges between 0.5 and </w:t>
      </w:r>
      <w:r w:rsidR="00753401">
        <w:rPr>
          <w:rFonts w:cs="Arial"/>
        </w:rPr>
        <w:t>10 mg/m</w:t>
      </w:r>
      <w:r w:rsidR="00753401">
        <w:rPr>
          <w:rFonts w:cs="Arial"/>
          <w:vertAlign w:val="superscript"/>
        </w:rPr>
        <w:t>3</w:t>
      </w:r>
      <w:r w:rsidR="00753401">
        <w:rPr>
          <w:rFonts w:cs="Arial"/>
        </w:rPr>
        <w:t xml:space="preserve"> </w:t>
      </w:r>
      <w:r w:rsidR="00B41562">
        <w:rPr>
          <w:rFonts w:cs="Arial"/>
        </w:rPr>
        <w:t>in sub</w:t>
      </w:r>
      <w:r w:rsidR="0012343E">
        <w:rPr>
          <w:rFonts w:cs="Arial"/>
        </w:rPr>
        <w:t>-</w:t>
      </w:r>
      <w:r w:rsidR="00B41562">
        <w:rPr>
          <w:rFonts w:cs="Arial"/>
        </w:rPr>
        <w:t xml:space="preserve">chronic and chronic inhalation studies </w:t>
      </w:r>
      <w:r w:rsidR="006676AA">
        <w:rPr>
          <w:rFonts w:cs="Arial"/>
        </w:rPr>
        <w:t xml:space="preserve">in </w:t>
      </w:r>
      <w:r w:rsidR="00B41562">
        <w:rPr>
          <w:rFonts w:cs="Arial"/>
        </w:rPr>
        <w:t>rodents</w:t>
      </w:r>
      <w:r w:rsidR="00753401">
        <w:rPr>
          <w:rFonts w:cs="Arial"/>
        </w:rPr>
        <w:t xml:space="preserve"> (ACGIH, 2018</w:t>
      </w:r>
      <w:r w:rsidR="00B41562">
        <w:rPr>
          <w:rFonts w:cs="Arial"/>
        </w:rPr>
        <w:t>; DFG</w:t>
      </w:r>
      <w:r w:rsidR="00EE1FC7">
        <w:rPr>
          <w:rFonts w:cs="Arial"/>
        </w:rPr>
        <w:t>,</w:t>
      </w:r>
      <w:r w:rsidR="00B41562">
        <w:rPr>
          <w:rFonts w:cs="Arial"/>
        </w:rPr>
        <w:t xml:space="preserve"> 2012</w:t>
      </w:r>
      <w:r w:rsidR="00753401">
        <w:rPr>
          <w:rFonts w:cs="Arial"/>
        </w:rPr>
        <w:t>).</w:t>
      </w:r>
      <w:r w:rsidR="002C6E58">
        <w:rPr>
          <w:rFonts w:cs="Arial"/>
        </w:rPr>
        <w:t xml:space="preserve"> </w:t>
      </w:r>
    </w:p>
    <w:p w14:paraId="50B20AA8" w14:textId="1319C0B8" w:rsidR="00753401" w:rsidRDefault="008816ED" w:rsidP="006639B4">
      <w:pPr>
        <w:rPr>
          <w:rFonts w:cs="Arial"/>
        </w:rPr>
      </w:pPr>
      <w:r>
        <w:rPr>
          <w:rFonts w:cs="Arial"/>
        </w:rPr>
        <w:t xml:space="preserve">The available exposure data </w:t>
      </w:r>
      <w:r w:rsidR="006676AA">
        <w:rPr>
          <w:rFonts w:cs="Arial"/>
        </w:rPr>
        <w:t xml:space="preserve">in animal models </w:t>
      </w:r>
      <w:r>
        <w:rPr>
          <w:rFonts w:cs="Arial"/>
        </w:rPr>
        <w:t xml:space="preserve">suggest protection for </w:t>
      </w:r>
      <w:r w:rsidR="006676AA">
        <w:rPr>
          <w:rFonts w:cs="Arial"/>
        </w:rPr>
        <w:t xml:space="preserve">inspirable </w:t>
      </w:r>
      <w:r>
        <w:rPr>
          <w:rFonts w:cs="Arial"/>
        </w:rPr>
        <w:t>particle overload in the lungs</w:t>
      </w:r>
      <w:r w:rsidR="00E81971">
        <w:rPr>
          <w:rFonts w:cs="Arial"/>
        </w:rPr>
        <w:t xml:space="preserve"> and </w:t>
      </w:r>
      <w:r w:rsidR="006676AA">
        <w:rPr>
          <w:rFonts w:cs="Arial"/>
        </w:rPr>
        <w:t xml:space="preserve">that the </w:t>
      </w:r>
      <w:r w:rsidR="00E81971">
        <w:rPr>
          <w:rFonts w:cs="Arial"/>
        </w:rPr>
        <w:t>resultant</w:t>
      </w:r>
      <w:r>
        <w:rPr>
          <w:rFonts w:cs="Arial"/>
        </w:rPr>
        <w:t xml:space="preserve"> </w:t>
      </w:r>
      <w:r w:rsidR="00E81971">
        <w:rPr>
          <w:rFonts w:cs="Arial"/>
        </w:rPr>
        <w:t xml:space="preserve">chronic inflammation </w:t>
      </w:r>
      <w:r>
        <w:rPr>
          <w:rFonts w:cs="Arial"/>
        </w:rPr>
        <w:t>is protective of carcinogenicity</w:t>
      </w:r>
      <w:r w:rsidR="00E81971">
        <w:rPr>
          <w:rFonts w:cs="Arial"/>
        </w:rPr>
        <w:t xml:space="preserve"> </w:t>
      </w:r>
      <w:r>
        <w:rPr>
          <w:rFonts w:cs="Arial"/>
        </w:rPr>
        <w:t xml:space="preserve">(ACGIH, 2018; DFG, </w:t>
      </w:r>
      <w:r w:rsidR="00B41562">
        <w:rPr>
          <w:rFonts w:cs="Arial"/>
        </w:rPr>
        <w:t xml:space="preserve">2012, </w:t>
      </w:r>
      <w:r>
        <w:rPr>
          <w:rFonts w:cs="Arial"/>
        </w:rPr>
        <w:t xml:space="preserve">2019). </w:t>
      </w:r>
      <w:r w:rsidR="00E81971">
        <w:rPr>
          <w:rFonts w:cs="Arial"/>
        </w:rPr>
        <w:t>DFG (2012) modelled an equivalent NAEC of approximately 1 mg/m</w:t>
      </w:r>
      <w:r w:rsidR="00E81971">
        <w:rPr>
          <w:rFonts w:cs="Arial"/>
          <w:vertAlign w:val="superscript"/>
        </w:rPr>
        <w:t>3</w:t>
      </w:r>
      <w:r w:rsidR="00EE1FC7" w:rsidRPr="00EE1FC7">
        <w:rPr>
          <w:rFonts w:cs="Arial"/>
        </w:rPr>
        <w:t xml:space="preserve"> </w:t>
      </w:r>
      <w:r w:rsidR="00F618F8">
        <w:rPr>
          <w:rFonts w:cs="Arial"/>
        </w:rPr>
        <w:t xml:space="preserve">for humans </w:t>
      </w:r>
      <w:r w:rsidR="00EE1FC7">
        <w:rPr>
          <w:rFonts w:cs="Arial"/>
        </w:rPr>
        <w:t>based on the dose-response data for chronic inflammation and bioaccumulation in the lungs reported in several sub-chronic inhalation studies with rodents.</w:t>
      </w:r>
      <w:r w:rsidR="00F618F8">
        <w:rPr>
          <w:rFonts w:cs="Arial"/>
        </w:rPr>
        <w:t xml:space="preserve"> </w:t>
      </w:r>
      <w:r w:rsidR="00EE1FC7">
        <w:rPr>
          <w:rFonts w:cs="Arial"/>
        </w:rPr>
        <w:t>This value</w:t>
      </w:r>
      <w:r w:rsidR="006B1DA2">
        <w:rPr>
          <w:rFonts w:cs="Arial"/>
        </w:rPr>
        <w:t xml:space="preserve"> </w:t>
      </w:r>
      <w:r w:rsidR="00F618F8">
        <w:rPr>
          <w:rFonts w:cs="Arial"/>
        </w:rPr>
        <w:t xml:space="preserve">of </w:t>
      </w:r>
      <w:r w:rsidR="00EE1FC7">
        <w:rPr>
          <w:rFonts w:cs="Arial"/>
        </w:rPr>
        <w:t>1 mg/m</w:t>
      </w:r>
      <w:r w:rsidR="00EE1FC7">
        <w:rPr>
          <w:rFonts w:cs="Arial"/>
          <w:vertAlign w:val="superscript"/>
        </w:rPr>
        <w:t>3</w:t>
      </w:r>
      <w:r w:rsidR="00EE1FC7" w:rsidRPr="00EE1FC7">
        <w:rPr>
          <w:rFonts w:cs="Arial"/>
        </w:rPr>
        <w:t xml:space="preserve"> </w:t>
      </w:r>
      <w:r w:rsidR="006B1DA2">
        <w:rPr>
          <w:rFonts w:cs="Arial"/>
        </w:rPr>
        <w:t xml:space="preserve">was adopted as the recommended MAK in 2019. The </w:t>
      </w:r>
      <w:r w:rsidR="00F618F8">
        <w:rPr>
          <w:rFonts w:cs="Arial"/>
        </w:rPr>
        <w:t>current</w:t>
      </w:r>
      <w:r w:rsidR="006B1DA2">
        <w:rPr>
          <w:rFonts w:cs="Arial"/>
        </w:rPr>
        <w:t xml:space="preserve"> </w:t>
      </w:r>
      <w:r w:rsidR="00F618F8">
        <w:rPr>
          <w:rFonts w:cs="Arial"/>
        </w:rPr>
        <w:t xml:space="preserve">SWA </w:t>
      </w:r>
      <w:r w:rsidR="006B1DA2">
        <w:rPr>
          <w:rFonts w:cs="Arial"/>
        </w:rPr>
        <w:t>TWA of 10 mg/m</w:t>
      </w:r>
      <w:r w:rsidR="006B1DA2">
        <w:rPr>
          <w:rFonts w:cs="Arial"/>
          <w:vertAlign w:val="superscript"/>
        </w:rPr>
        <w:t>3</w:t>
      </w:r>
      <w:r w:rsidR="006B1DA2">
        <w:rPr>
          <w:rFonts w:cs="Arial"/>
        </w:rPr>
        <w:t xml:space="preserve"> is potentially unprotective of bioaccumulation and chronic inflammation based on the lowest NOAEC of 0.5 mg/m</w:t>
      </w:r>
      <w:r w:rsidR="006B1DA2">
        <w:rPr>
          <w:rFonts w:cs="Arial"/>
          <w:vertAlign w:val="superscript"/>
        </w:rPr>
        <w:t>3</w:t>
      </w:r>
      <w:r w:rsidR="006B1DA2">
        <w:rPr>
          <w:rFonts w:cs="Arial"/>
        </w:rPr>
        <w:t xml:space="preserve"> in rats. </w:t>
      </w:r>
      <w:r w:rsidR="00F618F8">
        <w:rPr>
          <w:rFonts w:cs="Arial"/>
        </w:rPr>
        <w:t>A</w:t>
      </w:r>
      <w:r w:rsidR="006B1DA2">
        <w:rPr>
          <w:rFonts w:cs="Arial"/>
        </w:rPr>
        <w:t xml:space="preserve"> TWA </w:t>
      </w:r>
      <w:r w:rsidR="006B1DA2">
        <w:rPr>
          <w:rFonts w:cs="Arial"/>
        </w:rPr>
        <w:lastRenderedPageBreak/>
        <w:t>of 1 mg/m</w:t>
      </w:r>
      <w:r w:rsidR="006B1DA2">
        <w:rPr>
          <w:rFonts w:cs="Arial"/>
          <w:vertAlign w:val="superscript"/>
        </w:rPr>
        <w:t>3</w:t>
      </w:r>
      <w:r w:rsidR="006B1DA2">
        <w:rPr>
          <w:rFonts w:cs="Arial"/>
        </w:rPr>
        <w:t xml:space="preserve"> </w:t>
      </w:r>
      <w:r w:rsidR="00F618F8">
        <w:rPr>
          <w:rFonts w:cs="Arial"/>
        </w:rPr>
        <w:t xml:space="preserve">by DFG (2019) </w:t>
      </w:r>
      <w:r w:rsidR="006B1DA2">
        <w:rPr>
          <w:rFonts w:cs="Arial"/>
        </w:rPr>
        <w:t>is recommended and expected to be</w:t>
      </w:r>
      <w:r w:rsidR="00424BF0">
        <w:rPr>
          <w:rFonts w:cs="Arial"/>
        </w:rPr>
        <w:t xml:space="preserve"> protective </w:t>
      </w:r>
      <w:r w:rsidR="006D42E8">
        <w:rPr>
          <w:rFonts w:cs="Arial"/>
        </w:rPr>
        <w:t>of the effects of</w:t>
      </w:r>
      <w:r w:rsidR="00042E9A">
        <w:rPr>
          <w:rFonts w:cs="Arial"/>
        </w:rPr>
        <w:t xml:space="preserve"> </w:t>
      </w:r>
      <w:r w:rsidR="00424BF0">
        <w:rPr>
          <w:rFonts w:cs="Arial"/>
        </w:rPr>
        <w:t>chronic lung overload</w:t>
      </w:r>
      <w:r w:rsidR="006D42E8">
        <w:rPr>
          <w:rFonts w:cs="Arial"/>
        </w:rPr>
        <w:t>.</w:t>
      </w:r>
    </w:p>
    <w:p w14:paraId="273B44AD" w14:textId="77777777" w:rsidR="004529F0" w:rsidRPr="009465E5" w:rsidRDefault="004529F0" w:rsidP="004529F0">
      <w:pPr>
        <w:pStyle w:val="Heading2"/>
      </w:pPr>
      <w:r w:rsidRPr="009465E5">
        <w:t>Recommendation for notations</w:t>
      </w:r>
    </w:p>
    <w:p w14:paraId="27C6755E" w14:textId="70729A2D" w:rsidR="008E4F1F" w:rsidRPr="009465E5" w:rsidRDefault="008E4F1F" w:rsidP="008E4F1F">
      <w:pPr>
        <w:rPr>
          <w:rFonts w:cs="Arial"/>
        </w:rPr>
      </w:pPr>
      <w:r w:rsidRPr="009465E5">
        <w:rPr>
          <w:rFonts w:cs="Arial"/>
        </w:rPr>
        <w:t>Not classified as a carcinogen according to the Globally Harmonized System of</w:t>
      </w:r>
      <w:r w:rsidR="00155999" w:rsidRPr="009465E5">
        <w:rPr>
          <w:rFonts w:cs="Arial"/>
        </w:rPr>
        <w:t xml:space="preserve"> Classification and Labelling of</w:t>
      </w:r>
      <w:r w:rsidRPr="009465E5">
        <w:rPr>
          <w:rFonts w:cs="Arial"/>
        </w:rPr>
        <w:t xml:space="preserve"> Chemicals (GHS). </w:t>
      </w:r>
      <w:r w:rsidR="006D42E8">
        <w:rPr>
          <w:rFonts w:cs="Arial"/>
        </w:rPr>
        <w:t xml:space="preserve">However, </w:t>
      </w:r>
      <w:r w:rsidR="007F3FB6">
        <w:rPr>
          <w:rFonts w:cs="Arial"/>
        </w:rPr>
        <w:t xml:space="preserve">there is some </w:t>
      </w:r>
      <w:r w:rsidR="006D42E8">
        <w:rPr>
          <w:rFonts w:cs="Arial"/>
        </w:rPr>
        <w:t xml:space="preserve">evidence for carcinogenicity due to chronic lung inflammation in animals. Based on this evidence, DFG (2019) classifies the substance as a Category 4 carcinogen, which is equivalent to a Category 1 or 2 carcinogen according to the GHS. ACGIH (2018) does not consider this evidence relevant to carcinogenicity in humans. </w:t>
      </w:r>
      <w:r w:rsidR="004E3A81">
        <w:rPr>
          <w:rFonts w:cs="Arial"/>
        </w:rPr>
        <w:t>Therefore</w:t>
      </w:r>
      <w:r w:rsidR="006D42E8">
        <w:rPr>
          <w:rFonts w:cs="Arial"/>
        </w:rPr>
        <w:t>, a review of the carcinogenicity classification is recommended.</w:t>
      </w:r>
    </w:p>
    <w:p w14:paraId="03916CCC" w14:textId="77777777" w:rsidR="008E4F1F" w:rsidRPr="009465E5" w:rsidRDefault="008E4F1F" w:rsidP="008E4F1F">
      <w:pPr>
        <w:rPr>
          <w:rFonts w:cs="Arial"/>
        </w:rPr>
      </w:pPr>
      <w:r w:rsidRPr="009465E5">
        <w:rPr>
          <w:rFonts w:cs="Arial"/>
        </w:rPr>
        <w:t xml:space="preserve">Not classified as a skin </w:t>
      </w:r>
      <w:r w:rsidR="00155999" w:rsidRPr="009465E5">
        <w:rPr>
          <w:rFonts w:cs="Arial"/>
        </w:rPr>
        <w:t xml:space="preserve">sensitiser </w:t>
      </w:r>
      <w:r w:rsidRPr="009465E5">
        <w:rPr>
          <w:rFonts w:cs="Arial"/>
        </w:rPr>
        <w:t>or respiratory sensitiser according to the GHS.</w:t>
      </w:r>
    </w:p>
    <w:p w14:paraId="21CCE2A5" w14:textId="7EAEDE5F" w:rsidR="0025734A" w:rsidRPr="009465E5" w:rsidRDefault="009465E5">
      <w:pPr>
        <w:rPr>
          <w:rFonts w:cs="Arial"/>
        </w:rPr>
      </w:pPr>
      <w:r w:rsidRPr="009465E5">
        <w:rPr>
          <w:rFonts w:cs="Arial"/>
        </w:rPr>
        <w:t>A skin notation is not recommended based on the available evidence.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DC615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DC6150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03A68B85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92E2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92E2E">
                  <w:t>TWA: 10 mg/m</w:t>
                </w:r>
                <w:r w:rsidR="00192E2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DC6150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DC615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5A3BC87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92E2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92E2E">
                  <w:t>TLV-TWA: 10 mg/m</w:t>
                </w:r>
                <w:r w:rsidR="00192E2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DC6150">
        <w:trPr>
          <w:gridAfter w:val="1"/>
          <w:wAfter w:w="8" w:type="pct"/>
        </w:trPr>
        <w:tc>
          <w:tcPr>
            <w:tcW w:w="4992" w:type="pct"/>
          </w:tcPr>
          <w:p w14:paraId="44CC33F6" w14:textId="77777777" w:rsidR="00C33008" w:rsidRDefault="00B450C1" w:rsidP="003365A5">
            <w:pPr>
              <w:pStyle w:val="Tabletextprimarysource"/>
            </w:pPr>
            <w:r>
              <w:t xml:space="preserve">TLV-TWA intended to protect for potential respiratory tract irritation and </w:t>
            </w:r>
            <w:r w:rsidR="000A7503">
              <w:t xml:space="preserve">pulmonary overload. </w:t>
            </w:r>
          </w:p>
          <w:p w14:paraId="1563D431" w14:textId="05FFE3A0" w:rsidR="00C978F0" w:rsidRDefault="000A7503" w:rsidP="003365A5">
            <w:pPr>
              <w:pStyle w:val="Tabletextprimarysource"/>
            </w:pPr>
            <w:r>
              <w:t>Not classifiable as a human carcinogen based on negative or inconclusive results of chronic animal inhalation studies.</w:t>
            </w:r>
          </w:p>
          <w:p w14:paraId="5EC9B640" w14:textId="6C55AECD" w:rsidR="000A7503" w:rsidRDefault="000A7503" w:rsidP="003365A5">
            <w:pPr>
              <w:pStyle w:val="Tabletextprimarysource"/>
            </w:pPr>
            <w:r>
              <w:t>Summary of information:</w:t>
            </w:r>
          </w:p>
          <w:p w14:paraId="1C48EE34" w14:textId="27B8A2D0" w:rsidR="000A7503" w:rsidRPr="006D576A" w:rsidRDefault="006D576A" w:rsidP="003365A5">
            <w:pPr>
              <w:pStyle w:val="Tabletextprimarysource"/>
            </w:pPr>
            <w:r>
              <w:t>TLV-TWA recommendation based on chronic NOAEC of 10 mg/m</w:t>
            </w:r>
            <w:r>
              <w:rPr>
                <w:vertAlign w:val="superscript"/>
              </w:rPr>
              <w:t>3</w:t>
            </w:r>
            <w:r>
              <w:t xml:space="preserve"> for </w:t>
            </w:r>
            <w:r w:rsidR="008816ED">
              <w:t>lung overload in chronic inhalation</w:t>
            </w:r>
            <w:r>
              <w:t xml:space="preserve"> study with rats, </w:t>
            </w:r>
            <w:r w:rsidR="008816ED">
              <w:t>supported by</w:t>
            </w:r>
            <w:r>
              <w:t xml:space="preserve"> epidemiological data that indicate no association between occupational exposure and chronic </w:t>
            </w:r>
            <w:r w:rsidR="009465E5">
              <w:t>respiratory</w:t>
            </w:r>
            <w:r>
              <w:t xml:space="preserve"> disease.</w:t>
            </w:r>
          </w:p>
          <w:p w14:paraId="74D20D7F" w14:textId="2E1FF220" w:rsidR="000A7503" w:rsidRDefault="000A7503" w:rsidP="003365A5">
            <w:pPr>
              <w:pStyle w:val="Tabletextprimarysource"/>
            </w:pPr>
            <w:r>
              <w:t>Human data:</w:t>
            </w:r>
          </w:p>
          <w:p w14:paraId="397F50A7" w14:textId="3701C7A2" w:rsidR="000A7503" w:rsidRDefault="00DF1054" w:rsidP="00DF1054">
            <w:pPr>
              <w:pStyle w:val="Tabletextprimarysource"/>
              <w:numPr>
                <w:ilvl w:val="0"/>
                <w:numId w:val="2"/>
              </w:numPr>
            </w:pPr>
            <w:r>
              <w:t>Non-toxic by ingestion; reported ingestion of 0.453 kg did not cause harm and eliminated in faeces within 24 h</w:t>
            </w:r>
          </w:p>
          <w:p w14:paraId="07F6C4A9" w14:textId="1A986EA6" w:rsidR="00C33008" w:rsidRDefault="006D576A" w:rsidP="00DF1054">
            <w:pPr>
              <w:pStyle w:val="Tabletextprimarysource"/>
              <w:numPr>
                <w:ilvl w:val="0"/>
                <w:numId w:val="2"/>
              </w:numPr>
            </w:pPr>
            <w:r>
              <w:t>Inconclusive evidence for carcinogenicity in several case reports of chronically exposed workers</w:t>
            </w:r>
            <w:r w:rsidR="0012343E">
              <w:t>:</w:t>
            </w:r>
            <w:r>
              <w:t xml:space="preserve"> </w:t>
            </w:r>
          </w:p>
          <w:p w14:paraId="4AD7D5FE" w14:textId="0769FC0A" w:rsidR="00DF1054" w:rsidRDefault="006D576A" w:rsidP="00B620F2">
            <w:pPr>
              <w:pStyle w:val="Tabletextprimarysource"/>
              <w:numPr>
                <w:ilvl w:val="0"/>
                <w:numId w:val="4"/>
              </w:numPr>
            </w:pPr>
            <w:r>
              <w:t>not considered in agency’s evaluation due to confounding smoking habits and insufficient exposure details</w:t>
            </w:r>
          </w:p>
          <w:p w14:paraId="5DEDF443" w14:textId="5F003091" w:rsidR="006D576A" w:rsidRDefault="006D576A" w:rsidP="00DF1054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 significant association between occupational exposure and respiratory disease, including cancer, reported in cohort study of production workers from 1935–1984 (n=1,576, employed for at least 1 </w:t>
            </w:r>
            <w:proofErr w:type="spellStart"/>
            <w:r>
              <w:t>yr</w:t>
            </w:r>
            <w:proofErr w:type="spellEnd"/>
            <w:r>
              <w:t>)</w:t>
            </w:r>
            <w:r w:rsidR="000F4599">
              <w:t>.</w:t>
            </w:r>
          </w:p>
          <w:p w14:paraId="4ACB920D" w14:textId="721D1A8B" w:rsidR="000A7503" w:rsidRDefault="000A7503" w:rsidP="003365A5">
            <w:pPr>
              <w:pStyle w:val="Tabletextprimarysource"/>
            </w:pPr>
            <w:r>
              <w:t>Animal data:</w:t>
            </w:r>
          </w:p>
          <w:p w14:paraId="453C6A07" w14:textId="7DC1AAD1" w:rsidR="000A7503" w:rsidRDefault="00F249A6" w:rsidP="00F249A6">
            <w:pPr>
              <w:pStyle w:val="Tabletextprimarysource"/>
              <w:numPr>
                <w:ilvl w:val="0"/>
                <w:numId w:val="1"/>
              </w:numPr>
            </w:pPr>
            <w:r>
              <w:t>Substance is inert, not absorbed</w:t>
            </w:r>
            <w:r w:rsidR="00D967A6">
              <w:t xml:space="preserve"> and</w:t>
            </w:r>
            <w:r>
              <w:t xml:space="preserve"> has no toxic effect</w:t>
            </w:r>
          </w:p>
          <w:p w14:paraId="77D2B862" w14:textId="7791B365" w:rsidR="00F249A6" w:rsidRDefault="00F249A6" w:rsidP="00F249A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Dark </w:t>
            </w:r>
            <w:r w:rsidR="00901718">
              <w:t>deposits in pulmonary parenchyma and traces of alveolar macrophage infiltration in 1</w:t>
            </w:r>
            <w:r w:rsidR="00B23E8D">
              <w:t> </w:t>
            </w:r>
            <w:r w:rsidR="00901718">
              <w:t>case, incipient diffuse fibrosis in another at 50 mg in sub</w:t>
            </w:r>
            <w:r w:rsidR="00954710">
              <w:t>-</w:t>
            </w:r>
            <w:r w:rsidR="00901718">
              <w:t>chronic intratracheal instillation study (rats, no further details provided)</w:t>
            </w:r>
          </w:p>
          <w:p w14:paraId="2C9717F9" w14:textId="787BFC10" w:rsidR="00C33008" w:rsidRDefault="00901718" w:rsidP="00F249A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Diminished ventilation within 1 </w:t>
            </w:r>
            <w:proofErr w:type="spellStart"/>
            <w:r>
              <w:t>wk</w:t>
            </w:r>
            <w:proofErr w:type="spellEnd"/>
            <w:r>
              <w:t xml:space="preserve"> in repeat intratracheal instillation study (rabbits, no further experimental details provided)</w:t>
            </w:r>
            <w:r w:rsidR="0012343E">
              <w:t>:</w:t>
            </w:r>
            <w:r>
              <w:t xml:space="preserve"> </w:t>
            </w:r>
          </w:p>
          <w:p w14:paraId="28290DA9" w14:textId="2856FF91" w:rsidR="00901718" w:rsidRDefault="00901718" w:rsidP="00B620F2">
            <w:pPr>
              <w:pStyle w:val="Tabletextprimarysource"/>
              <w:numPr>
                <w:ilvl w:val="0"/>
                <w:numId w:val="4"/>
              </w:numPr>
            </w:pPr>
            <w:r>
              <w:t xml:space="preserve">effects reversible within 3 </w:t>
            </w:r>
            <w:proofErr w:type="spellStart"/>
            <w:r>
              <w:t>mo</w:t>
            </w:r>
            <w:proofErr w:type="spellEnd"/>
          </w:p>
          <w:p w14:paraId="7E7222BD" w14:textId="76B027F4" w:rsidR="00901718" w:rsidRDefault="00901718" w:rsidP="0090171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Focal emphysema associated with dust aggregates at 10–328 </w:t>
            </w:r>
            <w:proofErr w:type="spellStart"/>
            <w:r>
              <w:t>mppcf</w:t>
            </w:r>
            <w:proofErr w:type="spellEnd"/>
            <w:r>
              <w:t xml:space="preserve"> </w:t>
            </w:r>
            <w:r w:rsidR="00954710">
              <w:t xml:space="preserve">(million particles per cubic foot) </w:t>
            </w:r>
            <w:r>
              <w:rPr>
                <w:rFonts w:cs="Arial"/>
              </w:rPr>
              <w:t>≈</w:t>
            </w:r>
            <w:r>
              <w:t>33–1,093 mg/m</w:t>
            </w:r>
            <w:r>
              <w:rPr>
                <w:vertAlign w:val="superscript"/>
              </w:rPr>
              <w:t>3</w:t>
            </w:r>
            <w:r>
              <w:t xml:space="preserve"> (rats, 2 h/d, 5 d/</w:t>
            </w:r>
            <w:proofErr w:type="spellStart"/>
            <w:r>
              <w:t>wk</w:t>
            </w:r>
            <w:proofErr w:type="spellEnd"/>
            <w:r>
              <w:t xml:space="preserve">, 13 </w:t>
            </w:r>
            <w:proofErr w:type="spellStart"/>
            <w:r>
              <w:t>mo</w:t>
            </w:r>
            <w:proofErr w:type="spellEnd"/>
            <w:r>
              <w:t>)</w:t>
            </w:r>
          </w:p>
          <w:p w14:paraId="5C5F48D3" w14:textId="30E35FFA" w:rsidR="00901718" w:rsidRDefault="00901718" w:rsidP="00901718">
            <w:pPr>
              <w:pStyle w:val="Tabletextprimarysource"/>
              <w:numPr>
                <w:ilvl w:val="0"/>
                <w:numId w:val="1"/>
              </w:numPr>
            </w:pPr>
            <w:r>
              <w:t>No increase</w:t>
            </w:r>
            <w:r w:rsidR="00753401">
              <w:t>d</w:t>
            </w:r>
            <w:r>
              <w:t xml:space="preserve"> incidence of tumours compared to controls at 2.5 and 5% of diet in chronic feeding study (rats, mice, 2 </w:t>
            </w:r>
            <w:proofErr w:type="spellStart"/>
            <w:r>
              <w:t>yr</w:t>
            </w:r>
            <w:proofErr w:type="spellEnd"/>
            <w:r>
              <w:t>)</w:t>
            </w:r>
          </w:p>
          <w:p w14:paraId="646036E9" w14:textId="22D5098F" w:rsidR="00901718" w:rsidRDefault="00F20DD1" w:rsidP="00901718">
            <w:pPr>
              <w:pStyle w:val="Tabletextprimarysource"/>
              <w:numPr>
                <w:ilvl w:val="0"/>
                <w:numId w:val="1"/>
              </w:numPr>
            </w:pPr>
            <w:r>
              <w:t>NOAEC</w:t>
            </w:r>
            <w:r w:rsidR="004E3A81">
              <w:t xml:space="preserve"> of</w:t>
            </w:r>
            <w:r>
              <w:t xml:space="preserve"> 10 mg/m</w:t>
            </w:r>
            <w:r>
              <w:rPr>
                <w:vertAlign w:val="superscript"/>
              </w:rPr>
              <w:t>3</w:t>
            </w:r>
            <w:r>
              <w:t xml:space="preserve"> for </w:t>
            </w:r>
            <w:r w:rsidR="008816ED">
              <w:t>lung</w:t>
            </w:r>
            <w:r w:rsidR="00DF1054">
              <w:t xml:space="preserve"> overload manifested as </w:t>
            </w:r>
            <w:r>
              <w:t>accumulation of macrophages</w:t>
            </w:r>
            <w:r w:rsidR="00DF1054">
              <w:t>, foamy dust cells and free particles in chronic inhalation study with dose groups 0, 10, 50</w:t>
            </w:r>
            <w:r w:rsidR="00D967A6">
              <w:t xml:space="preserve"> and</w:t>
            </w:r>
            <w:r w:rsidR="00DF1054">
              <w:t xml:space="preserve"> </w:t>
            </w:r>
            <w:r w:rsidR="00C33008">
              <w:t>250 </w:t>
            </w:r>
            <w:r w:rsidR="00DF1054">
              <w:t>mg/m</w:t>
            </w:r>
            <w:r w:rsidR="00DF1054">
              <w:rPr>
                <w:vertAlign w:val="superscript"/>
              </w:rPr>
              <w:t>3</w:t>
            </w:r>
            <w:r w:rsidR="00DF1054">
              <w:t xml:space="preserve"> (rats, 6 h/d, 5 d/</w:t>
            </w:r>
            <w:proofErr w:type="spellStart"/>
            <w:r w:rsidR="00DF1054">
              <w:t>wk</w:t>
            </w:r>
            <w:proofErr w:type="spellEnd"/>
            <w:r w:rsidR="00DF1054">
              <w:t xml:space="preserve">, 2 </w:t>
            </w:r>
            <w:proofErr w:type="spellStart"/>
            <w:r w:rsidR="00DF1054">
              <w:t>yr</w:t>
            </w:r>
            <w:proofErr w:type="spellEnd"/>
            <w:r w:rsidR="00DF1054">
              <w:t>)</w:t>
            </w:r>
            <w:r w:rsidR="0012343E">
              <w:t>:</w:t>
            </w:r>
          </w:p>
          <w:p w14:paraId="0A941613" w14:textId="45F7B621" w:rsidR="00DF1054" w:rsidRDefault="00DF1054" w:rsidP="003E4782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pulmonary overload at 50 mg/m</w:t>
            </w:r>
            <w:r>
              <w:rPr>
                <w:vertAlign w:val="superscript"/>
              </w:rPr>
              <w:t>3</w:t>
            </w:r>
          </w:p>
          <w:p w14:paraId="0DDFD439" w14:textId="61DC7628" w:rsidR="00DF1054" w:rsidRDefault="00DF1054" w:rsidP="003E4782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squamous cell carcinoma at 250 mg/m</w:t>
            </w:r>
            <w:r>
              <w:rPr>
                <w:vertAlign w:val="superscript"/>
              </w:rPr>
              <w:t>3</w:t>
            </w:r>
            <w:r>
              <w:t xml:space="preserve"> after 2 </w:t>
            </w:r>
            <w:proofErr w:type="spellStart"/>
            <w:r>
              <w:t>yr</w:t>
            </w:r>
            <w:proofErr w:type="spellEnd"/>
            <w:r w:rsidR="00954710">
              <w:t xml:space="preserve">, authors of </w:t>
            </w:r>
            <w:r>
              <w:t>cited article conclude that the type of tumour was caused by pulmonary saturation and of questionable relevance to occupational exposure</w:t>
            </w:r>
            <w:r w:rsidR="000F4599">
              <w:t>.</w:t>
            </w:r>
          </w:p>
          <w:p w14:paraId="77B4689D" w14:textId="77777777" w:rsidR="00C33008" w:rsidRDefault="00C33008" w:rsidP="003365A5">
            <w:pPr>
              <w:pStyle w:val="Tabletextprimarysource"/>
            </w:pPr>
          </w:p>
          <w:p w14:paraId="7348C904" w14:textId="77777777" w:rsidR="000A7503" w:rsidRDefault="000A7503" w:rsidP="003365A5">
            <w:pPr>
              <w:pStyle w:val="Tabletextprimarysource"/>
            </w:pPr>
            <w:r>
              <w:t>Insufficient data to recommend a TLV-STEL or notations for skin absorption or sensitisation.</w:t>
            </w:r>
          </w:p>
          <w:p w14:paraId="0CE4D35D" w14:textId="0F5CB999" w:rsidR="00F618F8" w:rsidRPr="00DA352E" w:rsidRDefault="00F618F8" w:rsidP="003365A5">
            <w:pPr>
              <w:pStyle w:val="Tabletextprimarysource"/>
            </w:pPr>
          </w:p>
        </w:tc>
      </w:tr>
      <w:tr w:rsidR="00C978F0" w:rsidRPr="00DA352E" w14:paraId="174F8B79" w14:textId="77777777" w:rsidTr="00DC615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736EE51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8642A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8642A">
                  <w:t>MAK: 0.3 mg/m</w:t>
                </w:r>
                <w:r w:rsidR="0028642A">
                  <w:rPr>
                    <w:vertAlign w:val="superscript"/>
                  </w:rPr>
                  <w:t>3</w:t>
                </w:r>
                <w:r w:rsidR="0028642A">
                  <w:t xml:space="preserve"> </w:t>
                </w:r>
                <w:r w:rsidR="006D576A">
                  <w:rPr>
                    <w:rFonts w:cs="Arial"/>
                  </w:rPr>
                  <w:t>×</w:t>
                </w:r>
                <w:r w:rsidR="00B450C1">
                  <w:t xml:space="preserve"> material density </w:t>
                </w:r>
                <w:r w:rsidR="0028642A">
                  <w:t>(inhalable fraction)</w:t>
                </w:r>
              </w:sdtContent>
            </w:sdt>
          </w:p>
        </w:tc>
      </w:tr>
      <w:tr w:rsidR="00C978F0" w:rsidRPr="00DA352E" w14:paraId="4433014F" w14:textId="77777777" w:rsidTr="00DC6150">
        <w:trPr>
          <w:gridAfter w:val="1"/>
          <w:wAfter w:w="8" w:type="pct"/>
        </w:trPr>
        <w:tc>
          <w:tcPr>
            <w:tcW w:w="4992" w:type="pct"/>
          </w:tcPr>
          <w:p w14:paraId="021432BB" w14:textId="72F810C5" w:rsidR="00CB5B24" w:rsidRDefault="00CB5B24" w:rsidP="003365A5">
            <w:pPr>
              <w:pStyle w:val="Tabletextprimarysource"/>
            </w:pPr>
            <w:r>
              <w:t>Summary of additional information:</w:t>
            </w:r>
          </w:p>
          <w:p w14:paraId="148B258D" w14:textId="1F2AF77D" w:rsidR="00C33008" w:rsidRDefault="0083685B" w:rsidP="002942FD">
            <w:pPr>
              <w:pStyle w:val="Tabletextprimarysource"/>
            </w:pPr>
            <w:r>
              <w:t xml:space="preserve">Previous carcinogenicity </w:t>
            </w:r>
            <w:r w:rsidR="00CB5B24">
              <w:t xml:space="preserve">classification of 3A withdrawn </w:t>
            </w:r>
            <w:r w:rsidR="002727A0">
              <w:t xml:space="preserve">and </w:t>
            </w:r>
            <w:r w:rsidR="00BC7B1D">
              <w:t xml:space="preserve">category 4 notation recommended </w:t>
            </w:r>
            <w:r w:rsidR="00CB5B24">
              <w:t xml:space="preserve">because threshold for inflammatory carcinogenic mechanism of action has been established. </w:t>
            </w:r>
          </w:p>
          <w:p w14:paraId="364C0065" w14:textId="77777777" w:rsidR="002C6E58" w:rsidRDefault="002C6E58" w:rsidP="002C6E58">
            <w:pPr>
              <w:pStyle w:val="Tabletextprimarysource"/>
            </w:pPr>
            <w:r>
              <w:t>Skin notation not warranted due to lack of evidence for dermal absorption.</w:t>
            </w:r>
          </w:p>
          <w:p w14:paraId="1CB7FFAE" w14:textId="77777777" w:rsidR="002C6E58" w:rsidRDefault="002C6E58" w:rsidP="002C6E58">
            <w:pPr>
              <w:pStyle w:val="Tabletextprimarysource"/>
            </w:pPr>
            <w:r>
              <w:t>No evidence for sensitising potential in humans or animals.</w:t>
            </w:r>
          </w:p>
          <w:p w14:paraId="6020CAD3" w14:textId="0ADBE9D6" w:rsidR="00BC7B1D" w:rsidRDefault="004E3A81" w:rsidP="002942FD">
            <w:pPr>
              <w:pStyle w:val="Tabletextprimarysource"/>
            </w:pPr>
            <w:r>
              <w:t xml:space="preserve">MAK derived from general recommendation for granular </w:t>
            </w:r>
            <w:proofErr w:type="spellStart"/>
            <w:r>
              <w:t>biopersistent</w:t>
            </w:r>
            <w:proofErr w:type="spellEnd"/>
            <w:r>
              <w:t xml:space="preserve"> dust. </w:t>
            </w:r>
            <w:r w:rsidR="00BC7B1D">
              <w:t xml:space="preserve">From </w:t>
            </w:r>
            <w:r w:rsidR="00BC7B1D" w:rsidRPr="006948C8">
              <w:rPr>
                <w:i/>
              </w:rPr>
              <w:t xml:space="preserve">MAK documentation for granular </w:t>
            </w:r>
            <w:proofErr w:type="spellStart"/>
            <w:r w:rsidR="00BC7B1D" w:rsidRPr="006948C8">
              <w:rPr>
                <w:i/>
              </w:rPr>
              <w:t>biopersistent</w:t>
            </w:r>
            <w:proofErr w:type="spellEnd"/>
            <w:r w:rsidR="00BC7B1D" w:rsidRPr="006948C8">
              <w:rPr>
                <w:i/>
              </w:rPr>
              <w:t xml:space="preserve"> dust</w:t>
            </w:r>
            <w:r w:rsidR="00BC7B1D">
              <w:t xml:space="preserve"> (</w:t>
            </w:r>
            <w:r w:rsidR="00BD1FB6">
              <w:t xml:space="preserve">DFG, </w:t>
            </w:r>
            <w:r w:rsidR="00BC7B1D">
              <w:t>2012):</w:t>
            </w:r>
          </w:p>
          <w:p w14:paraId="524B1C12" w14:textId="62FC128F" w:rsidR="003E4782" w:rsidRPr="006B1DA2" w:rsidRDefault="00274653" w:rsidP="002942FD">
            <w:pPr>
              <w:pStyle w:val="Tabletextprimarysource"/>
            </w:pPr>
            <w:r>
              <w:t>M</w:t>
            </w:r>
            <w:r w:rsidR="00D67743">
              <w:t>odel calculations account</w:t>
            </w:r>
            <w:r w:rsidR="0012343E">
              <w:t>ed</w:t>
            </w:r>
            <w:r w:rsidR="00D67743">
              <w:t xml:space="preserve"> for lung clearance mechanisms </w:t>
            </w:r>
            <w:r>
              <w:t xml:space="preserve">and </w:t>
            </w:r>
            <w:r w:rsidR="00075E07">
              <w:t>orinasal</w:t>
            </w:r>
            <w:r>
              <w:t xml:space="preserve"> inhalation in humans compared to nasal inhalation in </w:t>
            </w:r>
            <w:r w:rsidR="002C6E58">
              <w:t>rodents</w:t>
            </w:r>
            <w:r w:rsidR="0012343E">
              <w:t>.</w:t>
            </w:r>
            <w:r>
              <w:t xml:space="preserve"> </w:t>
            </w:r>
            <w:r w:rsidR="0012343E">
              <w:t xml:space="preserve">These calculations </w:t>
            </w:r>
            <w:r>
              <w:t xml:space="preserve">used </w:t>
            </w:r>
            <w:r w:rsidR="00B41562">
              <w:t>the dose-response relationships interpreted from</w:t>
            </w:r>
            <w:r>
              <w:t xml:space="preserve"> several sub</w:t>
            </w:r>
            <w:r w:rsidR="0012343E">
              <w:t>-</w:t>
            </w:r>
            <w:r>
              <w:t xml:space="preserve">chronic inhalation studies with </w:t>
            </w:r>
            <w:r w:rsidR="002C6E58">
              <w:t xml:space="preserve">rodents exposed to </w:t>
            </w:r>
            <w:r>
              <w:t xml:space="preserve">granular </w:t>
            </w:r>
            <w:proofErr w:type="spellStart"/>
            <w:r>
              <w:t>biopersistent</w:t>
            </w:r>
            <w:proofErr w:type="spellEnd"/>
            <w:r>
              <w:t xml:space="preserve"> dusts</w:t>
            </w:r>
            <w:r w:rsidR="002C6E58">
              <w:t xml:space="preserve"> (GBD)</w:t>
            </w:r>
            <w:r>
              <w:t xml:space="preserve"> including TiO</w:t>
            </w:r>
            <w:r>
              <w:rPr>
                <w:vertAlign w:val="subscript"/>
              </w:rPr>
              <w:t>2</w:t>
            </w:r>
            <w:r w:rsidR="0012343E">
              <w:t xml:space="preserve"> and </w:t>
            </w:r>
            <w:r>
              <w:t>determine</w:t>
            </w:r>
            <w:r w:rsidR="0012343E">
              <w:t>d</w:t>
            </w:r>
            <w:r>
              <w:t xml:space="preserve"> a human equivalent concentration (HEC) of </w:t>
            </w:r>
            <w:r w:rsidR="00954710">
              <w:t xml:space="preserve">a </w:t>
            </w:r>
            <w:r>
              <w:t xml:space="preserve">NOAEC </w:t>
            </w:r>
            <w:r w:rsidR="00B41562">
              <w:rPr>
                <w:rFonts w:cs="Arial"/>
              </w:rPr>
              <w:t>≈</w:t>
            </w:r>
            <w:r w:rsidR="00B41562">
              <w:t>0.5 mg/m</w:t>
            </w:r>
            <w:r w:rsidR="00B41562">
              <w:rPr>
                <w:vertAlign w:val="superscript"/>
              </w:rPr>
              <w:t>3</w:t>
            </w:r>
            <w:r w:rsidR="0012343E">
              <w:t>.</w:t>
            </w:r>
            <w:r>
              <w:t xml:space="preserve"> </w:t>
            </w:r>
            <w:r w:rsidR="00954710">
              <w:t xml:space="preserve">It was difficult to select a NOAEC depending on the dose groups and substances tested in some </w:t>
            </w:r>
            <w:r>
              <w:t xml:space="preserve">of these studies. The resultant HEC from 3 separate model calculations </w:t>
            </w:r>
            <w:r w:rsidR="002C6E58">
              <w:t xml:space="preserve">of different GBD </w:t>
            </w:r>
            <w:r>
              <w:t xml:space="preserve">are </w:t>
            </w:r>
            <w:r w:rsidR="00BD1FB6">
              <w:t>0.11, 0.25</w:t>
            </w:r>
            <w:r w:rsidR="00D967A6">
              <w:t xml:space="preserve"> and</w:t>
            </w:r>
            <w:r w:rsidR="00BD1FB6">
              <w:t xml:space="preserve"> 0.5 mg/m</w:t>
            </w:r>
            <w:r w:rsidR="00BD1FB6">
              <w:rPr>
                <w:vertAlign w:val="superscript"/>
              </w:rPr>
              <w:t>3</w:t>
            </w:r>
            <w:r w:rsidR="002C6E58">
              <w:t xml:space="preserve"> </w:t>
            </w:r>
            <w:r w:rsidR="002C6E58" w:rsidRPr="006B1DA2">
              <w:t>assuming</w:t>
            </w:r>
            <w:r w:rsidR="002C6E58">
              <w:t xml:space="preserve"> a </w:t>
            </w:r>
            <w:r w:rsidR="00B72F39">
              <w:t xml:space="preserve">specific </w:t>
            </w:r>
            <w:r w:rsidR="002C6E58">
              <w:t>density of 1 g/cm</w:t>
            </w:r>
            <w:r w:rsidR="002C6E58">
              <w:rPr>
                <w:vertAlign w:val="superscript"/>
              </w:rPr>
              <w:t>3</w:t>
            </w:r>
            <w:r w:rsidR="00BD1FB6">
              <w:t xml:space="preserve">. </w:t>
            </w:r>
            <w:r>
              <w:t>The a</w:t>
            </w:r>
            <w:r w:rsidR="00BD1FB6">
              <w:t>verage of these calculated values</w:t>
            </w:r>
            <w:r w:rsidR="002C6E58">
              <w:t xml:space="preserve"> is 0.3 mg/m</w:t>
            </w:r>
            <w:r w:rsidR="002C6E58">
              <w:rPr>
                <w:vertAlign w:val="superscript"/>
              </w:rPr>
              <w:t>3</w:t>
            </w:r>
            <w:r w:rsidR="002C6E58">
              <w:t xml:space="preserve"> and is</w:t>
            </w:r>
            <w:r w:rsidR="00BD1FB6">
              <w:t xml:space="preserve"> recommended as the </w:t>
            </w:r>
            <w:r w:rsidR="002C6E58">
              <w:t xml:space="preserve">general </w:t>
            </w:r>
            <w:r w:rsidR="00BD1FB6">
              <w:t xml:space="preserve">MAK for </w:t>
            </w:r>
            <w:r w:rsidR="002C6E58">
              <w:t xml:space="preserve">GBD, which should be multiplied by the </w:t>
            </w:r>
            <w:r w:rsidR="00B72F39">
              <w:t>specific</w:t>
            </w:r>
            <w:r w:rsidR="002C6E58">
              <w:t xml:space="preserve"> density of the dust material</w:t>
            </w:r>
            <w:r w:rsidR="003623A3" w:rsidRPr="003623A3">
              <w:t>.</w:t>
            </w:r>
            <w:r w:rsidR="00BD1FB6">
              <w:t xml:space="preserve"> For TiO</w:t>
            </w:r>
            <w:r w:rsidR="00BD1FB6">
              <w:rPr>
                <w:vertAlign w:val="subscript"/>
              </w:rPr>
              <w:t>2</w:t>
            </w:r>
            <w:r w:rsidR="00BD1FB6">
              <w:t>, a MAK of 1</w:t>
            </w:r>
            <w:r w:rsidR="0012343E">
              <w:t> </w:t>
            </w:r>
            <w:r w:rsidR="00BD1FB6">
              <w:t>mg/m</w:t>
            </w:r>
            <w:r w:rsidR="00BD1FB6">
              <w:rPr>
                <w:vertAlign w:val="superscript"/>
              </w:rPr>
              <w:t>3</w:t>
            </w:r>
            <w:r w:rsidR="00BD1FB6">
              <w:t xml:space="preserve"> </w:t>
            </w:r>
            <w:r w:rsidR="00D67743">
              <w:t xml:space="preserve">is recommended based on the </w:t>
            </w:r>
            <w:r w:rsidR="00B72F39">
              <w:t xml:space="preserve">specific </w:t>
            </w:r>
            <w:r w:rsidR="00D67743">
              <w:t>density of 3.9–4.3 g/cm</w:t>
            </w:r>
            <w:r w:rsidR="00D67743">
              <w:rPr>
                <w:vertAlign w:val="superscript"/>
              </w:rPr>
              <w:t>3</w:t>
            </w:r>
            <w:r w:rsidR="00D67743">
              <w:t>.</w:t>
            </w:r>
          </w:p>
          <w:p w14:paraId="33CB39CF" w14:textId="575889E8" w:rsidR="00CB5B24" w:rsidRDefault="00CB5B24" w:rsidP="003365A5">
            <w:pPr>
              <w:pStyle w:val="Tabletextprimarysource"/>
            </w:pPr>
            <w:r>
              <w:t>Human data:</w:t>
            </w:r>
          </w:p>
          <w:p w14:paraId="760FAC71" w14:textId="1D9B1098" w:rsidR="00C33008" w:rsidRDefault="00CB5B24" w:rsidP="00CB5B2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clinical evidence for </w:t>
            </w:r>
            <w:r w:rsidR="00614820">
              <w:t>contact dermatitis or respiratory sensitisation</w:t>
            </w:r>
            <w:r w:rsidR="00EE1FC7">
              <w:t>:</w:t>
            </w:r>
            <w:r w:rsidR="0068007C">
              <w:t xml:space="preserve"> </w:t>
            </w:r>
          </w:p>
          <w:p w14:paraId="17377F6C" w14:textId="68E52E74" w:rsidR="00C33008" w:rsidRDefault="0068007C" w:rsidP="00C33008">
            <w:pPr>
              <w:pStyle w:val="Tabletextprimarysource"/>
              <w:numPr>
                <w:ilvl w:val="0"/>
                <w:numId w:val="5"/>
              </w:numPr>
            </w:pPr>
            <w:r>
              <w:t xml:space="preserve">0.1% formulations in petrolatum used to test allergic response to </w:t>
            </w:r>
            <w:proofErr w:type="spellStart"/>
            <w:r w:rsidR="00C33008">
              <w:t>Ti</w:t>
            </w:r>
            <w:proofErr w:type="spellEnd"/>
            <w:r w:rsidR="00C33008">
              <w:t xml:space="preserve"> </w:t>
            </w:r>
            <w:r>
              <w:t xml:space="preserve">with isolated positive dermal sensitisation; </w:t>
            </w:r>
          </w:p>
          <w:p w14:paraId="783C9753" w14:textId="3DE50D2E" w:rsidR="00CB5B24" w:rsidRDefault="0068007C" w:rsidP="00B620F2">
            <w:pPr>
              <w:pStyle w:val="Tabletextprimarysource"/>
              <w:numPr>
                <w:ilvl w:val="0"/>
                <w:numId w:val="5"/>
              </w:numPr>
            </w:pPr>
            <w:r>
              <w:t xml:space="preserve">agency </w:t>
            </w:r>
            <w:r w:rsidR="005B7D22">
              <w:t>questions</w:t>
            </w:r>
            <w:r>
              <w:t xml:space="preserve"> reliability </w:t>
            </w:r>
            <w:r w:rsidR="005B7D22">
              <w:t>of these data in view of the extremely low solubility of the substance</w:t>
            </w:r>
          </w:p>
          <w:p w14:paraId="22668724" w14:textId="7AAF6F2E" w:rsidR="00614820" w:rsidRDefault="0068007C" w:rsidP="00CB5B2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 in blood pressure and decrease in pulmonary function in case study of production workers (average age: 36.57, average employment duration 8.64 </w:t>
            </w:r>
            <w:proofErr w:type="spellStart"/>
            <w:r>
              <w:t>yr</w:t>
            </w:r>
            <w:proofErr w:type="spellEnd"/>
            <w:r>
              <w:t>, no details on exposure concentration</w:t>
            </w:r>
            <w:r w:rsidR="0087460A">
              <w:t>s</w:t>
            </w:r>
            <w:r>
              <w:t>)</w:t>
            </w:r>
          </w:p>
          <w:p w14:paraId="22A2555D" w14:textId="60D86285" w:rsidR="006A3D7A" w:rsidRDefault="0068007C" w:rsidP="006A3D7A">
            <w:pPr>
              <w:pStyle w:val="Tabletextprimarysource"/>
              <w:numPr>
                <w:ilvl w:val="0"/>
                <w:numId w:val="1"/>
              </w:numPr>
            </w:pPr>
            <w:r>
              <w:t>No overall positive association between occupational exposure and cancer deaths</w:t>
            </w:r>
            <w:r w:rsidR="00D967A6">
              <w:t xml:space="preserve"> and</w:t>
            </w:r>
            <w:r>
              <w:t xml:space="preserve"> non-malignant respiratory or heart disease based on </w:t>
            </w:r>
            <w:r w:rsidR="00C33008">
              <w:t>SMR</w:t>
            </w:r>
            <w:r>
              <w:t xml:space="preserve"> in epidemiological study of production workers at 3 facilities (n=5,054, average age: 31)</w:t>
            </w:r>
            <w:r w:rsidR="00392DE5">
              <w:t>.</w:t>
            </w:r>
          </w:p>
          <w:p w14:paraId="2936A367" w14:textId="3749391D" w:rsidR="006A3D7A" w:rsidRDefault="006A3D7A" w:rsidP="006A3D7A">
            <w:pPr>
              <w:pStyle w:val="Tabletextprimarysource"/>
            </w:pPr>
            <w:r>
              <w:t>Animal data:</w:t>
            </w:r>
          </w:p>
          <w:p w14:paraId="3B7BB70F" w14:textId="15FF0ACF" w:rsidR="006A3D7A" w:rsidRDefault="006A3D7A" w:rsidP="006A3D7A">
            <w:pPr>
              <w:pStyle w:val="Tabletextprimarysource"/>
              <w:numPr>
                <w:ilvl w:val="0"/>
                <w:numId w:val="1"/>
              </w:numPr>
            </w:pPr>
            <w:r>
              <w:t>Transient white foci and alveolar emphysema at 25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C33008">
              <w:t>TiO</w:t>
            </w:r>
            <w:r w:rsidR="00C33008" w:rsidRPr="00192E2E">
              <w:rPr>
                <w:vertAlign w:val="subscript"/>
              </w:rPr>
              <w:t>2</w:t>
            </w:r>
            <w:r>
              <w:t xml:space="preserve"> nanoparticles or 45 mg/m</w:t>
            </w:r>
            <w:r>
              <w:rPr>
                <w:vertAlign w:val="superscript"/>
              </w:rPr>
              <w:t>3</w:t>
            </w:r>
            <w:r>
              <w:t xml:space="preserve"> fine particles (comparable surface areas) in repeat inhalation study (rats, 6 h/d, 21 d)</w:t>
            </w:r>
          </w:p>
          <w:p w14:paraId="17A6C416" w14:textId="726444FA" w:rsidR="00241F4E" w:rsidRDefault="006A3D7A" w:rsidP="00241F4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Negative sensitisation in local lymph node assay </w:t>
            </w:r>
            <w:r w:rsidR="00CA1545">
              <w:t xml:space="preserve">(LLNA) </w:t>
            </w:r>
            <w:r w:rsidR="00C474C4">
              <w:t>with 2.5–10% formulations in olive oil/acetone</w:t>
            </w:r>
          </w:p>
          <w:p w14:paraId="4A0F1061" w14:textId="05BE7D3D" w:rsidR="00F511C0" w:rsidRDefault="00C474C4" w:rsidP="006A3D7A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Agency concludes substance is non-mutagenic </w:t>
            </w:r>
            <w:r>
              <w:rPr>
                <w:i/>
              </w:rPr>
              <w:t>in vitro</w:t>
            </w:r>
            <w:r w:rsidRPr="00C474C4">
              <w:t xml:space="preserve"> </w:t>
            </w:r>
            <w:r>
              <w:t>based on overall negative results of several genotoxicity assays</w:t>
            </w:r>
            <w:r w:rsidR="00AF776F">
              <w:t>.</w:t>
            </w:r>
          </w:p>
          <w:p w14:paraId="4A54FA77" w14:textId="77777777" w:rsidR="00F511C0" w:rsidRDefault="00F511C0" w:rsidP="00F511C0">
            <w:pPr>
              <w:pStyle w:val="Tabletextprimarysource"/>
            </w:pPr>
            <w:r>
              <w:t xml:space="preserve">From </w:t>
            </w:r>
            <w:r w:rsidRPr="00170952">
              <w:rPr>
                <w:i/>
              </w:rPr>
              <w:t xml:space="preserve">MAK documentation for granular </w:t>
            </w:r>
            <w:proofErr w:type="spellStart"/>
            <w:r w:rsidRPr="00170952">
              <w:rPr>
                <w:i/>
              </w:rPr>
              <w:t>biopersistent</w:t>
            </w:r>
            <w:proofErr w:type="spellEnd"/>
            <w:r w:rsidRPr="00170952">
              <w:rPr>
                <w:i/>
              </w:rPr>
              <w:t xml:space="preserve"> dust</w:t>
            </w:r>
            <w:r>
              <w:t xml:space="preserve"> (DFG, 2012):</w:t>
            </w:r>
          </w:p>
          <w:p w14:paraId="2F67DAB1" w14:textId="0F20DBB0" w:rsidR="00F511C0" w:rsidRDefault="00F511C0" w:rsidP="006948C8">
            <w:pPr>
              <w:pStyle w:val="Tabletextprimarysource"/>
              <w:numPr>
                <w:ilvl w:val="0"/>
                <w:numId w:val="1"/>
              </w:numPr>
            </w:pPr>
            <w:r>
              <w:t>Several sub</w:t>
            </w:r>
            <w:r w:rsidR="00EE1FC7">
              <w:t>-</w:t>
            </w:r>
            <w:r>
              <w:t>chronic inhalation studies</w:t>
            </w:r>
            <w:r w:rsidR="00AF776F">
              <w:t xml:space="preserve"> with TiO</w:t>
            </w:r>
            <w:r w:rsidR="00AF776F">
              <w:rPr>
                <w:vertAlign w:val="subscript"/>
              </w:rPr>
              <w:t>2</w:t>
            </w:r>
            <w:r>
              <w:t xml:space="preserve"> </w:t>
            </w:r>
            <w:r w:rsidR="00AF776F">
              <w:t>consistently showed increased inflammatory responses, changes to lung epithelia</w:t>
            </w:r>
            <w:r w:rsidR="00D967A6">
              <w:t xml:space="preserve"> and</w:t>
            </w:r>
            <w:r w:rsidR="00AF776F">
              <w:t xml:space="preserve"> accumulation in the alveoli and terminal bronchioles up to 1 </w:t>
            </w:r>
            <w:proofErr w:type="spellStart"/>
            <w:r w:rsidR="00AF776F">
              <w:t>yr</w:t>
            </w:r>
            <w:proofErr w:type="spellEnd"/>
            <w:r w:rsidR="00AF776F">
              <w:t xml:space="preserve"> after exposure cessation</w:t>
            </w:r>
            <w:r w:rsidR="00EE1FC7">
              <w:t>:</w:t>
            </w:r>
          </w:p>
          <w:p w14:paraId="3D8CE20A" w14:textId="7B60D5E8" w:rsidR="00F511C0" w:rsidRDefault="00771D58" w:rsidP="006948C8">
            <w:pPr>
              <w:pStyle w:val="Tabletextprimarysource"/>
              <w:numPr>
                <w:ilvl w:val="1"/>
                <w:numId w:val="1"/>
              </w:numPr>
            </w:pPr>
            <w:r>
              <w:t>i</w:t>
            </w:r>
            <w:r w:rsidR="00F511C0">
              <w:t>ncreased leukocyte counts and changes in lung epithelium at 10–250 mg/m</w:t>
            </w:r>
            <w:r w:rsidR="00F511C0">
              <w:rPr>
                <w:vertAlign w:val="superscript"/>
              </w:rPr>
              <w:t>3</w:t>
            </w:r>
            <w:r w:rsidR="00F511C0">
              <w:t xml:space="preserve"> of fine TiO</w:t>
            </w:r>
            <w:r w:rsidR="00F511C0">
              <w:rPr>
                <w:vertAlign w:val="subscript"/>
              </w:rPr>
              <w:t>2</w:t>
            </w:r>
            <w:r w:rsidR="00F511C0">
              <w:t xml:space="preserve"> </w:t>
            </w:r>
            <w:r>
              <w:t>or</w:t>
            </w:r>
            <w:r w:rsidR="00F511C0">
              <w:t xml:space="preserve"> 2–10 mg/m</w:t>
            </w:r>
            <w:r w:rsidR="00F511C0">
              <w:rPr>
                <w:vertAlign w:val="superscript"/>
              </w:rPr>
              <w:t>3</w:t>
            </w:r>
            <w:r w:rsidR="00F511C0">
              <w:t xml:space="preserve"> </w:t>
            </w:r>
            <w:r>
              <w:t>of ultrafine TiO</w:t>
            </w:r>
            <w:r>
              <w:rPr>
                <w:vertAlign w:val="subscript"/>
              </w:rPr>
              <w:t>2</w:t>
            </w:r>
            <w:r>
              <w:t>; epithelial hypertrophy and hyperplasia at 250 mg/m</w:t>
            </w:r>
            <w:r>
              <w:rPr>
                <w:vertAlign w:val="superscript"/>
              </w:rPr>
              <w:t>3</w:t>
            </w:r>
            <w:r>
              <w:t xml:space="preserve"> observed at 1-yr follow-up (mice, rats, hamsters, 6 h/d, 5 d/</w:t>
            </w:r>
            <w:proofErr w:type="spellStart"/>
            <w:r>
              <w:t>wk</w:t>
            </w:r>
            <w:proofErr w:type="spellEnd"/>
            <w:r>
              <w:t>, 13 </w:t>
            </w:r>
            <w:proofErr w:type="spellStart"/>
            <w:r>
              <w:t>wk</w:t>
            </w:r>
            <w:proofErr w:type="spellEnd"/>
            <w:r>
              <w:t>); NOAEC</w:t>
            </w:r>
            <w:r w:rsidR="0087460A">
              <w:t xml:space="preserve"> of </w:t>
            </w:r>
            <w:r>
              <w:t>10 mg/</w:t>
            </w:r>
            <w:r w:rsidRPr="006B1DA2">
              <w:t>m</w:t>
            </w:r>
            <w:r w:rsidRPr="006B1DA2">
              <w:rPr>
                <w:vertAlign w:val="superscript"/>
              </w:rPr>
              <w:t>3</w:t>
            </w:r>
            <w:r>
              <w:t xml:space="preserve"> of fine TiO</w:t>
            </w:r>
            <w:r>
              <w:rPr>
                <w:vertAlign w:val="subscript"/>
              </w:rPr>
              <w:t>2</w:t>
            </w:r>
            <w:r>
              <w:t xml:space="preserve"> and 0.5 mg/m</w:t>
            </w:r>
            <w:r>
              <w:rPr>
                <w:vertAlign w:val="superscript"/>
              </w:rPr>
              <w:t>3</w:t>
            </w:r>
            <w:r>
              <w:t xml:space="preserve"> of ultrafine TiO</w:t>
            </w:r>
            <w:r>
              <w:rPr>
                <w:vertAlign w:val="subscript"/>
              </w:rPr>
              <w:t>2</w:t>
            </w:r>
          </w:p>
          <w:p w14:paraId="185E7CC3" w14:textId="4CFB1CF1" w:rsidR="00771D58" w:rsidRDefault="00AF776F" w:rsidP="006948C8">
            <w:pPr>
              <w:pStyle w:val="Tabletextprimarysource"/>
              <w:numPr>
                <w:ilvl w:val="1"/>
                <w:numId w:val="1"/>
              </w:numPr>
            </w:pPr>
            <w:r>
              <w:lastRenderedPageBreak/>
              <w:t>n</w:t>
            </w:r>
            <w:r w:rsidR="00771D58">
              <w:t>o NOAEC based on lung clearance levels recorded at exposure cessation determined in separate sub</w:t>
            </w:r>
            <w:r w:rsidR="0087460A">
              <w:t>-</w:t>
            </w:r>
            <w:r w:rsidR="00771D58">
              <w:t>chronic study with exposure groups</w:t>
            </w:r>
            <w:r w:rsidR="0087460A">
              <w:t>0,</w:t>
            </w:r>
            <w:r w:rsidR="00771D58">
              <w:t xml:space="preserve"> 0.5, 2</w:t>
            </w:r>
            <w:r w:rsidR="00D967A6">
              <w:t xml:space="preserve"> and</w:t>
            </w:r>
            <w:r w:rsidR="00771D58">
              <w:t xml:space="preserve"> 10 mg/m</w:t>
            </w:r>
            <w:r w:rsidR="00771D58">
              <w:rPr>
                <w:vertAlign w:val="superscript"/>
              </w:rPr>
              <w:t>3</w:t>
            </w:r>
            <w:r w:rsidR="00771D58">
              <w:t xml:space="preserve"> ultrafine TiO</w:t>
            </w:r>
            <w:r w:rsidR="00771D58">
              <w:rPr>
                <w:vertAlign w:val="subscript"/>
              </w:rPr>
              <w:t>2</w:t>
            </w:r>
            <w:r w:rsidR="00771D58">
              <w:t xml:space="preserve"> (rats, mice, hamsters, 6 h/d, 5 d/</w:t>
            </w:r>
            <w:proofErr w:type="spellStart"/>
            <w:r w:rsidR="00771D58">
              <w:t>wk</w:t>
            </w:r>
            <w:proofErr w:type="spellEnd"/>
            <w:r w:rsidR="00771D58">
              <w:t xml:space="preserve">, 13 </w:t>
            </w:r>
            <w:proofErr w:type="spellStart"/>
            <w:r w:rsidR="00771D58">
              <w:t>wk</w:t>
            </w:r>
            <w:proofErr w:type="spellEnd"/>
            <w:r w:rsidR="00771D58">
              <w:t>)</w:t>
            </w:r>
          </w:p>
          <w:p w14:paraId="527BFB4E" w14:textId="58922689" w:rsidR="00771D58" w:rsidRDefault="00AF776F" w:rsidP="006948C8">
            <w:pPr>
              <w:pStyle w:val="Tabletextprimarysource"/>
              <w:numPr>
                <w:ilvl w:val="2"/>
                <w:numId w:val="1"/>
              </w:numPr>
            </w:pPr>
            <w:r>
              <w:t>based on evidence for increased proliferation in terminal bronchioles and alveoli observed during 1-yr follow-up, NOAEC</w:t>
            </w:r>
            <w:r w:rsidR="0087460A">
              <w:t xml:space="preserve"> of </w:t>
            </w:r>
            <w:r>
              <w:t>0.5 mg/m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14:paraId="61A64F09" w14:textId="6B24912E" w:rsidR="00C33008" w:rsidRPr="00DA352E" w:rsidRDefault="00C33008" w:rsidP="006948C8">
            <w:pPr>
              <w:pStyle w:val="Tabletextprimarysource"/>
              <w:ind w:left="1440"/>
            </w:pPr>
          </w:p>
        </w:tc>
      </w:tr>
      <w:tr w:rsidR="00C978F0" w:rsidRPr="00DA352E" w14:paraId="0E6A0B2C" w14:textId="77777777" w:rsidTr="00DC615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1DB2447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8642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8642A">
                  <w:t>NA</w:t>
                </w:r>
              </w:sdtContent>
            </w:sdt>
          </w:p>
        </w:tc>
      </w:tr>
      <w:tr w:rsidR="00C978F0" w:rsidRPr="00DA352E" w14:paraId="2008D281" w14:textId="77777777" w:rsidTr="00DC6150">
        <w:trPr>
          <w:gridAfter w:val="1"/>
          <w:wAfter w:w="8" w:type="pct"/>
        </w:trPr>
        <w:tc>
          <w:tcPr>
            <w:tcW w:w="4992" w:type="pct"/>
          </w:tcPr>
          <w:p w14:paraId="153B53C1" w14:textId="69104763" w:rsidR="00C978F0" w:rsidRPr="00DA352E" w:rsidRDefault="0028642A" w:rsidP="003365A5">
            <w:pPr>
              <w:pStyle w:val="Tabletextprimarysource"/>
            </w:pPr>
            <w:r>
              <w:t>No report</w:t>
            </w:r>
            <w:r w:rsidR="00392DE5">
              <w:t>.</w:t>
            </w:r>
          </w:p>
        </w:tc>
      </w:tr>
      <w:tr w:rsidR="00DA352E" w:rsidRPr="00DA352E" w14:paraId="12BAB90D" w14:textId="77777777" w:rsidTr="00DC615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676F320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8642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28642A">
                  <w:t>NA</w:t>
                </w:r>
              </w:sdtContent>
            </w:sdt>
          </w:p>
        </w:tc>
      </w:tr>
      <w:tr w:rsidR="00DA352E" w:rsidRPr="00DA352E" w14:paraId="33AAF4A6" w14:textId="77777777" w:rsidTr="00DC6150">
        <w:trPr>
          <w:gridAfter w:val="1"/>
          <w:wAfter w:w="8" w:type="pct"/>
        </w:trPr>
        <w:tc>
          <w:tcPr>
            <w:tcW w:w="4992" w:type="pct"/>
          </w:tcPr>
          <w:p w14:paraId="2059E4CB" w14:textId="308F867E" w:rsidR="00DA352E" w:rsidRPr="00DA352E" w:rsidRDefault="0028642A" w:rsidP="003365A5">
            <w:pPr>
              <w:pStyle w:val="Tabletextprimarysource"/>
            </w:pPr>
            <w:r>
              <w:t>No report</w:t>
            </w:r>
            <w:r w:rsidR="00392DE5">
              <w:t>.</w:t>
            </w:r>
          </w:p>
        </w:tc>
      </w:tr>
      <w:tr w:rsidR="00DA352E" w:rsidRPr="00DA352E" w14:paraId="605F758C" w14:textId="77777777" w:rsidTr="00DC615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7AB6682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8642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8642A">
                  <w:t>NA</w:t>
                </w:r>
              </w:sdtContent>
            </w:sdt>
          </w:p>
        </w:tc>
      </w:tr>
      <w:tr w:rsidR="00DA352E" w:rsidRPr="00DA352E" w14:paraId="7050CB3E" w14:textId="77777777" w:rsidTr="00DC6150">
        <w:trPr>
          <w:gridAfter w:val="1"/>
          <w:wAfter w:w="8" w:type="pct"/>
        </w:trPr>
        <w:tc>
          <w:tcPr>
            <w:tcW w:w="4992" w:type="pct"/>
          </w:tcPr>
          <w:p w14:paraId="492D7791" w14:textId="0D276E56" w:rsidR="00DA352E" w:rsidRPr="00DA352E" w:rsidRDefault="0028642A" w:rsidP="003365A5">
            <w:pPr>
              <w:pStyle w:val="Tabletextprimarysource"/>
            </w:pPr>
            <w:r>
              <w:t>No report</w:t>
            </w:r>
            <w:r w:rsidR="00392DE5">
              <w:t>.</w:t>
            </w:r>
          </w:p>
        </w:tc>
      </w:tr>
    </w:tbl>
    <w:p w14:paraId="6691F3FF" w14:textId="77777777" w:rsidR="00A20751" w:rsidRPr="004C23F4" w:rsidRDefault="00A20751" w:rsidP="00392DE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6"/>
        <w:gridCol w:w="421"/>
        <w:gridCol w:w="661"/>
        <w:gridCol w:w="6458"/>
      </w:tblGrid>
      <w:tr w:rsidR="004966BF" w:rsidRPr="00263255" w14:paraId="6AE89AB3" w14:textId="77777777" w:rsidTr="00DC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3E4782">
            <w:pPr>
              <w:pStyle w:val="Tableheader"/>
              <w:keepNext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3E4782">
            <w:pPr>
              <w:pStyle w:val="Tableheader"/>
              <w:keepNext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3E4782">
            <w:pPr>
              <w:pStyle w:val="Tableheader"/>
              <w:keepNext/>
            </w:pPr>
            <w:r>
              <w:t>Year</w:t>
            </w:r>
          </w:p>
        </w:tc>
        <w:tc>
          <w:tcPr>
            <w:tcW w:w="6458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3E4782">
            <w:pPr>
              <w:pStyle w:val="Tableheader"/>
              <w:keepNext/>
            </w:pPr>
            <w:r>
              <w:t>Additional information</w:t>
            </w:r>
          </w:p>
        </w:tc>
      </w:tr>
      <w:tr w:rsidR="004966BF" w:rsidRPr="004C23F4" w14:paraId="67214C13" w14:textId="77777777" w:rsidTr="00DC6150">
        <w:tc>
          <w:tcPr>
            <w:tcW w:w="1486" w:type="dxa"/>
          </w:tcPr>
          <w:p w14:paraId="4B3B2A83" w14:textId="77777777" w:rsidR="004966BF" w:rsidRPr="004C23F4" w:rsidRDefault="004966BF" w:rsidP="003E4782">
            <w:pPr>
              <w:pStyle w:val="Tablefont"/>
              <w:keepNext/>
            </w:pPr>
            <w:r>
              <w:t>NICNAS</w:t>
            </w:r>
          </w:p>
        </w:tc>
        <w:tc>
          <w:tcPr>
            <w:tcW w:w="421" w:type="dxa"/>
          </w:tcPr>
          <w:p w14:paraId="37DAB09E" w14:textId="36BD47C4" w:rsidR="004966BF" w:rsidRPr="00CE617F" w:rsidRDefault="00DC6150" w:rsidP="003E4782">
            <w:pPr>
              <w:keepNext/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A154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09E9BDA8" w:rsidR="004966BF" w:rsidRPr="004C23F4" w:rsidRDefault="00CA1545" w:rsidP="003E4782">
            <w:pPr>
              <w:pStyle w:val="Tablefont"/>
              <w:keepNext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8" w:type="dxa"/>
          </w:tcPr>
          <w:p w14:paraId="2CBB56A4" w14:textId="0A502BDD" w:rsidR="004966BF" w:rsidRDefault="00C474C4" w:rsidP="003E4782">
            <w:pPr>
              <w:pStyle w:val="Tablefont"/>
              <w:keepNext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Substance does not penetrate skin, no dermal toxicity expected</w:t>
            </w:r>
          </w:p>
          <w:p w14:paraId="2AC98FE0" w14:textId="34182E6D" w:rsidR="00C474C4" w:rsidRDefault="00CA1545" w:rsidP="003E4782">
            <w:pPr>
              <w:pStyle w:val="Tablefont"/>
              <w:keepNext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LC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E0611C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&gt;3,430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(rats, 4 h); no signs of toxicity, mottled and pale lungs observed at necropsy</w:t>
            </w:r>
          </w:p>
          <w:p w14:paraId="76147989" w14:textId="2586A14F" w:rsidR="00CA1545" w:rsidRDefault="00CA1545" w:rsidP="003E4782">
            <w:pPr>
              <w:pStyle w:val="Tablefont"/>
              <w:keepNext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expected to be irritating to eyes and skin (rabbits)</w:t>
            </w:r>
          </w:p>
          <w:p w14:paraId="38E70F6B" w14:textId="40AF7B8D" w:rsidR="00CA1545" w:rsidRDefault="00CA1545" w:rsidP="003E4782">
            <w:pPr>
              <w:pStyle w:val="Tablefont"/>
              <w:keepNext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May potentiate respiratory sensitivity to allergens, but available data insufficient to warrant classification</w:t>
            </w:r>
          </w:p>
          <w:p w14:paraId="423D7CC5" w14:textId="2334098E" w:rsidR="00B620F2" w:rsidRDefault="00CA1545" w:rsidP="003E4782">
            <w:pPr>
              <w:pStyle w:val="Tablefont"/>
              <w:keepNext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Non-sensitising to skin based on negative results of 2 OECD-compliant sensitisation tests (guinea pigs) and LLNA test (also cited by DFG, 2019)</w:t>
            </w:r>
            <w:r w:rsidR="00EE1FC7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  <w:p w14:paraId="4750788F" w14:textId="2CA49D91" w:rsidR="00CA1545" w:rsidRDefault="00CA1545" w:rsidP="00B620F2">
            <w:pPr>
              <w:pStyle w:val="Tablefont"/>
              <w:keepNext/>
              <w:numPr>
                <w:ilvl w:val="0"/>
                <w:numId w:val="6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consistent with lack of reports of dermal sensitisation in humans exposed through topical sunscreen</w:t>
            </w:r>
          </w:p>
          <w:p w14:paraId="0076C2F1" w14:textId="3CC0958F" w:rsidR="00C474C4" w:rsidRPr="004C23F4" w:rsidRDefault="00CA1545" w:rsidP="003E4782">
            <w:pPr>
              <w:pStyle w:val="Tablefont"/>
              <w:keepNext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Weight of evidence from </w:t>
            </w:r>
            <w:r>
              <w:rPr>
                <w:rStyle w:val="checkbox"/>
                <w:rFonts w:ascii="Arial" w:hAnsi="Arial" w:cs="Arial"/>
                <w:i/>
              </w:rPr>
              <w:t>in vitro</w:t>
            </w:r>
            <w:r>
              <w:rPr>
                <w:rStyle w:val="checkbox"/>
                <w:rFonts w:ascii="Arial" w:hAnsi="Arial" w:cs="Arial"/>
              </w:rPr>
              <w:t xml:space="preserve"> and </w:t>
            </w:r>
            <w:r>
              <w:rPr>
                <w:rStyle w:val="checkbox"/>
                <w:rFonts w:ascii="Arial" w:hAnsi="Arial" w:cs="Arial"/>
                <w:i/>
              </w:rPr>
              <w:t>in vivo</w:t>
            </w:r>
            <w:r>
              <w:rPr>
                <w:rStyle w:val="checkbox"/>
                <w:rFonts w:ascii="Arial" w:hAnsi="Arial" w:cs="Arial"/>
              </w:rPr>
              <w:t xml:space="preserve"> genotoxicity assays suggests substance is non-genotoxic</w:t>
            </w:r>
            <w:r w:rsidR="00392DE5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04FEEADE" w14:textId="77777777" w:rsidTr="00DC6150">
        <w:trPr>
          <w:cantSplit/>
        </w:trPr>
        <w:tc>
          <w:tcPr>
            <w:tcW w:w="1486" w:type="dxa"/>
          </w:tcPr>
          <w:p w14:paraId="0AEF458D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1" w:type="dxa"/>
          </w:tcPr>
          <w:p w14:paraId="184BEF97" w14:textId="7B78EDE9" w:rsidR="004966BF" w:rsidRPr="00CE617F" w:rsidRDefault="00DC615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F3D5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3344A1" w14:textId="79E4DBEA" w:rsidR="004966BF" w:rsidRPr="004C23F4" w:rsidRDefault="003F3D5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2010</w:t>
            </w:r>
          </w:p>
        </w:tc>
        <w:tc>
          <w:tcPr>
            <w:tcW w:w="6458" w:type="dxa"/>
          </w:tcPr>
          <w:p w14:paraId="4B0A7861" w14:textId="7C07F7A6" w:rsidR="00B620F2" w:rsidRDefault="003F3D58" w:rsidP="003F3D5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Weak evidence for increased risk of cancer in humans suggested by limited epidemiological data</w:t>
            </w:r>
            <w:r w:rsidR="00EE1FC7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  <w:p w14:paraId="62D889C7" w14:textId="4EE890DE" w:rsidR="004966BF" w:rsidRDefault="003F3D58" w:rsidP="00B620F2">
            <w:pPr>
              <w:pStyle w:val="Tablefont"/>
              <w:numPr>
                <w:ilvl w:val="0"/>
                <w:numId w:val="6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agency considers this evidence inadequate for classification</w:t>
            </w:r>
          </w:p>
          <w:p w14:paraId="6FD33EBA" w14:textId="58B49E81" w:rsidR="00B620F2" w:rsidRDefault="003F3D58" w:rsidP="003F3D5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Increased </w:t>
            </w:r>
            <w:r w:rsidR="00241F4E">
              <w:rPr>
                <w:rStyle w:val="checkbox"/>
                <w:rFonts w:ascii="Arial" w:hAnsi="Arial" w:cs="Arial"/>
              </w:rPr>
              <w:t xml:space="preserve">lung </w:t>
            </w:r>
            <w:r>
              <w:rPr>
                <w:rStyle w:val="checkbox"/>
                <w:rFonts w:ascii="Arial" w:hAnsi="Arial" w:cs="Arial"/>
              </w:rPr>
              <w:t>tumour incidence in rats, only when exposed by chronic inhalation</w:t>
            </w:r>
            <w:r w:rsidR="00241F4E">
              <w:rPr>
                <w:rStyle w:val="checkbox"/>
                <w:rFonts w:ascii="Arial" w:hAnsi="Arial" w:cs="Arial"/>
              </w:rPr>
              <w:t xml:space="preserve"> or intratracheal instillation</w:t>
            </w:r>
            <w:r w:rsidR="00EE1FC7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  <w:p w14:paraId="1A3F059C" w14:textId="6E5C8E7D" w:rsidR="003F3D58" w:rsidRDefault="003F3D58" w:rsidP="00B620F2">
            <w:pPr>
              <w:pStyle w:val="Tablefont"/>
              <w:numPr>
                <w:ilvl w:val="0"/>
                <w:numId w:val="6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considered </w:t>
            </w:r>
            <w:proofErr w:type="gramStart"/>
            <w:r>
              <w:rPr>
                <w:rStyle w:val="checkbox"/>
                <w:rFonts w:ascii="Arial" w:hAnsi="Arial" w:cs="Arial"/>
              </w:rPr>
              <w:t>sufficient</w:t>
            </w:r>
            <w:proofErr w:type="gramEnd"/>
            <w:r>
              <w:rPr>
                <w:rStyle w:val="checkbox"/>
                <w:rFonts w:ascii="Arial" w:hAnsi="Arial" w:cs="Arial"/>
              </w:rPr>
              <w:t xml:space="preserve"> evidence for carcinogenicity</w:t>
            </w:r>
            <w:r w:rsidR="00241F4E">
              <w:rPr>
                <w:rStyle w:val="checkbox"/>
                <w:rFonts w:ascii="Arial" w:hAnsi="Arial" w:cs="Arial"/>
              </w:rPr>
              <w:t xml:space="preserve"> in animals</w:t>
            </w:r>
          </w:p>
          <w:p w14:paraId="2DDCA6FC" w14:textId="43367141" w:rsidR="003F3D58" w:rsidRPr="004C23F4" w:rsidRDefault="003F3D58" w:rsidP="003F3D5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Overall evaluation: possibly carcinogenic to humans (2B)</w:t>
            </w:r>
            <w:r w:rsidR="00392DE5">
              <w:rPr>
                <w:rStyle w:val="checkbox"/>
                <w:rFonts w:ascii="Arial" w:hAnsi="Arial" w:cs="Arial"/>
              </w:rPr>
              <w:t>.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  <w:tr w:rsidR="004966BF" w:rsidRPr="004C23F4" w14:paraId="61B5CF9D" w14:textId="77777777" w:rsidTr="00DC6150">
        <w:trPr>
          <w:cantSplit/>
        </w:trPr>
        <w:tc>
          <w:tcPr>
            <w:tcW w:w="1486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421" w:type="dxa"/>
          </w:tcPr>
          <w:p w14:paraId="1B271840" w14:textId="5505D4D5" w:rsidR="004966BF" w:rsidRPr="00CE617F" w:rsidRDefault="00DC615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A154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DA2066" w14:textId="68F6C8E1" w:rsidR="004966BF" w:rsidRPr="004C23F4" w:rsidRDefault="00CA154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8" w:type="dxa"/>
          </w:tcPr>
          <w:p w14:paraId="29473018" w14:textId="62D49F09" w:rsidR="006C2778" w:rsidRDefault="006C2778" w:rsidP="006C2778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Rats are more susceptible than other model species and humans to formation of lung tumours caused by particle overload from insoluble low-toxicity particles</w:t>
            </w:r>
            <w:r w:rsidR="00EE1FC7">
              <w:rPr>
                <w:rFonts w:cs="Arial"/>
              </w:rPr>
              <w:t>:</w:t>
            </w:r>
          </w:p>
          <w:p w14:paraId="0697D4B9" w14:textId="2723A7E4" w:rsidR="006C2778" w:rsidRDefault="006C2778" w:rsidP="003E4782">
            <w:pPr>
              <w:pStyle w:val="Tablefont"/>
              <w:numPr>
                <w:ilvl w:val="1"/>
                <w:numId w:val="1"/>
              </w:numPr>
              <w:ind w:left="1149"/>
              <w:rPr>
                <w:rFonts w:cs="Arial"/>
              </w:rPr>
            </w:pPr>
            <w:r>
              <w:rPr>
                <w:rFonts w:cs="Arial"/>
              </w:rPr>
              <w:t>particle overload observed in chronically exposed mice, but without fibroproliferative disease as reported in chronically exposed rats</w:t>
            </w:r>
          </w:p>
          <w:p w14:paraId="5C19B807" w14:textId="1AA3B072" w:rsidR="004966BF" w:rsidRPr="006C2778" w:rsidRDefault="006C2778" w:rsidP="003E4782">
            <w:pPr>
              <w:pStyle w:val="Tablefont"/>
              <w:numPr>
                <w:ilvl w:val="1"/>
                <w:numId w:val="1"/>
              </w:numPr>
              <w:ind w:left="1149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lower susceptibility of humans substantiated by lack of evidence for increased tumorigenicity in epidemiological data</w:t>
            </w:r>
            <w:r w:rsidR="00392DE5">
              <w:rPr>
                <w:rFonts w:cs="Arial"/>
              </w:rPr>
              <w:t>.</w:t>
            </w:r>
          </w:p>
        </w:tc>
      </w:tr>
      <w:tr w:rsidR="004966BF" w:rsidRPr="004C23F4" w14:paraId="1EE94A37" w14:textId="77777777" w:rsidTr="00DC6150">
        <w:trPr>
          <w:cantSplit/>
        </w:trPr>
        <w:tc>
          <w:tcPr>
            <w:tcW w:w="1486" w:type="dxa"/>
          </w:tcPr>
          <w:p w14:paraId="16EAA988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1" w:type="dxa"/>
          </w:tcPr>
          <w:p w14:paraId="437684AC" w14:textId="116C96F2" w:rsidR="004966BF" w:rsidRPr="00CE617F" w:rsidRDefault="00DC615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C277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CC9227" w14:textId="4959053E" w:rsidR="004966BF" w:rsidRPr="004C23F4" w:rsidRDefault="006C277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8" w:type="dxa"/>
          </w:tcPr>
          <w:p w14:paraId="4479513D" w14:textId="77777777" w:rsidR="006C2778" w:rsidRDefault="00CA1545" w:rsidP="006C277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Majority of mutagenicity assays </w:t>
            </w:r>
            <w:r>
              <w:rPr>
                <w:rStyle w:val="checkbox"/>
                <w:rFonts w:ascii="Arial" w:hAnsi="Arial" w:cs="Arial"/>
                <w:i/>
              </w:rPr>
              <w:t>in vitro</w:t>
            </w:r>
            <w:r>
              <w:rPr>
                <w:rStyle w:val="checkbox"/>
                <w:rFonts w:ascii="Arial" w:hAnsi="Arial" w:cs="Arial"/>
              </w:rPr>
              <w:t xml:space="preserve"> suggest substance is non-mutagenic</w:t>
            </w:r>
          </w:p>
          <w:p w14:paraId="270FA994" w14:textId="14B4B320" w:rsidR="006C2778" w:rsidRPr="006C2778" w:rsidRDefault="006C2778" w:rsidP="006C277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Negative in sex-linked recessive lethal assay with </w:t>
            </w:r>
            <w:r>
              <w:rPr>
                <w:rStyle w:val="checkbox"/>
                <w:rFonts w:ascii="Arial" w:hAnsi="Arial" w:cs="Arial"/>
                <w:i/>
              </w:rPr>
              <w:t xml:space="preserve">Drosophila melanogaster </w:t>
            </w:r>
            <w:r>
              <w:rPr>
                <w:rStyle w:val="checkbox"/>
                <w:rFonts w:ascii="Arial" w:hAnsi="Arial" w:cs="Arial"/>
              </w:rPr>
              <w:t xml:space="preserve">and 2 other non-guideline </w:t>
            </w:r>
            <w:r>
              <w:rPr>
                <w:rStyle w:val="checkbox"/>
                <w:rFonts w:ascii="Arial" w:hAnsi="Arial" w:cs="Arial"/>
                <w:i/>
              </w:rPr>
              <w:t>in vivo</w:t>
            </w:r>
            <w:r>
              <w:rPr>
                <w:rStyle w:val="checkbox"/>
                <w:rFonts w:ascii="Arial" w:hAnsi="Arial" w:cs="Arial"/>
              </w:rPr>
              <w:t xml:space="preserve"> mutagenicity assays (mice, rats)</w:t>
            </w:r>
            <w:r w:rsidR="00392DE5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20C4323A" w14:textId="77777777" w:rsidTr="00DC6150">
        <w:trPr>
          <w:cantSplit/>
        </w:trPr>
        <w:tc>
          <w:tcPr>
            <w:tcW w:w="1486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1" w:type="dxa"/>
          </w:tcPr>
          <w:p w14:paraId="46AE65C2" w14:textId="1DB7DDC0" w:rsidR="004966BF" w:rsidRDefault="00DC615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F3D5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B82A5B6" w14:textId="7C20DEB7" w:rsidR="004966BF" w:rsidRPr="004C23F4" w:rsidRDefault="003F3D5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8" w:type="dxa"/>
          </w:tcPr>
          <w:p w14:paraId="4E1BEF9D" w14:textId="31A0B1BA" w:rsidR="004966BF" w:rsidRPr="004C23F4" w:rsidRDefault="003F3D58" w:rsidP="00B620F2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B620F2">
              <w:rPr>
                <w:rStyle w:val="checkbox"/>
                <w:rFonts w:ascii="Arial" w:hAnsi="Arial"/>
              </w:rPr>
              <w:t>IDLH</w:t>
            </w:r>
            <w:r w:rsidR="00B620F2">
              <w:rPr>
                <w:rFonts w:cs="Arial"/>
              </w:rPr>
              <w:t>:</w:t>
            </w:r>
            <w:r w:rsidRPr="003F3D58">
              <w:rPr>
                <w:rFonts w:cs="Arial"/>
              </w:rPr>
              <w:t xml:space="preserve"> 5,000 mg/m</w:t>
            </w:r>
            <w:r w:rsidRPr="003F3D58">
              <w:rPr>
                <w:rFonts w:cs="Arial"/>
                <w:vertAlign w:val="superscript"/>
              </w:rPr>
              <w:t>3</w:t>
            </w:r>
            <w:r w:rsidRPr="003F3D58">
              <w:rPr>
                <w:rFonts w:cs="Arial"/>
              </w:rPr>
              <w:t> based on bei</w:t>
            </w:r>
            <w:r>
              <w:rPr>
                <w:rFonts w:cs="Arial"/>
              </w:rPr>
              <w:t>ng 500 times the OSHA PEL of 10 </w:t>
            </w:r>
            <w:r w:rsidRPr="003F3D58">
              <w:rPr>
                <w:rFonts w:cs="Arial"/>
              </w:rPr>
              <w:t>mg/m</w:t>
            </w:r>
            <w:r w:rsidRPr="003F3D58">
              <w:rPr>
                <w:rFonts w:cs="Arial"/>
                <w:vertAlign w:val="superscript"/>
              </w:rPr>
              <w:t>3</w:t>
            </w:r>
            <w:r w:rsidRPr="003F3D58">
              <w:rPr>
                <w:rFonts w:cs="Arial"/>
              </w:rPr>
              <w:t> promulgated in 1989</w:t>
            </w:r>
            <w:r w:rsidR="00E0611C">
              <w:rPr>
                <w:rFonts w:cs="Arial"/>
              </w:rPr>
              <w:t xml:space="preserve"> (respiratory protection factors)</w:t>
            </w:r>
            <w:r w:rsidR="00392DE5">
              <w:rPr>
                <w:rFonts w:cs="Arial"/>
              </w:rPr>
              <w:t>.</w:t>
            </w:r>
          </w:p>
        </w:tc>
      </w:tr>
    </w:tbl>
    <w:p w14:paraId="21C7ACE5" w14:textId="77777777" w:rsidR="007E2A4B" w:rsidRDefault="007E2A4B"/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6C2778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52499A0C" w:rsidR="002E0D61" w:rsidRDefault="006C277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6C2778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4089B6F0" w:rsidR="008A36CF" w:rsidRPr="006901A2" w:rsidRDefault="006C277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DC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DC6150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3E1C0EC8" w:rsidR="00687890" w:rsidRPr="00DD2F9B" w:rsidRDefault="0028642A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DC6150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74D39771" w:rsidR="007925F0" w:rsidRPr="00DD2F9B" w:rsidRDefault="0028642A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DC6150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3D859E6A" w:rsidR="00AF483F" w:rsidRPr="00DD2F9B" w:rsidRDefault="009465E5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7812F0EC" w14:textId="77777777" w:rsidTr="00DC6150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4035D809" w:rsidR="00687890" w:rsidRPr="00DD2F9B" w:rsidRDefault="0028642A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DC6150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442E43C9" w:rsidR="00E41A26" w:rsidRPr="00DD2F9B" w:rsidRDefault="009465E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7A490EF" w14:textId="77777777" w:rsidTr="00DC6150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02ACBDF7" w:rsidR="002E0D61" w:rsidRPr="00DD2F9B" w:rsidRDefault="0028642A" w:rsidP="00DD2F9B">
            <w:pPr>
              <w:pStyle w:val="Tablefont"/>
            </w:pPr>
            <w:r w:rsidRPr="0028642A">
              <w:t>Carcinogenicity – A4</w:t>
            </w:r>
          </w:p>
        </w:tc>
      </w:tr>
      <w:tr w:rsidR="002E0D61" w:rsidRPr="004C23F4" w14:paraId="43FA3590" w14:textId="77777777" w:rsidTr="00DC6150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6B4DE62D" w:rsidR="002E0D61" w:rsidRPr="00DD2F9B" w:rsidRDefault="0028642A" w:rsidP="00DD2F9B">
            <w:pPr>
              <w:pStyle w:val="Tablefont"/>
            </w:pPr>
            <w:r w:rsidRPr="0028642A">
              <w:t>Carcinogenicity – 4</w:t>
            </w:r>
          </w:p>
        </w:tc>
      </w:tr>
      <w:tr w:rsidR="002E0D61" w:rsidRPr="004C23F4" w14:paraId="2AC7B866" w14:textId="77777777" w:rsidTr="00DC6150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33823266" w:rsidR="002E0D61" w:rsidRPr="00DD2F9B" w:rsidRDefault="0028642A" w:rsidP="00DD2F9B">
            <w:pPr>
              <w:pStyle w:val="Tablefont"/>
            </w:pPr>
            <w:r>
              <w:t>NA</w:t>
            </w:r>
            <w:bookmarkStart w:id="3" w:name="_GoBack"/>
            <w:bookmarkEnd w:id="3"/>
          </w:p>
        </w:tc>
      </w:tr>
      <w:tr w:rsidR="002E0D61" w:rsidRPr="004C23F4" w14:paraId="1BE6EC07" w14:textId="77777777" w:rsidTr="00DC6150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0D46CA3" w:rsidR="002E0D61" w:rsidRPr="00DD2F9B" w:rsidRDefault="0028642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DC6150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2F7EB1B2" w:rsidR="00386093" w:rsidRPr="00DD2F9B" w:rsidRDefault="0028642A" w:rsidP="00DD2F9B">
            <w:pPr>
              <w:pStyle w:val="Tablefont"/>
            </w:pPr>
            <w:r w:rsidRPr="0028642A">
              <w:t>Carcinogenicity – Group 2B</w:t>
            </w:r>
          </w:p>
        </w:tc>
      </w:tr>
      <w:tr w:rsidR="00386093" w:rsidRPr="004C23F4" w14:paraId="7461DB0E" w14:textId="77777777" w:rsidTr="00DC6150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1FE9CE35" w:rsidR="00386093" w:rsidRPr="00DD2F9B" w:rsidRDefault="0028642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90" w:type="dxa"/>
              <w:tblLook w:val="04A0" w:firstRow="1" w:lastRow="0" w:firstColumn="1" w:lastColumn="0" w:noHBand="0" w:noVBand="1"/>
            </w:tblPr>
            <w:tblGrid>
              <w:gridCol w:w="3657"/>
              <w:gridCol w:w="1077"/>
              <w:gridCol w:w="1077"/>
              <w:gridCol w:w="2979"/>
            </w:tblGrid>
            <w:tr w:rsidR="006C2778" w:rsidRPr="006C2778" w14:paraId="32549AE2" w14:textId="77777777" w:rsidTr="006C2778">
              <w:trPr>
                <w:trHeight w:val="231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BB8494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DA1826" w14:textId="77777777" w:rsidR="006C2778" w:rsidRPr="006C2778" w:rsidRDefault="006C2778" w:rsidP="006C2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DD69B5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2D20EA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C2778" w:rsidRPr="006C2778" w14:paraId="77D833C4" w14:textId="77777777" w:rsidTr="006C2778">
              <w:trPr>
                <w:trHeight w:val="231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C69CD3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7B4ADB" w14:textId="77777777" w:rsidR="006C2778" w:rsidRPr="006C2778" w:rsidRDefault="006C2778" w:rsidP="006C2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F3854E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4DE1B1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C2778" w:rsidRPr="006C2778" w14:paraId="60F04D14" w14:textId="77777777" w:rsidTr="006C2778">
              <w:trPr>
                <w:trHeight w:val="231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46D8B2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F3ED20" w14:textId="77777777" w:rsidR="006C2778" w:rsidRPr="006C2778" w:rsidRDefault="006C2778" w:rsidP="006C2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DC8A8B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BBA686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C2778" w:rsidRPr="006C2778" w14:paraId="4C703E3D" w14:textId="77777777" w:rsidTr="006C2778">
              <w:trPr>
                <w:trHeight w:val="231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C9CF67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26AC23" w14:textId="77777777" w:rsidR="006C2778" w:rsidRPr="006C2778" w:rsidRDefault="006C2778" w:rsidP="006C2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A68F28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CEE691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C2778" w:rsidRPr="006C2778" w14:paraId="1EAA63F6" w14:textId="77777777" w:rsidTr="006C2778">
              <w:trPr>
                <w:trHeight w:val="231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1083DA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9F05EE" w14:textId="77777777" w:rsidR="006C2778" w:rsidRPr="006C2778" w:rsidRDefault="006C2778" w:rsidP="006C2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B35D18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-3.00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072F32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C2778" w:rsidRPr="006C2778" w14:paraId="4DD72FB9" w14:textId="77777777" w:rsidTr="006C2778">
              <w:trPr>
                <w:trHeight w:val="231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C9A332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866BF0" w14:textId="77777777" w:rsidR="006C2778" w:rsidRPr="006C2778" w:rsidRDefault="006C2778" w:rsidP="006C2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E7A790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-2.00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13FCD4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C2778" w:rsidRPr="006C2778" w14:paraId="0ED872AC" w14:textId="77777777" w:rsidTr="006C2778">
              <w:trPr>
                <w:trHeight w:val="231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4EBCD3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AEC4B8" w14:textId="77777777" w:rsidR="006C2778" w:rsidRPr="006C2778" w:rsidRDefault="006C2778" w:rsidP="006C2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BD870E" w14:textId="77777777" w:rsidR="006C2778" w:rsidRPr="006C2778" w:rsidRDefault="006C2778" w:rsidP="006C2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-2.5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F3177A" w14:textId="77777777" w:rsidR="006C2778" w:rsidRPr="006C2778" w:rsidRDefault="006C2778" w:rsidP="006C277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C2778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2543EF39" w:rsidR="00EB3D1B" w:rsidRDefault="003F3D5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B620F2">
        <w:trPr>
          <w:cantSplit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27328C81" w:rsidR="001B79E5" w:rsidRDefault="0028642A" w:rsidP="001B79E5">
                <w:pPr>
                  <w:pStyle w:val="Tablefont"/>
                </w:pPr>
                <w:r w:rsidRPr="0028642A">
                  <w:t>79.86</w:t>
                </w:r>
              </w:p>
            </w:tc>
          </w:sdtContent>
        </w:sdt>
      </w:tr>
      <w:tr w:rsidR="00A31D99" w:rsidRPr="004C23F4" w14:paraId="4D7C99C9" w14:textId="77777777" w:rsidTr="00B620F2">
        <w:trPr>
          <w:cantSplit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559DBCB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F62664">
                  <w:t>3.27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5A4413" w:rsidRPr="00B72F39">
                  <w:t>0.31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B620F2">
        <w:trPr>
          <w:cantSplit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B620F2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B620F2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B620F2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DC615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7A915978" w:rsidR="008E4F1F" w:rsidRDefault="008E4F1F" w:rsidP="0028642A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28642A">
        <w:t>2018</w:t>
      </w:r>
      <w:r>
        <w:t xml:space="preserve">) </w:t>
      </w:r>
      <w:proofErr w:type="spellStart"/>
      <w:r w:rsidR="005A5AFA">
        <w:t>Titandioxid</w:t>
      </w:r>
      <w:proofErr w:type="spellEnd"/>
      <w:r w:rsidR="0028642A">
        <w:t xml:space="preserve"> (</w:t>
      </w:r>
      <w:proofErr w:type="spellStart"/>
      <w:r w:rsidR="0028642A">
        <w:t>alveolengängige</w:t>
      </w:r>
      <w:proofErr w:type="spellEnd"/>
      <w:r w:rsidR="0028642A">
        <w:t xml:space="preserve"> </w:t>
      </w:r>
      <w:proofErr w:type="spellStart"/>
      <w:r w:rsidR="0028642A">
        <w:t>Fraktion</w:t>
      </w:r>
      <w:proofErr w:type="spellEnd"/>
      <w:r w:rsidR="0028642A">
        <w:t>)</w:t>
      </w:r>
      <w:r>
        <w:t xml:space="preserve"> – MAK value documentation</w:t>
      </w:r>
      <w:r w:rsidR="005A5AFA">
        <w:t>, German language edition</w:t>
      </w:r>
      <w:r>
        <w:t>.</w:t>
      </w:r>
    </w:p>
    <w:p w14:paraId="3522524C" w14:textId="3F423E95" w:rsidR="00B41562" w:rsidRPr="006B1DA2" w:rsidRDefault="00B41562" w:rsidP="0028642A">
      <w:pPr>
        <w:rPr>
          <w:b/>
          <w:bCs/>
        </w:rPr>
      </w:pPr>
      <w:r w:rsidRPr="006948C8">
        <w:t xml:space="preserve">Deutsche </w:t>
      </w:r>
      <w:proofErr w:type="spellStart"/>
      <w:r w:rsidRPr="006948C8">
        <w:t>Forschungsgemeinschaft</w:t>
      </w:r>
      <w:proofErr w:type="spellEnd"/>
      <w:r w:rsidRPr="006948C8">
        <w:t xml:space="preserve"> (DFG) (</w:t>
      </w:r>
      <w:r>
        <w:t>2012</w:t>
      </w:r>
      <w:r w:rsidRPr="006948C8">
        <w:t xml:space="preserve">) </w:t>
      </w:r>
      <w:proofErr w:type="spellStart"/>
      <w:r w:rsidRPr="006948C8">
        <w:rPr>
          <w:bCs/>
        </w:rPr>
        <w:t>Allgemeiner</w:t>
      </w:r>
      <w:proofErr w:type="spellEnd"/>
      <w:r w:rsidRPr="006948C8">
        <w:rPr>
          <w:bCs/>
        </w:rPr>
        <w:t xml:space="preserve"> </w:t>
      </w:r>
      <w:proofErr w:type="spellStart"/>
      <w:r w:rsidRPr="006948C8">
        <w:rPr>
          <w:bCs/>
        </w:rPr>
        <w:t>Staubgrenzwert</w:t>
      </w:r>
      <w:proofErr w:type="spellEnd"/>
      <w:r w:rsidRPr="006948C8">
        <w:rPr>
          <w:bCs/>
        </w:rPr>
        <w:t xml:space="preserve"> (A</w:t>
      </w:r>
      <w:r w:rsidRPr="006948C8">
        <w:rPr>
          <w:rFonts w:ascii="Cambria Math" w:hAnsi="Cambria Math" w:cs="Cambria Math"/>
          <w:bCs/>
        </w:rPr>
        <w:t>‐</w:t>
      </w:r>
      <w:proofErr w:type="spellStart"/>
      <w:r w:rsidRPr="006948C8">
        <w:rPr>
          <w:bCs/>
        </w:rPr>
        <w:t>Fraktion</w:t>
      </w:r>
      <w:proofErr w:type="spellEnd"/>
      <w:r w:rsidRPr="006948C8">
        <w:rPr>
          <w:bCs/>
        </w:rPr>
        <w:t>) (</w:t>
      </w:r>
      <w:proofErr w:type="spellStart"/>
      <w:r w:rsidRPr="006948C8">
        <w:rPr>
          <w:bCs/>
        </w:rPr>
        <w:t>Granul</w:t>
      </w:r>
      <w:r w:rsidRPr="006948C8">
        <w:rPr>
          <w:rFonts w:cs="Arial"/>
          <w:bCs/>
        </w:rPr>
        <w:t>ä</w:t>
      </w:r>
      <w:r w:rsidRPr="006948C8">
        <w:rPr>
          <w:bCs/>
        </w:rPr>
        <w:t>re</w:t>
      </w:r>
      <w:proofErr w:type="spellEnd"/>
      <w:r w:rsidRPr="006948C8">
        <w:rPr>
          <w:bCs/>
        </w:rPr>
        <w:t xml:space="preserve"> </w:t>
      </w:r>
      <w:proofErr w:type="spellStart"/>
      <w:r w:rsidRPr="006948C8">
        <w:rPr>
          <w:bCs/>
        </w:rPr>
        <w:t>biobest</w:t>
      </w:r>
      <w:r w:rsidRPr="006948C8">
        <w:rPr>
          <w:rFonts w:cs="Arial"/>
          <w:bCs/>
        </w:rPr>
        <w:t>ä</w:t>
      </w:r>
      <w:r w:rsidRPr="006948C8">
        <w:rPr>
          <w:bCs/>
        </w:rPr>
        <w:t>ndige</w:t>
      </w:r>
      <w:proofErr w:type="spellEnd"/>
      <w:r w:rsidRPr="006948C8">
        <w:rPr>
          <w:bCs/>
        </w:rPr>
        <w:t xml:space="preserve"> </w:t>
      </w:r>
      <w:proofErr w:type="spellStart"/>
      <w:r w:rsidRPr="006948C8">
        <w:rPr>
          <w:bCs/>
        </w:rPr>
        <w:t>St</w:t>
      </w:r>
      <w:r w:rsidRPr="006948C8">
        <w:rPr>
          <w:rFonts w:cs="Arial"/>
          <w:bCs/>
        </w:rPr>
        <w:t>ä</w:t>
      </w:r>
      <w:r w:rsidRPr="006948C8">
        <w:rPr>
          <w:bCs/>
        </w:rPr>
        <w:t>ube</w:t>
      </w:r>
      <w:proofErr w:type="spellEnd"/>
      <w:r w:rsidRPr="006948C8">
        <w:rPr>
          <w:bCs/>
        </w:rPr>
        <w:t xml:space="preserve"> (GBS))</w:t>
      </w:r>
      <w:r w:rsidRPr="006948C8">
        <w:t xml:space="preserve"> – MAK value documentation, German language edition.</w:t>
      </w:r>
    </w:p>
    <w:p w14:paraId="1A1685F2" w14:textId="45F43A1F" w:rsidR="003F3D58" w:rsidRDefault="003F3D58" w:rsidP="008E4F1F">
      <w:r>
        <w:t>European Chemicals Agency (ECHA) (2020) Titanium dioxide – REACH assessment.</w:t>
      </w:r>
    </w:p>
    <w:p w14:paraId="4D7F094F" w14:textId="38E26416" w:rsidR="008E4F1F" w:rsidRDefault="008E4F1F" w:rsidP="008E4F1F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28642A" w:rsidRPr="0028642A">
        <w:t>2010</w:t>
      </w:r>
      <w:r>
        <w:t>)</w:t>
      </w:r>
      <w:r w:rsidR="003F3D58">
        <w:t>,</w:t>
      </w:r>
      <w:r>
        <w:t xml:space="preserve"> </w:t>
      </w:r>
      <w:r w:rsidR="003F3D58">
        <w:t xml:space="preserve">Volume 93, </w:t>
      </w:r>
      <w:r w:rsidR="009465E5" w:rsidRPr="009465E5">
        <w:t>Carbon Black, Titanium Dioxide</w:t>
      </w:r>
      <w:r w:rsidR="00D967A6">
        <w:t xml:space="preserve"> and</w:t>
      </w:r>
      <w:r w:rsidR="009465E5" w:rsidRPr="009465E5">
        <w:t xml:space="preserve"> Talc</w:t>
      </w:r>
      <w:r>
        <w:t>. IARC Monographs on the evaluation of the carcinogenic risk to humans.</w:t>
      </w:r>
    </w:p>
    <w:p w14:paraId="1D94FE62" w14:textId="1F591E3B" w:rsidR="008E4F1F" w:rsidRDefault="008E4F1F" w:rsidP="008E4F1F">
      <w:pPr>
        <w:rPr>
          <w:b/>
        </w:rPr>
      </w:pPr>
      <w:r w:rsidRPr="002022B6">
        <w:lastRenderedPageBreak/>
        <w:t>National Industrial Chemicals Notification and Assessment Scheme (NICNAS)</w:t>
      </w:r>
      <w:r>
        <w:t xml:space="preserve"> (</w:t>
      </w:r>
      <w:r w:rsidR="0028642A" w:rsidRPr="0028642A">
        <w:t>2016</w:t>
      </w:r>
      <w:r>
        <w:t xml:space="preserve">) </w:t>
      </w:r>
      <w:r w:rsidR="0028642A" w:rsidRPr="0028642A">
        <w:t>Titanium dioxide</w:t>
      </w:r>
      <w:r w:rsidRPr="0071660C">
        <w:t xml:space="preserve">: Human health </w:t>
      </w:r>
      <w:r w:rsidR="0028642A" w:rsidRPr="0028642A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46471BC5" w14:textId="1555F2E1" w:rsidR="006C2778" w:rsidRPr="006C2778" w:rsidRDefault="006C2778" w:rsidP="008E4F1F">
      <w:r w:rsidRPr="00E819F5">
        <w:t>Organisation for Economic Cooperation and Development (OECD) (</w:t>
      </w:r>
      <w:r>
        <w:t>2002</w:t>
      </w:r>
      <w:r w:rsidRPr="00E819F5">
        <w:t xml:space="preserve">) SIDS initial assessment profile – </w:t>
      </w:r>
      <w:r>
        <w:t>Titanium dioxide.</w:t>
      </w:r>
    </w:p>
    <w:p w14:paraId="5F9B40FF" w14:textId="77777777" w:rsidR="00663EEE" w:rsidRDefault="00663EEE" w:rsidP="00663EEE">
      <w:r w:rsidRPr="00D86E03">
        <w:t>US National Institute for Occupational Safety and Health (NIOSH)</w:t>
      </w:r>
      <w:r>
        <w:t xml:space="preserve"> (</w:t>
      </w:r>
      <w:r w:rsidRPr="0028642A">
        <w:t>1994</w:t>
      </w:r>
      <w:r>
        <w:t xml:space="preserve">) Immediately dangerous to life or health concentrations – </w:t>
      </w:r>
      <w:r w:rsidRPr="0028642A">
        <w:t>Titanium dioxide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EA84" w14:textId="77777777" w:rsidR="0035637B" w:rsidRDefault="0035637B" w:rsidP="00F43AD5">
      <w:pPr>
        <w:spacing w:after="0" w:line="240" w:lineRule="auto"/>
      </w:pPr>
      <w:r>
        <w:separator/>
      </w:r>
    </w:p>
  </w:endnote>
  <w:endnote w:type="continuationSeparator" w:id="0">
    <w:p w14:paraId="24717BCA" w14:textId="77777777" w:rsidR="0035637B" w:rsidRDefault="0035637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A9E6" w14:textId="77777777" w:rsidR="00DC6150" w:rsidRDefault="00DC6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541B3960" w:rsidR="00F511C0" w:rsidRDefault="00F511C0" w:rsidP="0034744C">
        <w:pPr>
          <w:pStyle w:val="Footer"/>
          <w:rPr>
            <w:sz w:val="18"/>
            <w:szCs w:val="18"/>
          </w:rPr>
        </w:pPr>
        <w:r w:rsidRPr="00192E2E">
          <w:rPr>
            <w:b/>
            <w:sz w:val="18"/>
            <w:szCs w:val="18"/>
          </w:rPr>
          <w:t>Titanium dioxide</w:t>
        </w:r>
        <w:r>
          <w:rPr>
            <w:b/>
            <w:sz w:val="18"/>
            <w:szCs w:val="18"/>
          </w:rPr>
          <w:t xml:space="preserve"> (</w:t>
        </w:r>
        <w:r w:rsidRPr="00192E2E">
          <w:rPr>
            <w:b/>
            <w:sz w:val="18"/>
            <w:szCs w:val="18"/>
          </w:rPr>
          <w:t>13463-67-7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2D517F5E" w14:textId="59207932" w:rsidR="00F511C0" w:rsidRPr="00F43AD5" w:rsidRDefault="00F511C0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E6357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820A" w14:textId="77777777" w:rsidR="00DC6150" w:rsidRDefault="00DC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13A89" w14:textId="77777777" w:rsidR="0035637B" w:rsidRDefault="0035637B" w:rsidP="00F43AD5">
      <w:pPr>
        <w:spacing w:after="0" w:line="240" w:lineRule="auto"/>
      </w:pPr>
      <w:r>
        <w:separator/>
      </w:r>
    </w:p>
  </w:footnote>
  <w:footnote w:type="continuationSeparator" w:id="0">
    <w:p w14:paraId="58D86E5E" w14:textId="77777777" w:rsidR="0035637B" w:rsidRDefault="0035637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FB83" w14:textId="77777777" w:rsidR="00DC6150" w:rsidRDefault="00DC6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7FC3" w14:textId="0940B92D" w:rsidR="00DC6150" w:rsidRDefault="00DC6150" w:rsidP="00DC6150">
    <w:pPr>
      <w:pStyle w:val="Header"/>
      <w:jc w:val="right"/>
    </w:pPr>
    <w:r>
      <w:pict w14:anchorId="65228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7ABA799" wp14:editId="7343C09A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713F7" w14:textId="77777777" w:rsidR="00DC6150" w:rsidRDefault="00DC6150" w:rsidP="00DC6150">
    <w:pPr>
      <w:pStyle w:val="Header"/>
    </w:pPr>
  </w:p>
  <w:p w14:paraId="4DAA8792" w14:textId="0A97303E" w:rsidR="00F511C0" w:rsidRPr="00DC6150" w:rsidRDefault="00F511C0" w:rsidP="00DC6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D24A" w14:textId="77777777" w:rsidR="00DC6150" w:rsidRDefault="00DC61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C67E" w14:textId="5136C907" w:rsidR="00DC6150" w:rsidRDefault="00DC6150" w:rsidP="00DC6150">
    <w:pPr>
      <w:pStyle w:val="Header"/>
      <w:jc w:val="right"/>
    </w:pPr>
    <w:r>
      <w:pict w14:anchorId="4F7B1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0013FB5" wp14:editId="476A39C3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C8B0B" w14:textId="77777777" w:rsidR="00DC6150" w:rsidRDefault="00DC6150" w:rsidP="00DC6150">
    <w:pPr>
      <w:pStyle w:val="Header"/>
    </w:pPr>
  </w:p>
  <w:p w14:paraId="71F09FB4" w14:textId="77777777" w:rsidR="00F511C0" w:rsidRDefault="00F511C0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2A8C9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B41B5"/>
    <w:multiLevelType w:val="hybridMultilevel"/>
    <w:tmpl w:val="F3EAFDD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E780D"/>
    <w:multiLevelType w:val="hybridMultilevel"/>
    <w:tmpl w:val="FC8E7EC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C0192"/>
    <w:multiLevelType w:val="hybridMultilevel"/>
    <w:tmpl w:val="4362903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E1D79"/>
    <w:multiLevelType w:val="hybridMultilevel"/>
    <w:tmpl w:val="FE4658F0"/>
    <w:lvl w:ilvl="0" w:tplc="E9CA71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11CD1"/>
    <w:multiLevelType w:val="hybridMultilevel"/>
    <w:tmpl w:val="DAC8ED88"/>
    <w:lvl w:ilvl="0" w:tplc="A81CB8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2E9A"/>
    <w:rsid w:val="00046DF5"/>
    <w:rsid w:val="00052060"/>
    <w:rsid w:val="0005574A"/>
    <w:rsid w:val="00055FE1"/>
    <w:rsid w:val="00056EC2"/>
    <w:rsid w:val="00060B48"/>
    <w:rsid w:val="00067F32"/>
    <w:rsid w:val="00071807"/>
    <w:rsid w:val="00075E07"/>
    <w:rsid w:val="000803E1"/>
    <w:rsid w:val="00084513"/>
    <w:rsid w:val="00084859"/>
    <w:rsid w:val="00092D94"/>
    <w:rsid w:val="000A7503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0F4599"/>
    <w:rsid w:val="0010461E"/>
    <w:rsid w:val="00106FAA"/>
    <w:rsid w:val="00113443"/>
    <w:rsid w:val="0012343E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92E2E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1F4E"/>
    <w:rsid w:val="00243FEC"/>
    <w:rsid w:val="00244AD1"/>
    <w:rsid w:val="002463BC"/>
    <w:rsid w:val="002465CE"/>
    <w:rsid w:val="0025734A"/>
    <w:rsid w:val="00263255"/>
    <w:rsid w:val="002727A0"/>
    <w:rsid w:val="00274653"/>
    <w:rsid w:val="00276494"/>
    <w:rsid w:val="00277B0C"/>
    <w:rsid w:val="0028642A"/>
    <w:rsid w:val="002942FD"/>
    <w:rsid w:val="002B1A2C"/>
    <w:rsid w:val="002B2EB9"/>
    <w:rsid w:val="002C34F2"/>
    <w:rsid w:val="002C58FF"/>
    <w:rsid w:val="002C6E58"/>
    <w:rsid w:val="002C7AFE"/>
    <w:rsid w:val="002D05D2"/>
    <w:rsid w:val="002E0D61"/>
    <w:rsid w:val="002E4C7B"/>
    <w:rsid w:val="002E6357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37B"/>
    <w:rsid w:val="003567A8"/>
    <w:rsid w:val="003623A3"/>
    <w:rsid w:val="00362895"/>
    <w:rsid w:val="00370DBF"/>
    <w:rsid w:val="00386093"/>
    <w:rsid w:val="003904A4"/>
    <w:rsid w:val="00391841"/>
    <w:rsid w:val="00391B6D"/>
    <w:rsid w:val="00392DE5"/>
    <w:rsid w:val="00394922"/>
    <w:rsid w:val="003A0E32"/>
    <w:rsid w:val="003A2B94"/>
    <w:rsid w:val="003B387D"/>
    <w:rsid w:val="003C0D58"/>
    <w:rsid w:val="003D4FA3"/>
    <w:rsid w:val="003E0807"/>
    <w:rsid w:val="003E4782"/>
    <w:rsid w:val="003E51FB"/>
    <w:rsid w:val="003E6B39"/>
    <w:rsid w:val="003F07E1"/>
    <w:rsid w:val="003F3D58"/>
    <w:rsid w:val="004030BC"/>
    <w:rsid w:val="00403F7D"/>
    <w:rsid w:val="00406785"/>
    <w:rsid w:val="004079B4"/>
    <w:rsid w:val="00411B76"/>
    <w:rsid w:val="00417A56"/>
    <w:rsid w:val="00420957"/>
    <w:rsid w:val="00422A10"/>
    <w:rsid w:val="00424BF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3A81"/>
    <w:rsid w:val="004E5EDD"/>
    <w:rsid w:val="004E6D69"/>
    <w:rsid w:val="004F448A"/>
    <w:rsid w:val="004F493D"/>
    <w:rsid w:val="004F65E8"/>
    <w:rsid w:val="0050005E"/>
    <w:rsid w:val="00502B88"/>
    <w:rsid w:val="00503E13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413"/>
    <w:rsid w:val="005A462D"/>
    <w:rsid w:val="005A5AFA"/>
    <w:rsid w:val="005B253B"/>
    <w:rsid w:val="005B771D"/>
    <w:rsid w:val="005B7D22"/>
    <w:rsid w:val="005C5D16"/>
    <w:rsid w:val="005D3193"/>
    <w:rsid w:val="005D4A6E"/>
    <w:rsid w:val="005D5B0C"/>
    <w:rsid w:val="005E6979"/>
    <w:rsid w:val="005E75CB"/>
    <w:rsid w:val="006013C1"/>
    <w:rsid w:val="0060669E"/>
    <w:rsid w:val="00610F2E"/>
    <w:rsid w:val="00611399"/>
    <w:rsid w:val="00614820"/>
    <w:rsid w:val="00624C4E"/>
    <w:rsid w:val="00625200"/>
    <w:rsid w:val="006363A8"/>
    <w:rsid w:val="00636DB7"/>
    <w:rsid w:val="006471DA"/>
    <w:rsid w:val="00650905"/>
    <w:rsid w:val="006532ED"/>
    <w:rsid w:val="006549F2"/>
    <w:rsid w:val="006567B7"/>
    <w:rsid w:val="00657BFB"/>
    <w:rsid w:val="0066333C"/>
    <w:rsid w:val="006639B4"/>
    <w:rsid w:val="00663EEE"/>
    <w:rsid w:val="006650FE"/>
    <w:rsid w:val="006676AA"/>
    <w:rsid w:val="0067305D"/>
    <w:rsid w:val="00677D9B"/>
    <w:rsid w:val="0068007C"/>
    <w:rsid w:val="006867F3"/>
    <w:rsid w:val="00687890"/>
    <w:rsid w:val="006901A2"/>
    <w:rsid w:val="00690368"/>
    <w:rsid w:val="0069079C"/>
    <w:rsid w:val="00690B53"/>
    <w:rsid w:val="006948C8"/>
    <w:rsid w:val="00695B72"/>
    <w:rsid w:val="006A3D7A"/>
    <w:rsid w:val="006B160A"/>
    <w:rsid w:val="006B1DA2"/>
    <w:rsid w:val="006B4E6C"/>
    <w:rsid w:val="006B50B6"/>
    <w:rsid w:val="006C2778"/>
    <w:rsid w:val="006D0473"/>
    <w:rsid w:val="006D42E8"/>
    <w:rsid w:val="006D576A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3401"/>
    <w:rsid w:val="00754779"/>
    <w:rsid w:val="0075716D"/>
    <w:rsid w:val="00765F14"/>
    <w:rsid w:val="00770E31"/>
    <w:rsid w:val="00771D58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3FB6"/>
    <w:rsid w:val="007F5328"/>
    <w:rsid w:val="00804F5A"/>
    <w:rsid w:val="00810C6D"/>
    <w:rsid w:val="00812887"/>
    <w:rsid w:val="00826F21"/>
    <w:rsid w:val="00834CC8"/>
    <w:rsid w:val="00835E00"/>
    <w:rsid w:val="0083685B"/>
    <w:rsid w:val="00837113"/>
    <w:rsid w:val="008414E4"/>
    <w:rsid w:val="00842218"/>
    <w:rsid w:val="00843E21"/>
    <w:rsid w:val="0084508E"/>
    <w:rsid w:val="00857A8A"/>
    <w:rsid w:val="008630EE"/>
    <w:rsid w:val="00864D13"/>
    <w:rsid w:val="00871CD5"/>
    <w:rsid w:val="008745A2"/>
    <w:rsid w:val="0087460A"/>
    <w:rsid w:val="008768A8"/>
    <w:rsid w:val="008816ED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01718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5E5"/>
    <w:rsid w:val="0094660B"/>
    <w:rsid w:val="00946A33"/>
    <w:rsid w:val="0095260E"/>
    <w:rsid w:val="00954710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C655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5061"/>
    <w:rsid w:val="00A27E2D"/>
    <w:rsid w:val="00A31904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AF776F"/>
    <w:rsid w:val="00B00A25"/>
    <w:rsid w:val="00B1422A"/>
    <w:rsid w:val="00B1765C"/>
    <w:rsid w:val="00B213C4"/>
    <w:rsid w:val="00B23E8D"/>
    <w:rsid w:val="00B33558"/>
    <w:rsid w:val="00B40C60"/>
    <w:rsid w:val="00B41562"/>
    <w:rsid w:val="00B450C1"/>
    <w:rsid w:val="00B479A9"/>
    <w:rsid w:val="00B52EDF"/>
    <w:rsid w:val="00B620F2"/>
    <w:rsid w:val="00B71188"/>
    <w:rsid w:val="00B72F39"/>
    <w:rsid w:val="00B76A41"/>
    <w:rsid w:val="00B87D4C"/>
    <w:rsid w:val="00B93646"/>
    <w:rsid w:val="00BA0B38"/>
    <w:rsid w:val="00BA1DBB"/>
    <w:rsid w:val="00BA4510"/>
    <w:rsid w:val="00BA529A"/>
    <w:rsid w:val="00BB612A"/>
    <w:rsid w:val="00BC7B1D"/>
    <w:rsid w:val="00BD1FB6"/>
    <w:rsid w:val="00BD499F"/>
    <w:rsid w:val="00BD56DE"/>
    <w:rsid w:val="00BE7752"/>
    <w:rsid w:val="00BF2406"/>
    <w:rsid w:val="00BF55F9"/>
    <w:rsid w:val="00C06E43"/>
    <w:rsid w:val="00C16315"/>
    <w:rsid w:val="00C3091E"/>
    <w:rsid w:val="00C33008"/>
    <w:rsid w:val="00C40FF1"/>
    <w:rsid w:val="00C419E2"/>
    <w:rsid w:val="00C474C4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48C7"/>
    <w:rsid w:val="00C850A0"/>
    <w:rsid w:val="00C85A86"/>
    <w:rsid w:val="00C978F0"/>
    <w:rsid w:val="00CA1545"/>
    <w:rsid w:val="00CA58FE"/>
    <w:rsid w:val="00CB1CB1"/>
    <w:rsid w:val="00CB5B24"/>
    <w:rsid w:val="00CB6BC1"/>
    <w:rsid w:val="00CB6CB8"/>
    <w:rsid w:val="00CC1A68"/>
    <w:rsid w:val="00CC2123"/>
    <w:rsid w:val="00CD2BFD"/>
    <w:rsid w:val="00CE5AD6"/>
    <w:rsid w:val="00CE617F"/>
    <w:rsid w:val="00CE78EF"/>
    <w:rsid w:val="00CF78C8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67743"/>
    <w:rsid w:val="00D70670"/>
    <w:rsid w:val="00D74D80"/>
    <w:rsid w:val="00D76624"/>
    <w:rsid w:val="00D8066B"/>
    <w:rsid w:val="00D87570"/>
    <w:rsid w:val="00D91CB9"/>
    <w:rsid w:val="00D967A6"/>
    <w:rsid w:val="00D97989"/>
    <w:rsid w:val="00D97D8D"/>
    <w:rsid w:val="00DA352E"/>
    <w:rsid w:val="00DC3F5B"/>
    <w:rsid w:val="00DC6150"/>
    <w:rsid w:val="00DC7694"/>
    <w:rsid w:val="00DD1BF6"/>
    <w:rsid w:val="00DD2F9B"/>
    <w:rsid w:val="00DE2513"/>
    <w:rsid w:val="00DE26E8"/>
    <w:rsid w:val="00DF1054"/>
    <w:rsid w:val="00DF6F36"/>
    <w:rsid w:val="00E0084C"/>
    <w:rsid w:val="00E025AB"/>
    <w:rsid w:val="00E02B23"/>
    <w:rsid w:val="00E0611C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19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284B"/>
    <w:rsid w:val="00ED57DA"/>
    <w:rsid w:val="00ED66BC"/>
    <w:rsid w:val="00EE1FC7"/>
    <w:rsid w:val="00EF1651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DD1"/>
    <w:rsid w:val="00F20E68"/>
    <w:rsid w:val="00F22093"/>
    <w:rsid w:val="00F236DF"/>
    <w:rsid w:val="00F249A6"/>
    <w:rsid w:val="00F43AD5"/>
    <w:rsid w:val="00F4402E"/>
    <w:rsid w:val="00F511C0"/>
    <w:rsid w:val="00F56DD0"/>
    <w:rsid w:val="00F618F8"/>
    <w:rsid w:val="00F62664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BF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BF0"/>
    <w:rPr>
      <w:szCs w:val="20"/>
    </w:rPr>
  </w:style>
  <w:style w:type="paragraph" w:styleId="Revision">
    <w:name w:val="Revision"/>
    <w:hidden/>
    <w:uiPriority w:val="99"/>
    <w:semiHidden/>
    <w:rsid w:val="00E0611C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E4782"/>
    <w:pPr>
      <w:numPr>
        <w:numId w:val="3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008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23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75734"/>
    <w:rsid w:val="00110D93"/>
    <w:rsid w:val="00347D16"/>
    <w:rsid w:val="003E0149"/>
    <w:rsid w:val="00755FBF"/>
    <w:rsid w:val="009D6241"/>
    <w:rsid w:val="00CA72D3"/>
    <w:rsid w:val="00D21A9F"/>
    <w:rsid w:val="00D722E2"/>
    <w:rsid w:val="00D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9FC6-EF43-4666-B629-B7E7DEC91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E2302-A90D-428A-A877-F30E838E1C00}">
  <ds:schemaRefs>
    <ds:schemaRef ds:uri="bf54d604-3e62-4e70-ba33-9e9084b96a66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8816D2-BE93-457A-B3CF-FE89FAEF5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266FC-8E11-44CF-ADF5-F58EB2CF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2020-04-08T03:02:00Z</dcterms:created>
  <dcterms:modified xsi:type="dcterms:W3CDTF">2020-07-21T01:46:00Z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