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1675828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C041389" w14:textId="32A31DEF" w:rsidR="00BD499F" w:rsidRPr="004C23F4" w:rsidRDefault="008A70ED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Toluene</w:t>
          </w:r>
        </w:p>
      </w:sdtContent>
    </w:sdt>
    <w:bookmarkEnd w:id="0" w:displacedByCustomXml="prev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5"/>
        <w:gridCol w:w="5041"/>
      </w:tblGrid>
      <w:tr w:rsidR="00F43AD5" w:rsidRPr="004C23F4" w14:paraId="5124DE5F" w14:textId="77777777" w:rsidTr="00B76A41">
        <w:trPr>
          <w:cantSplit/>
          <w:tblHeader/>
        </w:trPr>
        <w:tc>
          <w:tcPr>
            <w:tcW w:w="4077" w:type="dxa"/>
          </w:tcPr>
          <w:p w14:paraId="636E2863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141051F5" w14:textId="77777777" w:rsidR="00F43AD5" w:rsidRPr="00717D45" w:rsidRDefault="008A70ED" w:rsidP="00B76A41">
            <w:pPr>
              <w:pStyle w:val="Tablefont"/>
            </w:pPr>
            <w:r>
              <w:t>108-88-3</w:t>
            </w:r>
          </w:p>
        </w:tc>
      </w:tr>
      <w:tr w:rsidR="00F43AD5" w:rsidRPr="004C23F4" w14:paraId="420B5BA8" w14:textId="77777777" w:rsidTr="00B76A41">
        <w:trPr>
          <w:cantSplit/>
        </w:trPr>
        <w:tc>
          <w:tcPr>
            <w:tcW w:w="4077" w:type="dxa"/>
          </w:tcPr>
          <w:p w14:paraId="0E73CF76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0BEA9964" w14:textId="66F4D509" w:rsidR="00F43AD5" w:rsidRPr="00717D45" w:rsidRDefault="00E94FFC" w:rsidP="00B76A41">
            <w:pPr>
              <w:pStyle w:val="Tablefont"/>
            </w:pPr>
            <w:r>
              <w:t xml:space="preserve">Methyl-benzene; </w:t>
            </w:r>
            <w:proofErr w:type="spellStart"/>
            <w:r w:rsidR="001A520D">
              <w:t>m</w:t>
            </w:r>
            <w:r w:rsidR="002976DD">
              <w:t>ethacide</w:t>
            </w:r>
            <w:proofErr w:type="spellEnd"/>
            <w:r w:rsidR="002976DD">
              <w:t>;</w:t>
            </w:r>
            <w:r>
              <w:t xml:space="preserve"> </w:t>
            </w:r>
            <w:proofErr w:type="spellStart"/>
            <w:r w:rsidR="001A520D">
              <w:t>methylbenzol</w:t>
            </w:r>
            <w:proofErr w:type="spellEnd"/>
            <w:r w:rsidR="001A520D">
              <w:t>; m</w:t>
            </w:r>
            <w:r w:rsidR="002976DD">
              <w:t>ono</w:t>
            </w:r>
            <w:r w:rsidR="001A520D">
              <w:t>methyl benzene; p</w:t>
            </w:r>
            <w:r>
              <w:t>henyl methane</w:t>
            </w:r>
          </w:p>
        </w:tc>
      </w:tr>
      <w:tr w:rsidR="00F43AD5" w:rsidRPr="004C23F4" w14:paraId="39DC1178" w14:textId="77777777" w:rsidTr="00B76A41">
        <w:trPr>
          <w:cantSplit/>
        </w:trPr>
        <w:tc>
          <w:tcPr>
            <w:tcW w:w="4077" w:type="dxa"/>
          </w:tcPr>
          <w:p w14:paraId="48C81D10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400FD145" w14:textId="3E1311EE" w:rsidR="00F43AD5" w:rsidRPr="00717D45" w:rsidRDefault="00E41A4C" w:rsidP="00B76A41">
            <w:pPr>
              <w:pStyle w:val="Tablefont"/>
            </w:pPr>
            <w:r>
              <w:t>C</w:t>
            </w:r>
            <w:r w:rsidRPr="00E41A4C">
              <w:rPr>
                <w:vertAlign w:val="subscript"/>
              </w:rPr>
              <w:t>7</w:t>
            </w:r>
            <w:r>
              <w:t>H</w:t>
            </w:r>
            <w:r w:rsidRPr="00E41A4C">
              <w:rPr>
                <w:vertAlign w:val="subscript"/>
              </w:rPr>
              <w:t>8</w:t>
            </w:r>
          </w:p>
        </w:tc>
      </w:tr>
      <w:tr w:rsidR="00F43AD5" w:rsidRPr="004C23F4" w14:paraId="51930F79" w14:textId="77777777" w:rsidTr="00B76A41">
        <w:trPr>
          <w:cantSplit/>
        </w:trPr>
        <w:tc>
          <w:tcPr>
            <w:tcW w:w="4077" w:type="dxa"/>
          </w:tcPr>
          <w:p w14:paraId="4A96F46C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C2BA62F" w14:textId="77777777" w:rsidR="00F43AD5" w:rsidRPr="00B40C60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11C569DB" w14:textId="64B5AF83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C53924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760F1833" w14:textId="77777777" w:rsidTr="00452CA9">
        <w:trPr>
          <w:cantSplit/>
          <w:tblHeader/>
        </w:trPr>
        <w:tc>
          <w:tcPr>
            <w:tcW w:w="4005" w:type="dxa"/>
            <w:vAlign w:val="center"/>
          </w:tcPr>
          <w:p w14:paraId="5D7AA25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44B1DA43" w14:textId="77777777" w:rsidR="002C7AFE" w:rsidRPr="00EB3D1B" w:rsidRDefault="00A31F90" w:rsidP="00017C82">
            <w:pPr>
              <w:pStyle w:val="Tablefont"/>
              <w:rPr>
                <w:b/>
              </w:rPr>
            </w:pPr>
            <w:r w:rsidRPr="00A31F90">
              <w:rPr>
                <w:b/>
              </w:rPr>
              <w:t>20 ppm (75 mg/m</w:t>
            </w:r>
            <w:r w:rsidRPr="00A31F90">
              <w:rPr>
                <w:b/>
                <w:vertAlign w:val="superscript"/>
              </w:rPr>
              <w:t>3</w:t>
            </w:r>
            <w:r w:rsidRPr="00A31F90">
              <w:rPr>
                <w:b/>
              </w:rPr>
              <w:t>)</w:t>
            </w:r>
          </w:p>
        </w:tc>
      </w:tr>
      <w:tr w:rsidR="002C7AFE" w:rsidRPr="004C23F4" w14:paraId="36C5EFD8" w14:textId="77777777" w:rsidTr="00452CA9">
        <w:trPr>
          <w:cantSplit/>
        </w:trPr>
        <w:tc>
          <w:tcPr>
            <w:tcW w:w="4005" w:type="dxa"/>
            <w:vAlign w:val="center"/>
          </w:tcPr>
          <w:p w14:paraId="3C2050E4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3ECC181D" w14:textId="0D4087AB" w:rsidR="002C7AFE" w:rsidRPr="00EB3D1B" w:rsidRDefault="009E4CC8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508AE47" w14:textId="77777777" w:rsidTr="00452CA9">
        <w:trPr>
          <w:cantSplit/>
        </w:trPr>
        <w:tc>
          <w:tcPr>
            <w:tcW w:w="4005" w:type="dxa"/>
            <w:vAlign w:val="center"/>
          </w:tcPr>
          <w:p w14:paraId="628F0D1B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24F6A445" w14:textId="3E90B45C" w:rsidR="002C7AFE" w:rsidRPr="00EB3D1B" w:rsidRDefault="009E4CC8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305FB6E6" w14:textId="77777777" w:rsidTr="00452CA9">
        <w:trPr>
          <w:cantSplit/>
        </w:trPr>
        <w:tc>
          <w:tcPr>
            <w:tcW w:w="4005" w:type="dxa"/>
          </w:tcPr>
          <w:p w14:paraId="5912B102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3D1D840D" w14:textId="35914E37" w:rsidR="002C7AFE" w:rsidRPr="00EB3D1B" w:rsidRDefault="009E4CC8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7EDEDBD" w14:textId="77777777" w:rsidTr="00452CA9">
        <w:trPr>
          <w:cantSplit/>
        </w:trPr>
        <w:tc>
          <w:tcPr>
            <w:tcW w:w="4005" w:type="dxa"/>
            <w:vAlign w:val="center"/>
          </w:tcPr>
          <w:p w14:paraId="6C21B20A" w14:textId="51055290" w:rsidR="00F10C97" w:rsidRPr="002C58FF" w:rsidRDefault="00921DE7" w:rsidP="00452CA9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63B81441" w14:textId="77777777" w:rsidR="002C7AFE" w:rsidRPr="00EB3D1B" w:rsidRDefault="003A677E" w:rsidP="00017C82">
            <w:pPr>
              <w:pStyle w:val="Tablefont"/>
              <w:rPr>
                <w:b/>
              </w:rPr>
            </w:pPr>
            <w:r w:rsidRPr="001E4481">
              <w:rPr>
                <w:b/>
              </w:rPr>
              <w:t>500 ppm</w:t>
            </w:r>
          </w:p>
        </w:tc>
      </w:tr>
      <w:tr w:rsidR="00452CA9" w:rsidRPr="004C23F4" w14:paraId="2E0155E3" w14:textId="77777777" w:rsidTr="00613E36">
        <w:trPr>
          <w:cantSplit/>
        </w:trPr>
        <w:tc>
          <w:tcPr>
            <w:tcW w:w="9026" w:type="dxa"/>
            <w:gridSpan w:val="2"/>
          </w:tcPr>
          <w:p w14:paraId="58BB8C47" w14:textId="203DAC0D" w:rsidR="00452CA9" w:rsidRPr="00452CA9" w:rsidRDefault="00452CA9" w:rsidP="00452CA9">
            <w:pPr>
              <w:pStyle w:val="Tablerowright"/>
              <w:jc w:val="left"/>
              <w:rPr>
                <w:b w:val="0"/>
              </w:rPr>
            </w:pPr>
            <w:r>
              <w:t>Sampling and analysis:</w:t>
            </w:r>
            <w:r w:rsidRPr="00452CA9">
              <w:rPr>
                <w:b w:val="0"/>
              </w:rPr>
              <w:t xml:space="preserve"> The recommended value is readily quantifiable through currently available sampling and analysis techniques. </w:t>
            </w:r>
          </w:p>
        </w:tc>
      </w:tr>
    </w:tbl>
    <w:p w14:paraId="6DC62341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5436C46" w14:textId="103FD3E7" w:rsidR="00A31F90" w:rsidRDefault="00A31F90" w:rsidP="00127B60">
      <w:r>
        <w:t>A</w:t>
      </w:r>
      <w:r w:rsidR="00CE4FE9">
        <w:t xml:space="preserve"> TWA</w:t>
      </w:r>
      <w:r>
        <w:t xml:space="preserve"> of 20 ppm (75 mg/m</w:t>
      </w:r>
      <w:r>
        <w:rPr>
          <w:vertAlign w:val="superscript"/>
        </w:rPr>
        <w:t>3</w:t>
      </w:r>
      <w:r>
        <w:t>)</w:t>
      </w:r>
      <w:r w:rsidRPr="00A31F90">
        <w:t xml:space="preserve"> is recommended to protect </w:t>
      </w:r>
      <w:r w:rsidR="005B62B3">
        <w:t xml:space="preserve">for </w:t>
      </w:r>
      <w:r>
        <w:t xml:space="preserve">adverse neurological </w:t>
      </w:r>
      <w:r w:rsidR="00CF245B">
        <w:t xml:space="preserve">and reproductive effects </w:t>
      </w:r>
      <w:r w:rsidR="00466D08">
        <w:t xml:space="preserve">in </w:t>
      </w:r>
      <w:r w:rsidR="00CF245B">
        <w:t xml:space="preserve">exposed </w:t>
      </w:r>
      <w:r w:rsidR="00466D08">
        <w:t>workers</w:t>
      </w:r>
      <w:r w:rsidR="008E3FDC">
        <w:t>.</w:t>
      </w:r>
    </w:p>
    <w:p w14:paraId="669D966A" w14:textId="333A3014" w:rsidR="00183DA0" w:rsidRPr="00183DA0" w:rsidRDefault="001F6FE4" w:rsidP="00183DA0">
      <w:pPr>
        <w:rPr>
          <w:rFonts w:cs="Arial"/>
        </w:rPr>
      </w:pPr>
      <w:r w:rsidRPr="00CF245B">
        <w:t>The previous STEL is recommended to be withdrawn</w:t>
      </w:r>
      <w:r>
        <w:rPr>
          <w:rFonts w:cs="Arial"/>
        </w:rPr>
        <w:t xml:space="preserve"> as t</w:t>
      </w:r>
      <w:r w:rsidR="00183DA0">
        <w:rPr>
          <w:rFonts w:cs="Arial"/>
        </w:rPr>
        <w:t>here is insufficient evidence to recommend a STEL</w:t>
      </w:r>
      <w:r w:rsidR="00720680">
        <w:rPr>
          <w:rFonts w:cs="Arial"/>
        </w:rPr>
        <w:t>.</w:t>
      </w:r>
      <w:r w:rsidR="00183DA0">
        <w:rPr>
          <w:rFonts w:cs="Arial"/>
        </w:rPr>
        <w:t xml:space="preserve"> </w:t>
      </w:r>
    </w:p>
    <w:p w14:paraId="46A04A4E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8CD545C" w14:textId="30C8C920" w:rsidR="00E425EB" w:rsidRDefault="00E425EB" w:rsidP="006639B4">
      <w:pPr>
        <w:rPr>
          <w:rFonts w:cs="Arial"/>
        </w:rPr>
      </w:pPr>
      <w:r>
        <w:rPr>
          <w:rFonts w:cs="Arial"/>
        </w:rPr>
        <w:t>Toluene is generated during the process of refining crude oil</w:t>
      </w:r>
      <w:r w:rsidR="00C75454">
        <w:rPr>
          <w:rFonts w:cs="Arial"/>
        </w:rPr>
        <w:t>. It is a component of gasoline and rubber. It is also used as a solvent and to produce other compounds such as plastic.</w:t>
      </w:r>
    </w:p>
    <w:p w14:paraId="0D55E855" w14:textId="418D4132" w:rsidR="00C75454" w:rsidRDefault="00B02FDC" w:rsidP="006639B4">
      <w:pPr>
        <w:rPr>
          <w:rFonts w:cs="Arial"/>
        </w:rPr>
      </w:pPr>
      <w:r>
        <w:rPr>
          <w:rFonts w:cs="Arial"/>
        </w:rPr>
        <w:t xml:space="preserve">Toluene is a well-studied chemical with evidence of health effects available from animal, human volunteer and epidemiological studies. </w:t>
      </w:r>
      <w:r w:rsidR="00C75454">
        <w:rPr>
          <w:rFonts w:cs="Arial"/>
        </w:rPr>
        <w:t xml:space="preserve">Critical effects of exposure are CNS and reproductive effects. </w:t>
      </w:r>
    </w:p>
    <w:p w14:paraId="62AC4B15" w14:textId="06739B2A" w:rsidR="004009CE" w:rsidRDefault="004347CE" w:rsidP="006639B4">
      <w:r>
        <w:rPr>
          <w:rFonts w:cs="Arial"/>
        </w:rPr>
        <w:t>C</w:t>
      </w:r>
      <w:r w:rsidRPr="00B02FDC">
        <w:rPr>
          <w:rFonts w:cs="Arial"/>
        </w:rPr>
        <w:t xml:space="preserve">olour vision changes </w:t>
      </w:r>
      <w:r>
        <w:rPr>
          <w:rFonts w:cs="Arial"/>
        </w:rPr>
        <w:t xml:space="preserve">were reported at </w:t>
      </w:r>
      <w:r w:rsidRPr="00B02FDC">
        <w:rPr>
          <w:rFonts w:cs="Arial"/>
        </w:rPr>
        <w:t>average toluene concentrations</w:t>
      </w:r>
      <w:r>
        <w:rPr>
          <w:rFonts w:cs="Arial"/>
        </w:rPr>
        <w:t xml:space="preserve"> of 36 </w:t>
      </w:r>
      <w:r w:rsidRPr="00B02FDC">
        <w:rPr>
          <w:rFonts w:cs="Arial"/>
        </w:rPr>
        <w:t xml:space="preserve">ppm </w:t>
      </w:r>
      <w:r w:rsidRPr="00C3038C">
        <w:t>(135 mg/m</w:t>
      </w:r>
      <w:r w:rsidRPr="00C3038C">
        <w:rPr>
          <w:vertAlign w:val="superscript"/>
        </w:rPr>
        <w:t>3</w:t>
      </w:r>
      <w:r w:rsidRPr="00C3038C">
        <w:t xml:space="preserve">) </w:t>
      </w:r>
      <w:r w:rsidRPr="00B02FDC">
        <w:rPr>
          <w:rFonts w:cs="Arial"/>
        </w:rPr>
        <w:t>measured in breathing zones</w:t>
      </w:r>
      <w:r>
        <w:rPr>
          <w:rFonts w:cs="Arial"/>
        </w:rPr>
        <w:t xml:space="preserve"> in a</w:t>
      </w:r>
      <w:r w:rsidRPr="00B02FDC">
        <w:rPr>
          <w:rFonts w:cs="Arial"/>
        </w:rPr>
        <w:t xml:space="preserve"> longitudinal study of pr</w:t>
      </w:r>
      <w:r>
        <w:rPr>
          <w:rFonts w:cs="Arial"/>
        </w:rPr>
        <w:t xml:space="preserve">int workers with an average employment of 18 years </w:t>
      </w:r>
      <w:r w:rsidR="00B02FDC">
        <w:rPr>
          <w:rFonts w:cs="Arial"/>
        </w:rPr>
        <w:t>(ACGIH, 2018). A</w:t>
      </w:r>
      <w:r w:rsidR="00B02FDC" w:rsidRPr="00B02FDC">
        <w:rPr>
          <w:rFonts w:cs="Arial"/>
        </w:rPr>
        <w:t xml:space="preserve"> calculated arithmetic mean of the available </w:t>
      </w:r>
      <w:r w:rsidR="00172C3C">
        <w:rPr>
          <w:rFonts w:cs="Arial"/>
        </w:rPr>
        <w:t>NOAELs</w:t>
      </w:r>
      <w:r w:rsidR="00B02FDC" w:rsidRPr="00B02FDC">
        <w:rPr>
          <w:rFonts w:cs="Arial"/>
        </w:rPr>
        <w:t xml:space="preserve"> from 10 </w:t>
      </w:r>
      <w:r w:rsidR="00B02FDC">
        <w:rPr>
          <w:rFonts w:cs="Arial"/>
        </w:rPr>
        <w:t xml:space="preserve">adequate </w:t>
      </w:r>
      <w:r w:rsidR="00B02FDC" w:rsidRPr="00B02FDC">
        <w:rPr>
          <w:rFonts w:cs="Arial"/>
        </w:rPr>
        <w:t xml:space="preserve">occupational studies </w:t>
      </w:r>
      <w:r w:rsidR="00B02FDC">
        <w:rPr>
          <w:rFonts w:cs="Arial"/>
        </w:rPr>
        <w:t>was reported a</w:t>
      </w:r>
      <w:r w:rsidR="00DE7A15">
        <w:rPr>
          <w:rFonts w:cs="Arial"/>
        </w:rPr>
        <w:t>s</w:t>
      </w:r>
      <w:r w:rsidR="00B02FDC">
        <w:rPr>
          <w:rFonts w:cs="Arial"/>
        </w:rPr>
        <w:t xml:space="preserve"> </w:t>
      </w:r>
      <w:r w:rsidR="00B02FDC" w:rsidRPr="00B02FDC">
        <w:rPr>
          <w:rFonts w:cs="Arial"/>
        </w:rPr>
        <w:t>34</w:t>
      </w:r>
      <w:r w:rsidR="00547423">
        <w:rPr>
          <w:rFonts w:cs="Arial"/>
        </w:rPr>
        <w:t> </w:t>
      </w:r>
      <w:r w:rsidR="00B02FDC" w:rsidRPr="00B02FDC">
        <w:rPr>
          <w:rFonts w:cs="Arial"/>
        </w:rPr>
        <w:t>ppm</w:t>
      </w:r>
      <w:r w:rsidR="00B02FDC">
        <w:rPr>
          <w:rFonts w:cs="Arial"/>
        </w:rPr>
        <w:t xml:space="preserve"> </w:t>
      </w:r>
      <w:r w:rsidR="005A719A" w:rsidRPr="00C3038C">
        <w:t>(127.5 mg/m</w:t>
      </w:r>
      <w:r w:rsidR="005A719A" w:rsidRPr="00C3038C">
        <w:rPr>
          <w:vertAlign w:val="superscript"/>
        </w:rPr>
        <w:t>3</w:t>
      </w:r>
      <w:r w:rsidR="005A719A" w:rsidRPr="00C3038C">
        <w:t xml:space="preserve">) </w:t>
      </w:r>
      <w:r w:rsidR="00B02FDC">
        <w:rPr>
          <w:rFonts w:cs="Arial"/>
        </w:rPr>
        <w:t>(</w:t>
      </w:r>
      <w:r w:rsidR="00720680">
        <w:rPr>
          <w:rFonts w:cs="Arial"/>
        </w:rPr>
        <w:t xml:space="preserve">US EPA, 2005 cited in </w:t>
      </w:r>
      <w:r w:rsidR="00172C3C">
        <w:rPr>
          <w:rFonts w:cs="Arial"/>
        </w:rPr>
        <w:t>NICNAS</w:t>
      </w:r>
      <w:r w:rsidR="00B02FDC">
        <w:rPr>
          <w:rFonts w:cs="Arial"/>
        </w:rPr>
        <w:t>, 2017)</w:t>
      </w:r>
      <w:r w:rsidR="00AB75A0">
        <w:rPr>
          <w:rFonts w:cs="Arial"/>
        </w:rPr>
        <w:t xml:space="preserve">. </w:t>
      </w:r>
      <w:r w:rsidR="00711B67">
        <w:rPr>
          <w:rFonts w:cs="Arial"/>
        </w:rPr>
        <w:t xml:space="preserve">An increased incidence of </w:t>
      </w:r>
      <w:r w:rsidR="00127B60">
        <w:rPr>
          <w:rFonts w:cs="Arial"/>
        </w:rPr>
        <w:t>miscarriage</w:t>
      </w:r>
      <w:r w:rsidR="00AB75A0">
        <w:t xml:space="preserve"> </w:t>
      </w:r>
      <w:r w:rsidR="005A719A">
        <w:t>in a study of 55 women expo</w:t>
      </w:r>
      <w:r w:rsidR="0089187E">
        <w:t>sed at a range of 50</w:t>
      </w:r>
      <w:r w:rsidR="0089187E">
        <w:noBreakHyphen/>
      </w:r>
      <w:r w:rsidR="005A719A">
        <w:t xml:space="preserve">150 ppm </w:t>
      </w:r>
      <w:r w:rsidR="0054079F">
        <w:t>(187.5</w:t>
      </w:r>
      <w:r w:rsidR="009E4CC8" w:rsidRPr="00454080">
        <w:rPr>
          <w:rStyle w:val="checkbox"/>
          <w:rFonts w:ascii="Arial" w:hAnsi="Arial" w:cs="Arial"/>
        </w:rPr>
        <w:t>–</w:t>
      </w:r>
      <w:r w:rsidR="0054079F">
        <w:t>562.5</w:t>
      </w:r>
      <w:r w:rsidR="00BF42F4">
        <w:t xml:space="preserve"> </w:t>
      </w:r>
      <w:r w:rsidR="00BF42F4" w:rsidRPr="001659AC">
        <w:t>mg/m</w:t>
      </w:r>
      <w:r w:rsidR="00BF42F4" w:rsidRPr="001659AC">
        <w:rPr>
          <w:vertAlign w:val="superscript"/>
        </w:rPr>
        <w:t>3</w:t>
      </w:r>
      <w:r w:rsidR="00452EFB">
        <w:t>)</w:t>
      </w:r>
      <w:r w:rsidR="005A719A">
        <w:t xml:space="preserve"> </w:t>
      </w:r>
      <w:r w:rsidR="000D675C">
        <w:t>was</w:t>
      </w:r>
      <w:r w:rsidR="000D675C">
        <w:rPr>
          <w:b/>
        </w:rPr>
        <w:t xml:space="preserve"> </w:t>
      </w:r>
      <w:r w:rsidR="00452EFB">
        <w:t>noted by</w:t>
      </w:r>
      <w:r w:rsidR="000F22CC">
        <w:t xml:space="preserve"> </w:t>
      </w:r>
      <w:r w:rsidR="00AB75A0">
        <w:t xml:space="preserve">ACGIH </w:t>
      </w:r>
      <w:r w:rsidR="000F22CC">
        <w:t>(</w:t>
      </w:r>
      <w:r w:rsidR="00AB75A0">
        <w:t xml:space="preserve">2018). </w:t>
      </w:r>
      <w:r w:rsidR="006C012D">
        <w:t xml:space="preserve">NICNAS (2017) concluded that </w:t>
      </w:r>
      <w:r w:rsidR="00720680">
        <w:t xml:space="preserve">a </w:t>
      </w:r>
      <w:r w:rsidR="00466D08">
        <w:t>TWA</w:t>
      </w:r>
      <w:r w:rsidR="0054079F">
        <w:t xml:space="preserve"> </w:t>
      </w:r>
      <w:r w:rsidR="00720680">
        <w:t>of</w:t>
      </w:r>
      <w:r w:rsidR="00DE7A15">
        <w:t xml:space="preserve"> 50 ppm (191 mg/</w:t>
      </w:r>
      <w:r w:rsidR="00DE7A15" w:rsidRPr="00DE7A15">
        <w:t>m</w:t>
      </w:r>
      <w:r w:rsidR="00DE7A15" w:rsidRPr="00DE7A15">
        <w:rPr>
          <w:vertAlign w:val="superscript"/>
        </w:rPr>
        <w:t>3</w:t>
      </w:r>
      <w:r w:rsidR="00DE7A15">
        <w:t xml:space="preserve">) </w:t>
      </w:r>
      <w:r w:rsidR="00AB75A0" w:rsidRPr="00DE7A15">
        <w:t>may</w:t>
      </w:r>
      <w:r w:rsidR="00AB75A0" w:rsidRPr="00AB75A0">
        <w:t xml:space="preserve"> not be adequate to mitigate the risk of </w:t>
      </w:r>
      <w:r w:rsidR="00720680">
        <w:t>reproductive toxicity</w:t>
      </w:r>
      <w:r w:rsidR="00402085">
        <w:t xml:space="preserve"> and</w:t>
      </w:r>
      <w:r w:rsidR="00720680">
        <w:t xml:space="preserve"> neurological effects</w:t>
      </w:r>
      <w:r w:rsidR="006C012D">
        <w:t xml:space="preserve">. </w:t>
      </w:r>
    </w:p>
    <w:p w14:paraId="0E4F7E76" w14:textId="3387B0C9" w:rsidR="00AB75A0" w:rsidRDefault="00CF245B" w:rsidP="006639B4">
      <w:r>
        <w:t>A TWA of 20 ppm (75 mg/m</w:t>
      </w:r>
      <w:r>
        <w:rPr>
          <w:vertAlign w:val="superscript"/>
        </w:rPr>
        <w:t>3</w:t>
      </w:r>
      <w:r>
        <w:t>)</w:t>
      </w:r>
      <w:r w:rsidRPr="00A31F90">
        <w:t xml:space="preserve"> </w:t>
      </w:r>
      <w:r>
        <w:t xml:space="preserve">by ACGIH (2018) </w:t>
      </w:r>
      <w:r w:rsidRPr="00A31F90">
        <w:t xml:space="preserve">is recommended to protect </w:t>
      </w:r>
      <w:r>
        <w:t xml:space="preserve">for adverse neurological effects and reproductive effects in </w:t>
      </w:r>
      <w:r w:rsidR="00037971">
        <w:t>exposed workers</w:t>
      </w:r>
      <w:r>
        <w:t xml:space="preserve">. </w:t>
      </w:r>
      <w:r w:rsidRPr="00CF245B">
        <w:t xml:space="preserve">The previous STEL is recommended to be withdrawn as </w:t>
      </w:r>
      <w:r>
        <w:t>t</w:t>
      </w:r>
      <w:r w:rsidRPr="00CF245B">
        <w:t>here is a lack of evidence for immediate acute toxicity within ten times of the recommended TWA</w:t>
      </w:r>
      <w:r>
        <w:t xml:space="preserve">. </w:t>
      </w:r>
    </w:p>
    <w:p w14:paraId="1AB32C77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66BDA287" w14:textId="355F033C" w:rsidR="003A677E" w:rsidRPr="003A677E" w:rsidRDefault="00E94FFC" w:rsidP="003A677E">
      <w:pPr>
        <w:rPr>
          <w:rFonts w:cs="Arial"/>
        </w:rPr>
      </w:pPr>
      <w:r>
        <w:rPr>
          <w:rFonts w:cs="Arial"/>
        </w:rPr>
        <w:t>Not</w:t>
      </w:r>
      <w:r w:rsidR="003A677E" w:rsidRPr="003A677E">
        <w:rPr>
          <w:rFonts w:cs="Arial"/>
        </w:rPr>
        <w:t xml:space="preserve"> classified as a carcinogen according to the Globally Harmonized System of Classification and Labelling of Chemicals (GHS).</w:t>
      </w:r>
    </w:p>
    <w:p w14:paraId="37187A79" w14:textId="3CB075F2" w:rsidR="00D176FD" w:rsidRDefault="00E94FFC" w:rsidP="003A677E">
      <w:pPr>
        <w:rPr>
          <w:rFonts w:cs="Arial"/>
        </w:rPr>
      </w:pPr>
      <w:r>
        <w:rPr>
          <w:rFonts w:cs="Arial"/>
        </w:rPr>
        <w:t>Not</w:t>
      </w:r>
      <w:r w:rsidR="003A677E" w:rsidRPr="003A677E">
        <w:rPr>
          <w:rFonts w:cs="Arial"/>
        </w:rPr>
        <w:t xml:space="preserve"> classified as a skin</w:t>
      </w:r>
      <w:r w:rsidR="009E4CC8">
        <w:rPr>
          <w:rFonts w:cs="Arial"/>
        </w:rPr>
        <w:t xml:space="preserve"> sensitiser</w:t>
      </w:r>
      <w:r w:rsidR="003A677E" w:rsidRPr="003A677E">
        <w:rPr>
          <w:rFonts w:cs="Arial"/>
        </w:rPr>
        <w:t xml:space="preserve"> or respiratory sensitiser according to the GHS</w:t>
      </w:r>
      <w:r w:rsidR="00183DA0">
        <w:rPr>
          <w:rFonts w:cs="Arial"/>
        </w:rPr>
        <w:t>.</w:t>
      </w:r>
    </w:p>
    <w:p w14:paraId="1410F1F5" w14:textId="0DFB1699" w:rsidR="0025734A" w:rsidRPr="004C23F4" w:rsidRDefault="003A677E" w:rsidP="003A677E">
      <w:pPr>
        <w:rPr>
          <w:rFonts w:cs="Arial"/>
        </w:rPr>
      </w:pPr>
      <w:r w:rsidRPr="003A677E">
        <w:rPr>
          <w:rFonts w:cs="Arial"/>
        </w:rPr>
        <w:t>A skin notation is not warranted as there is no indication of systemic effects resulting from skin absorption.</w:t>
      </w:r>
      <w:r w:rsidR="006F1139" w:rsidRPr="006F1139">
        <w:rPr>
          <w:rFonts w:cs="Arial"/>
        </w:rPr>
        <w:t xml:space="preserve"> </w:t>
      </w:r>
      <w:r w:rsidR="008A4D9F">
        <w:rPr>
          <w:rFonts w:cs="Arial"/>
        </w:rPr>
        <w:t>S</w:t>
      </w:r>
      <w:r w:rsidR="006F1139">
        <w:rPr>
          <w:rFonts w:cs="Arial"/>
        </w:rPr>
        <w:t>kin notation is recommended to be removed.</w:t>
      </w:r>
    </w:p>
    <w:p w14:paraId="691F0078" w14:textId="374916A5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6561EBD6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8A14E53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3873CB65" w14:textId="77777777" w:rsidTr="003D41B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F46C15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618E35CA" w14:textId="77777777" w:rsidTr="003D41BC">
        <w:tc>
          <w:tcPr>
            <w:tcW w:w="5000" w:type="pct"/>
            <w:gridSpan w:val="2"/>
            <w:shd w:val="clear" w:color="auto" w:fill="F2F2F2" w:themeFill="background1" w:themeFillShade="F2"/>
          </w:tcPr>
          <w:p w14:paraId="4D4EC2A6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31534D">
                  <w:t>2005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1253855447"/>
                    <w:placeholder>
                      <w:docPart w:val="7A624BEA4D0D48939571363D271FD76B"/>
                    </w:placeholder>
                  </w:sdtPr>
                  <w:sdtEndPr/>
                  <w:sdtContent>
                    <w:r w:rsidR="00E855A9" w:rsidRPr="00A761C9">
                      <w:t>TWA:</w:t>
                    </w:r>
                    <w:r w:rsidR="00E855A9">
                      <w:t xml:space="preserve"> 50</w:t>
                    </w:r>
                    <w:r w:rsidR="00E855A9" w:rsidRPr="00A761C9">
                      <w:t xml:space="preserve"> ppm </w:t>
                    </w:r>
                    <w:r w:rsidR="00E855A9">
                      <w:t>(191</w:t>
                    </w:r>
                    <w:r w:rsidR="00E855A9" w:rsidRPr="00A761C9">
                      <w:t xml:space="preserve"> mg/m</w:t>
                    </w:r>
                    <w:r w:rsidR="00E855A9">
                      <w:rPr>
                        <w:vertAlign w:val="superscript"/>
                      </w:rPr>
                      <w:t>3</w:t>
                    </w:r>
                    <w:r w:rsidR="00E855A9">
                      <w:t>)</w:t>
                    </w:r>
                    <w:r w:rsidR="0031534D">
                      <w:t>;</w:t>
                    </w:r>
                  </w:sdtContent>
                </w:sdt>
                <w:r w:rsidR="00E855A9">
                  <w:t xml:space="preserve"> STEL: 150</w:t>
                </w:r>
                <w:r w:rsidR="00E855A9" w:rsidRPr="00A761C9">
                  <w:t xml:space="preserve"> ppm </w:t>
                </w:r>
                <w:r w:rsidR="00E855A9">
                  <w:t>(574</w:t>
                </w:r>
                <w:r w:rsidR="00E855A9" w:rsidRPr="00A761C9">
                  <w:t xml:space="preserve"> mg/m</w:t>
                </w:r>
                <w:r w:rsidR="00E855A9">
                  <w:rPr>
                    <w:vertAlign w:val="superscript"/>
                  </w:rPr>
                  <w:t>3</w:t>
                </w:r>
                <w:r w:rsidR="00E855A9">
                  <w:t xml:space="preserve">) </w:t>
                </w:r>
              </w:sdtContent>
            </w:sdt>
          </w:p>
        </w:tc>
      </w:tr>
      <w:tr w:rsidR="00C978F0" w:rsidRPr="00DA352E" w14:paraId="05A2E886" w14:textId="77777777" w:rsidTr="003D41BC">
        <w:trPr>
          <w:gridAfter w:val="1"/>
          <w:wAfter w:w="8" w:type="pct"/>
        </w:trPr>
        <w:tc>
          <w:tcPr>
            <w:tcW w:w="4992" w:type="pct"/>
          </w:tcPr>
          <w:p w14:paraId="27B27E45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1D5A4606" w14:textId="77777777" w:rsidTr="003D41BC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5BF0CC8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31534D">
                  <w:t>2007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-1780565364"/>
                    <w:placeholder>
                      <w:docPart w:val="1B943B7866454E48A54B68D5FCDF72D0"/>
                    </w:placeholder>
                  </w:sdtPr>
                  <w:sdtEndPr/>
                  <w:sdtContent>
                    <w:sdt>
                      <w:sdtPr>
                        <w:alias w:val="SWA WES"/>
                        <w:tag w:val="SWA WES"/>
                        <w:id w:val="-482696620"/>
                        <w:placeholder>
                          <w:docPart w:val="694E891134A84289895C81830E6BE6E6"/>
                        </w:placeholder>
                      </w:sdtPr>
                      <w:sdtEndPr/>
                      <w:sdtContent>
                        <w:r w:rsidR="0031534D" w:rsidRPr="00A761C9">
                          <w:t>TWA:</w:t>
                        </w:r>
                        <w:r w:rsidR="0031534D">
                          <w:t xml:space="preserve"> 20</w:t>
                        </w:r>
                        <w:r w:rsidR="0031534D" w:rsidRPr="00A761C9">
                          <w:t xml:space="preserve"> ppm </w:t>
                        </w:r>
                        <w:r w:rsidR="0031534D">
                          <w:t>(75</w:t>
                        </w:r>
                        <w:r w:rsidR="0031534D" w:rsidRPr="00A761C9">
                          <w:t xml:space="preserve"> mg/m</w:t>
                        </w:r>
                        <w:r w:rsidR="0031534D">
                          <w:rPr>
                            <w:vertAlign w:val="superscript"/>
                          </w:rPr>
                          <w:t>3</w:t>
                        </w:r>
                      </w:sdtContent>
                    </w:sdt>
                    <w:r w:rsidR="0031534D">
                      <w:t xml:space="preserve">) </w:t>
                    </w:r>
                  </w:sdtContent>
                </w:sdt>
              </w:sdtContent>
            </w:sdt>
          </w:p>
        </w:tc>
      </w:tr>
      <w:tr w:rsidR="00C978F0" w:rsidRPr="00DA352E" w14:paraId="39B4640D" w14:textId="77777777" w:rsidTr="003D41BC">
        <w:trPr>
          <w:gridAfter w:val="1"/>
          <w:wAfter w:w="8" w:type="pct"/>
        </w:trPr>
        <w:tc>
          <w:tcPr>
            <w:tcW w:w="4992" w:type="pct"/>
          </w:tcPr>
          <w:p w14:paraId="2B3D2734" w14:textId="3B60479F" w:rsidR="00C978F0" w:rsidRDefault="0031534D" w:rsidP="003365A5">
            <w:pPr>
              <w:pStyle w:val="Tabletextprimarysource"/>
            </w:pPr>
            <w:r>
              <w:t xml:space="preserve">TLV-TWA recommended to protect </w:t>
            </w:r>
            <w:r w:rsidR="0045480D">
              <w:t>for</w:t>
            </w:r>
            <w:r>
              <w:t xml:space="preserve"> subclinical changes in blue-yellow colour vision </w:t>
            </w:r>
            <w:r w:rsidR="00FD7F6B">
              <w:t xml:space="preserve">in exposed workers </w:t>
            </w:r>
            <w:r>
              <w:t>and the potential for</w:t>
            </w:r>
            <w:r w:rsidR="001A7E17">
              <w:t xml:space="preserve"> miscarriage</w:t>
            </w:r>
            <w:r>
              <w:t xml:space="preserve"> in </w:t>
            </w:r>
            <w:r w:rsidR="00396CE0">
              <w:t xml:space="preserve">exposed </w:t>
            </w:r>
            <w:r>
              <w:t>female workers</w:t>
            </w:r>
            <w:r w:rsidR="00984010">
              <w:t xml:space="preserve"> (no specific explanation provided on derivation of TLV-TWA)</w:t>
            </w:r>
            <w:r>
              <w:t>.</w:t>
            </w:r>
          </w:p>
          <w:p w14:paraId="6415B341" w14:textId="77777777" w:rsidR="0031534D" w:rsidRDefault="0031534D" w:rsidP="003365A5">
            <w:pPr>
              <w:pStyle w:val="Tabletextprimarysource"/>
            </w:pPr>
            <w:r>
              <w:t>Summary of data:</w:t>
            </w:r>
          </w:p>
          <w:p w14:paraId="2F8ABBC0" w14:textId="409B16E5" w:rsidR="0031534D" w:rsidRDefault="00311A52" w:rsidP="00E41A4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 xml:space="preserve">Human </w:t>
            </w:r>
            <w:r w:rsidR="00CB32A9">
              <w:t>data</w:t>
            </w:r>
            <w:r>
              <w:t>:</w:t>
            </w:r>
          </w:p>
          <w:p w14:paraId="7851873E" w14:textId="57788CEF" w:rsidR="00A33252" w:rsidRDefault="002976DD" w:rsidP="00CD63AC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Case reports of </w:t>
            </w:r>
            <w:r w:rsidR="00A33252">
              <w:t xml:space="preserve">intentional toluene abuse </w:t>
            </w:r>
            <w:r w:rsidR="00D24821">
              <w:t>(2</w:t>
            </w:r>
            <w:r w:rsidR="00CD63AC">
              <w:t>–</w:t>
            </w:r>
            <w:r w:rsidR="00D24821">
              <w:t xml:space="preserve">10 </w:t>
            </w:r>
            <w:proofErr w:type="spellStart"/>
            <w:r w:rsidR="00E41A4C">
              <w:t>yr</w:t>
            </w:r>
            <w:proofErr w:type="spellEnd"/>
            <w:r w:rsidR="00D24821">
              <w:t>) le</w:t>
            </w:r>
            <w:r w:rsidR="00A33252">
              <w:t>d to a range of CNS symptoms including headaches, abnormal speech, memory loss, cognitive deficits, ataxia</w:t>
            </w:r>
            <w:r w:rsidR="00CB32A9">
              <w:t>,</w:t>
            </w:r>
            <w:r w:rsidR="00A33252">
              <w:t xml:space="preserve"> drowsiness, colour vision changes, hearing loss, mild dementia, tremor and loss of smell</w:t>
            </w:r>
            <w:r w:rsidR="00A9317B">
              <w:t>. These symptoms are linked to diffuse cortical, cerebellar and cerebral atrophy</w:t>
            </w:r>
          </w:p>
          <w:p w14:paraId="6ABE5533" w14:textId="6C2DF065" w:rsidR="00A33252" w:rsidRDefault="00A9317B" w:rsidP="00CD63AC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WHO estimates </w:t>
            </w:r>
            <w:r w:rsidR="00A33252">
              <w:t xml:space="preserve">exposures </w:t>
            </w:r>
            <w:r w:rsidR="00D24821">
              <w:t>at 4,000 ppm for 1 h or 10,000</w:t>
            </w:r>
            <w:r w:rsidR="009E4CC8" w:rsidRPr="00454080">
              <w:rPr>
                <w:rStyle w:val="checkbox"/>
                <w:rFonts w:ascii="Arial" w:hAnsi="Arial" w:cs="Arial"/>
              </w:rPr>
              <w:t>–</w:t>
            </w:r>
            <w:r w:rsidR="00D24821">
              <w:t xml:space="preserve">30,000 ppm for a few min </w:t>
            </w:r>
            <w:r w:rsidR="00FD7F6B">
              <w:t xml:space="preserve">will </w:t>
            </w:r>
            <w:r w:rsidR="0045480D">
              <w:t>result</w:t>
            </w:r>
            <w:r w:rsidR="00D176FD">
              <w:t xml:space="preserve"> </w:t>
            </w:r>
            <w:r w:rsidR="00D24821">
              <w:t>in unc</w:t>
            </w:r>
            <w:r w:rsidR="00E41A4C">
              <w:t>onsciousness followed by death</w:t>
            </w:r>
          </w:p>
          <w:p w14:paraId="22D77326" w14:textId="2A0C7F02" w:rsidR="00311A52" w:rsidRDefault="00311A52" w:rsidP="00CD63AC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A longitudinal study of rotogravure printers reported colour vision changes in workers (average employment 18 </w:t>
            </w:r>
            <w:r w:rsidR="00E41A4C">
              <w:t>y</w:t>
            </w:r>
            <w:r w:rsidR="009D4EF3">
              <w:t>r</w:t>
            </w:r>
            <w:r>
              <w:t>) with average toluene concentrations of 36 ppm measured in breathing zones</w:t>
            </w:r>
          </w:p>
          <w:p w14:paraId="46582A1A" w14:textId="77777777" w:rsidR="00FD7F6B" w:rsidRDefault="00FD7F6B" w:rsidP="00CD63A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Colour vision changes also reported in rubber plant workers with estimated exposures at time of measurement of 42 ppm (29 yr median exposure duration)</w:t>
            </w:r>
          </w:p>
          <w:p w14:paraId="3E6948AE" w14:textId="77777777" w:rsidR="006A74D3" w:rsidRDefault="006A74D3" w:rsidP="00CD63AC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Colour vision changes </w:t>
            </w:r>
            <w:r w:rsidR="00865528">
              <w:t xml:space="preserve">were </w:t>
            </w:r>
            <w:r>
              <w:t>not detected in 63 men and 111 women exposed to 46 ppm (no duration provided)</w:t>
            </w:r>
          </w:p>
          <w:p w14:paraId="30103DF8" w14:textId="414B665A" w:rsidR="001055BB" w:rsidRDefault="001055BB" w:rsidP="00CD63AC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A </w:t>
            </w:r>
            <w:r w:rsidR="001A7E17">
              <w:t>miscarriage</w:t>
            </w:r>
            <w:r>
              <w:t xml:space="preserve"> rate of 2.8 times higher than a </w:t>
            </w:r>
            <w:r w:rsidR="00127B60">
              <w:t xml:space="preserve">non-exposed </w:t>
            </w:r>
            <w:r w:rsidR="00F927BC">
              <w:t>reference group</w:t>
            </w:r>
            <w:r>
              <w:t xml:space="preserve"> was reported in a study of 55 w</w:t>
            </w:r>
            <w:r w:rsidR="00E41A4C">
              <w:t>omen exposed to</w:t>
            </w:r>
            <w:r w:rsidR="00F927BC">
              <w:t xml:space="preserve"> an</w:t>
            </w:r>
            <w:r w:rsidR="00E41A4C">
              <w:t xml:space="preserve"> </w:t>
            </w:r>
            <w:r w:rsidR="004347CE">
              <w:t xml:space="preserve">average concentration of </w:t>
            </w:r>
            <w:r w:rsidR="00F127B5">
              <w:t>88</w:t>
            </w:r>
            <w:r w:rsidR="004347CE">
              <w:t xml:space="preserve"> </w:t>
            </w:r>
            <w:r w:rsidR="00F127B5">
              <w:t>ppm</w:t>
            </w:r>
            <w:r w:rsidR="00E41A4C">
              <w:t xml:space="preserve"> </w:t>
            </w:r>
            <w:r w:rsidR="00452EFB">
              <w:t xml:space="preserve">of </w:t>
            </w:r>
            <w:r w:rsidR="00E41A4C">
              <w:t xml:space="preserve">toluene </w:t>
            </w:r>
            <w:r w:rsidR="00720680">
              <w:br/>
            </w:r>
            <w:r w:rsidR="00E94FFC">
              <w:t>(</w:t>
            </w:r>
            <w:r w:rsidR="009E4CC8">
              <w:t>50</w:t>
            </w:r>
            <w:r w:rsidR="009E4CC8" w:rsidRPr="00454080">
              <w:rPr>
                <w:rStyle w:val="checkbox"/>
                <w:rFonts w:ascii="Arial" w:hAnsi="Arial" w:cs="Arial"/>
              </w:rPr>
              <w:t>–</w:t>
            </w:r>
            <w:r w:rsidR="00E41A4C">
              <w:t>150 ppm</w:t>
            </w:r>
            <w:r w:rsidR="00E94FFC">
              <w:t>)</w:t>
            </w:r>
            <w:r w:rsidR="00720680">
              <w:t>.</w:t>
            </w:r>
          </w:p>
          <w:p w14:paraId="20AAE38D" w14:textId="77777777" w:rsidR="0045480D" w:rsidRDefault="0045480D" w:rsidP="00E41A4C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7A2615DA" w14:textId="7315A6BF" w:rsidR="001055BB" w:rsidRDefault="001055BB" w:rsidP="00E41A4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 xml:space="preserve">Animal </w:t>
            </w:r>
            <w:r w:rsidR="00CB32A9">
              <w:t>data</w:t>
            </w:r>
            <w:r>
              <w:t>:</w:t>
            </w:r>
          </w:p>
          <w:p w14:paraId="22214655" w14:textId="266BDA13" w:rsidR="00614F25" w:rsidRDefault="00CD4520" w:rsidP="00CD63A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Some spatial learning and memory effects reported in r</w:t>
            </w:r>
            <w:r w:rsidR="00E41A4C">
              <w:t>ats exposed to 80 ppm (5 d/wk, 6</w:t>
            </w:r>
            <w:r w:rsidR="00CB32A9">
              <w:t> </w:t>
            </w:r>
            <w:r w:rsidR="00E41A4C">
              <w:t>h/d</w:t>
            </w:r>
            <w:r>
              <w:t xml:space="preserve"> for 4 </w:t>
            </w:r>
            <w:r w:rsidR="00E41A4C">
              <w:t>wk</w:t>
            </w:r>
            <w:r>
              <w:t>)</w:t>
            </w:r>
          </w:p>
          <w:p w14:paraId="7193E159" w14:textId="04A25FE5" w:rsidR="0084074C" w:rsidRDefault="0084074C" w:rsidP="00CD63AC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evidence of carcinogenic activity in rats or mice in lifetime inhalation studies with </w:t>
            </w:r>
            <w:r w:rsidR="00AA4F1D">
              <w:t xml:space="preserve">toluene concentrations </w:t>
            </w:r>
            <w:r w:rsidR="00E41A4C">
              <w:t>&lt;</w:t>
            </w:r>
            <w:r>
              <w:t xml:space="preserve">1,200 ppm </w:t>
            </w:r>
          </w:p>
          <w:p w14:paraId="5139158F" w14:textId="480FEC2C" w:rsidR="00AA4F1D" w:rsidRDefault="00AA4F1D" w:rsidP="00CD63A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RD</w:t>
            </w:r>
            <w:r w:rsidR="00E41A4C">
              <w:rPr>
                <w:vertAlign w:val="subscript"/>
              </w:rPr>
              <w:t>50</w:t>
            </w:r>
            <w:r w:rsidR="00E41A4C">
              <w:t>: 3,300</w:t>
            </w:r>
            <w:r w:rsidR="00CD63AC">
              <w:t>–</w:t>
            </w:r>
            <w:r w:rsidR="00ED6A76">
              <w:t>5,300 ppm in respiratory irritation studies</w:t>
            </w:r>
            <w:r w:rsidR="00E41A4C">
              <w:t xml:space="preserve"> (animal </w:t>
            </w:r>
            <w:r w:rsidR="00720680">
              <w:t xml:space="preserve">species </w:t>
            </w:r>
            <w:r w:rsidR="00E41A4C">
              <w:t xml:space="preserve">unknown) </w:t>
            </w:r>
          </w:p>
          <w:p w14:paraId="15FCDD1A" w14:textId="78B1982B" w:rsidR="00ED6A76" w:rsidRDefault="00ED6A76" w:rsidP="00CD63AC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eye irritation but mild throat irritation in rabbits at 1,100 ppm </w:t>
            </w:r>
          </w:p>
          <w:p w14:paraId="67B418F5" w14:textId="77777777" w:rsidR="00CD63AC" w:rsidRDefault="00771C7A" w:rsidP="00CD63AC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Reversible high frequency hearing loss reported in male rats following inhalation of </w:t>
            </w:r>
          </w:p>
          <w:p w14:paraId="7DB07D78" w14:textId="02CF59C9" w:rsidR="00771C7A" w:rsidRDefault="00771C7A" w:rsidP="00CD63AC">
            <w:pPr>
              <w:pStyle w:val="ListBullet"/>
              <w:numPr>
                <w:ilvl w:val="0"/>
                <w:numId w:val="0"/>
              </w:numPr>
              <w:spacing w:before="60" w:after="60"/>
              <w:ind w:left="714"/>
              <w:contextualSpacing w:val="0"/>
            </w:pPr>
            <w:r>
              <w:t>1</w:t>
            </w:r>
            <w:r w:rsidR="00CD63AC">
              <w:t>,</w:t>
            </w:r>
            <w:r>
              <w:t>400</w:t>
            </w:r>
            <w:r w:rsidR="00CD63AC">
              <w:t>–</w:t>
            </w:r>
            <w:r>
              <w:t>2</w:t>
            </w:r>
            <w:r w:rsidR="00CD63AC">
              <w:t>,</w:t>
            </w:r>
            <w:r>
              <w:t>000 ppm toluene</w:t>
            </w:r>
            <w:r w:rsidR="00E41A4C">
              <w:t xml:space="preserve"> (8 </w:t>
            </w:r>
            <w:r w:rsidR="00452EFB">
              <w:t>h</w:t>
            </w:r>
            <w:r w:rsidR="00E41A4C">
              <w:t>/d for 3 d</w:t>
            </w:r>
            <w:r w:rsidR="00A9317B">
              <w:t>)</w:t>
            </w:r>
            <w:r>
              <w:t xml:space="preserve"> </w:t>
            </w:r>
          </w:p>
          <w:p w14:paraId="50279119" w14:textId="49C63A61" w:rsidR="00771C7A" w:rsidRDefault="00771C7A" w:rsidP="00CD63A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evidence of toxicity following dermal application of toluene in mice 3</w:t>
            </w:r>
            <w:r w:rsidR="006B157F">
              <w:t>/</w:t>
            </w:r>
            <w:r w:rsidR="00E41A4C">
              <w:t>wk</w:t>
            </w:r>
            <w:r>
              <w:t xml:space="preserve"> for 4 </w:t>
            </w:r>
            <w:r w:rsidR="00E41A4C">
              <w:t>wk</w:t>
            </w:r>
            <w:r>
              <w:t>, followed by secondary treatment of 3</w:t>
            </w:r>
            <w:r w:rsidR="006B157F">
              <w:t>/</w:t>
            </w:r>
            <w:r w:rsidR="00E41A4C">
              <w:t>wk for up to 112 wk</w:t>
            </w:r>
          </w:p>
          <w:p w14:paraId="20BAF33B" w14:textId="68109FA8" w:rsidR="006A74D3" w:rsidRDefault="0040053F" w:rsidP="00CD63AC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Two-generation </w:t>
            </w:r>
            <w:r w:rsidR="00865528">
              <w:t>r</w:t>
            </w:r>
            <w:r w:rsidR="006A74D3">
              <w:t xml:space="preserve">eproductive </w:t>
            </w:r>
            <w:r>
              <w:t>toxicity tests</w:t>
            </w:r>
            <w:r w:rsidRPr="00C75454">
              <w:rPr>
                <w:i/>
              </w:rPr>
              <w:t xml:space="preserve"> via</w:t>
            </w:r>
            <w:r>
              <w:t xml:space="preserve"> inhalation reported no adverse </w:t>
            </w:r>
            <w:r w:rsidR="00865528">
              <w:t xml:space="preserve">effects </w:t>
            </w:r>
            <w:r w:rsidR="00CA4B3F">
              <w:t>on fertility</w:t>
            </w:r>
            <w:r>
              <w:t>,</w:t>
            </w:r>
            <w:r w:rsidR="00CA4B3F">
              <w:t xml:space="preserve"> reproductive performance </w:t>
            </w:r>
            <w:r>
              <w:t xml:space="preserve">or maternal/pup behaviours during lactation period in males and females </w:t>
            </w:r>
            <w:r w:rsidR="00CA4B3F">
              <w:t xml:space="preserve">at exposures of </w:t>
            </w:r>
            <w:r w:rsidR="00F67A40">
              <w:t>0,</w:t>
            </w:r>
            <w:r w:rsidR="00F927BC">
              <w:t xml:space="preserve"> </w:t>
            </w:r>
            <w:r w:rsidR="00F67A40">
              <w:t xml:space="preserve">100 and </w:t>
            </w:r>
            <w:r w:rsidR="00CA4B3F">
              <w:t>500 ppm toluene</w:t>
            </w:r>
            <w:r>
              <w:t xml:space="preserve"> (NOAEL). Growth inhibition</w:t>
            </w:r>
            <w:r w:rsidR="000152C4">
              <w:t xml:space="preserve"> and </w:t>
            </w:r>
            <w:r w:rsidR="00BC0367">
              <w:t xml:space="preserve">variations in </w:t>
            </w:r>
            <w:r w:rsidR="002911F3">
              <w:t xml:space="preserve">foetal </w:t>
            </w:r>
            <w:r w:rsidR="00BC0367">
              <w:t>body weight and skeleton</w:t>
            </w:r>
            <w:r w:rsidR="007F3CB7">
              <w:t xml:space="preserve"> development</w:t>
            </w:r>
            <w:r w:rsidR="00BC0367">
              <w:t xml:space="preserve"> in offspring were reported for the 2</w:t>
            </w:r>
            <w:r w:rsidR="00D176FD">
              <w:t>,</w:t>
            </w:r>
            <w:r w:rsidR="00BC0367">
              <w:t xml:space="preserve">000 ppm </w:t>
            </w:r>
            <w:r w:rsidR="000152C4">
              <w:t xml:space="preserve">exposure </w:t>
            </w:r>
            <w:r w:rsidR="00E41A4C">
              <w:t>group</w:t>
            </w:r>
          </w:p>
          <w:p w14:paraId="760EEDF1" w14:textId="128084A3" w:rsidR="00E41A4C" w:rsidRDefault="0084074C" w:rsidP="00CD63A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="00E41A4C">
              <w:rPr>
                <w:vertAlign w:val="subscript"/>
              </w:rPr>
              <w:t>50</w:t>
            </w:r>
            <w:r w:rsidR="00E41A4C">
              <w:rPr>
                <w:vertAlign w:val="subscript"/>
              </w:rPr>
              <w:softHyphen/>
            </w:r>
            <w:r w:rsidR="00E41A4C">
              <w:t>: 12,000 mg/kg (</w:t>
            </w:r>
            <w:r>
              <w:t>rats</w:t>
            </w:r>
            <w:r w:rsidR="00E41A4C">
              <w:t xml:space="preserve">, dermal) </w:t>
            </w:r>
          </w:p>
          <w:p w14:paraId="5CF05A7F" w14:textId="0AE4DF55" w:rsidR="00CA4B3F" w:rsidRPr="00AE4100" w:rsidRDefault="00E41A4C" w:rsidP="00CD63AC">
            <w:pPr>
              <w:pStyle w:val="ListBullet"/>
              <w:spacing w:before="60" w:after="60"/>
              <w:ind w:left="714" w:hanging="357"/>
              <w:contextualSpacing w:val="0"/>
            </w:pPr>
            <w:r>
              <w:lastRenderedPageBreak/>
              <w:t xml:space="preserve">Not mutagenic in </w:t>
            </w:r>
            <w:r>
              <w:rPr>
                <w:i/>
              </w:rPr>
              <w:t>Salmonella, Escherichia coli, Sacc</w:t>
            </w:r>
            <w:r w:rsidR="00CB32A9">
              <w:rPr>
                <w:i/>
              </w:rPr>
              <w:t>haro</w:t>
            </w:r>
            <w:r>
              <w:rPr>
                <w:i/>
              </w:rPr>
              <w:t>m</w:t>
            </w:r>
            <w:r w:rsidR="00CB32A9">
              <w:rPr>
                <w:i/>
              </w:rPr>
              <w:t>yc</w:t>
            </w:r>
            <w:r>
              <w:rPr>
                <w:i/>
              </w:rPr>
              <w:t xml:space="preserve">es cerevisiae </w:t>
            </w:r>
            <w:r w:rsidRPr="0045480D">
              <w:t>or</w:t>
            </w:r>
            <w:r>
              <w:rPr>
                <w:i/>
              </w:rPr>
              <w:t xml:space="preserve"> </w:t>
            </w:r>
            <w:r w:rsidR="00CB32A9">
              <w:rPr>
                <w:i/>
              </w:rPr>
              <w:t>Drosophila</w:t>
            </w:r>
            <w:r w:rsidR="0045480D">
              <w:rPr>
                <w:i/>
              </w:rPr>
              <w:t> </w:t>
            </w:r>
            <w:r>
              <w:rPr>
                <w:i/>
              </w:rPr>
              <w:t>melanogaster.</w:t>
            </w:r>
          </w:p>
          <w:p w14:paraId="1705F309" w14:textId="77777777" w:rsidR="0045480D" w:rsidRDefault="0045480D" w:rsidP="00AE4100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7FC2B2BE" w14:textId="77777777" w:rsidR="00AE4100" w:rsidRDefault="00AE4100" w:rsidP="00AE410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E4100">
              <w:t xml:space="preserve">In 2006 the Skin notation was </w:t>
            </w:r>
            <w:r>
              <w:t xml:space="preserve">withdrawn based on studies which showed poor skin absorption. </w:t>
            </w:r>
          </w:p>
          <w:p w14:paraId="5400CDF3" w14:textId="77777777" w:rsidR="00984010" w:rsidRDefault="00984010" w:rsidP="00AE410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Not classified as human carcinogen.</w:t>
            </w:r>
          </w:p>
          <w:p w14:paraId="161EB27F" w14:textId="77777777" w:rsidR="00984010" w:rsidRDefault="00984010" w:rsidP="00AE410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Insufficient data to recommend a TLV-STEL or SEN notation.</w:t>
            </w:r>
          </w:p>
          <w:p w14:paraId="2DF8B7EA" w14:textId="77A87F0B" w:rsidR="00984010" w:rsidRPr="00AE4100" w:rsidRDefault="00984010" w:rsidP="00AE4100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36F6CBE1" w14:textId="77777777" w:rsidTr="003D41BC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86F0A9B" w14:textId="6DA31A5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BC0367">
                  <w:t>1995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A26AAE">
                  <w:t>MAK: 50 ppm (190 mg/m</w:t>
                </w:r>
                <w:r w:rsidR="00A26AAE">
                  <w:rPr>
                    <w:vertAlign w:val="superscript"/>
                  </w:rPr>
                  <w:t>3</w:t>
                </w:r>
                <w:r w:rsidR="00A26AAE">
                  <w:t>)</w:t>
                </w:r>
              </w:sdtContent>
            </w:sdt>
          </w:p>
        </w:tc>
      </w:tr>
      <w:tr w:rsidR="00C978F0" w:rsidRPr="00DA352E" w14:paraId="55295EC0" w14:textId="77777777" w:rsidTr="003D41BC">
        <w:trPr>
          <w:gridAfter w:val="1"/>
          <w:wAfter w:w="8" w:type="pct"/>
        </w:trPr>
        <w:tc>
          <w:tcPr>
            <w:tcW w:w="4992" w:type="pct"/>
          </w:tcPr>
          <w:p w14:paraId="34F83BF9" w14:textId="44CD2D9E" w:rsidR="00C978F0" w:rsidRDefault="00A26AAE" w:rsidP="003365A5">
            <w:pPr>
              <w:pStyle w:val="Tabletextprimarysource"/>
            </w:pPr>
            <w:r>
              <w:t>Recommend</w:t>
            </w:r>
            <w:r w:rsidR="00960656">
              <w:t>ed</w:t>
            </w:r>
            <w:r>
              <w:t xml:space="preserve"> MAK</w:t>
            </w:r>
            <w:r w:rsidR="00960656">
              <w:t xml:space="preserve"> established</w:t>
            </w:r>
            <w:r>
              <w:t xml:space="preserve"> in relation to adverse effects on performance and subjective effects (how a person feels</w:t>
            </w:r>
            <w:r w:rsidR="00960656">
              <w:t>)</w:t>
            </w:r>
            <w:r w:rsidR="00720680">
              <w:t>.</w:t>
            </w:r>
          </w:p>
          <w:p w14:paraId="32219301" w14:textId="77777777" w:rsidR="00A26AAE" w:rsidRDefault="00A26AAE" w:rsidP="003365A5">
            <w:pPr>
              <w:pStyle w:val="Tabletextprimarysource"/>
            </w:pPr>
            <w:r>
              <w:t>Summary of data:</w:t>
            </w:r>
          </w:p>
          <w:p w14:paraId="4D115525" w14:textId="64457575" w:rsidR="00A26AAE" w:rsidRDefault="00960656" w:rsidP="00CD63AC">
            <w:pPr>
              <w:pStyle w:val="ListBullet"/>
              <w:tabs>
                <w:tab w:val="clear" w:pos="360"/>
              </w:tabs>
              <w:spacing w:before="60" w:after="60"/>
              <w:ind w:left="867" w:hanging="357"/>
              <w:contextualSpacing w:val="0"/>
            </w:pPr>
            <w:r>
              <w:t>LOAEL</w:t>
            </w:r>
            <w:r w:rsidR="00A26AAE">
              <w:t xml:space="preserve"> of </w:t>
            </w:r>
            <w:r w:rsidR="009D4EF3">
              <w:rPr>
                <w:rFonts w:cs="Arial"/>
              </w:rPr>
              <w:t>≈</w:t>
            </w:r>
            <w:r w:rsidR="00A26AAE">
              <w:t>60 ppm for subjective effects in humans</w:t>
            </w:r>
          </w:p>
          <w:p w14:paraId="2CFC46BB" w14:textId="77777777" w:rsidR="00A26AAE" w:rsidRDefault="00A26AAE" w:rsidP="00CD63AC">
            <w:pPr>
              <w:pStyle w:val="ListBullet"/>
              <w:tabs>
                <w:tab w:val="clear" w:pos="360"/>
              </w:tabs>
              <w:spacing w:before="60" w:after="60"/>
              <w:ind w:left="867" w:hanging="357"/>
              <w:contextualSpacing w:val="0"/>
            </w:pPr>
            <w:r>
              <w:t>Assumes effect at low level exposures are reversible (no value provided)</w:t>
            </w:r>
          </w:p>
          <w:p w14:paraId="0540D80D" w14:textId="77777777" w:rsidR="00A26AAE" w:rsidRDefault="00960656" w:rsidP="00CD63AC">
            <w:pPr>
              <w:pStyle w:val="ListBullet"/>
              <w:tabs>
                <w:tab w:val="clear" w:pos="360"/>
              </w:tabs>
              <w:spacing w:before="60" w:after="60"/>
              <w:ind w:left="867" w:hanging="357"/>
              <w:contextualSpacing w:val="0"/>
            </w:pPr>
            <w:r>
              <w:t>Persistent behavioural toxic effects not expected after exposure to 50 ppm</w:t>
            </w:r>
            <w:r w:rsidR="009D4EF3">
              <w:t>.</w:t>
            </w:r>
          </w:p>
          <w:p w14:paraId="6532490D" w14:textId="32B28263" w:rsidR="00984010" w:rsidRPr="00DA352E" w:rsidRDefault="00984010" w:rsidP="00984010">
            <w:pPr>
              <w:pStyle w:val="ListBullet"/>
              <w:numPr>
                <w:ilvl w:val="0"/>
                <w:numId w:val="0"/>
              </w:numPr>
              <w:ind w:left="873"/>
            </w:pPr>
          </w:p>
        </w:tc>
      </w:tr>
      <w:tr w:rsidR="00C978F0" w:rsidRPr="00DA352E" w14:paraId="2F55B3B2" w14:textId="77777777" w:rsidTr="003D41BC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2F24BC39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960656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150883416"/>
                    <w:placeholder>
                      <w:docPart w:val="C9C687D271954C21AF63D759BC9958A2"/>
                    </w:placeholder>
                  </w:sdtPr>
                  <w:sdtEndPr/>
                  <w:sdtContent>
                    <w:sdt>
                      <w:sdtPr>
                        <w:alias w:val="SWA WES"/>
                        <w:tag w:val="SWA WES"/>
                        <w:id w:val="428931727"/>
                        <w:placeholder>
                          <w:docPart w:val="43EF9AACC74A436980CB33894B83C2CA"/>
                        </w:placeholder>
                      </w:sdtPr>
                      <w:sdtEndPr/>
                      <w:sdtContent>
                        <w:r w:rsidR="00960656" w:rsidRPr="00A761C9">
                          <w:t>TWA:</w:t>
                        </w:r>
                        <w:r w:rsidR="00960656">
                          <w:t xml:space="preserve"> 50</w:t>
                        </w:r>
                        <w:r w:rsidR="00960656" w:rsidRPr="00A761C9">
                          <w:t xml:space="preserve"> ppm </w:t>
                        </w:r>
                        <w:r w:rsidR="00960656">
                          <w:t>(192</w:t>
                        </w:r>
                        <w:r w:rsidR="00960656" w:rsidRPr="00A761C9">
                          <w:t xml:space="preserve"> mg/m</w:t>
                        </w:r>
                        <w:r w:rsidR="00960656">
                          <w:rPr>
                            <w:vertAlign w:val="superscript"/>
                          </w:rPr>
                          <w:t>3</w:t>
                        </w:r>
                        <w:r w:rsidR="00960656">
                          <w:t>);</w:t>
                        </w:r>
                      </w:sdtContent>
                    </w:sdt>
                    <w:r w:rsidR="00960656">
                      <w:t xml:space="preserve"> STEL: 100</w:t>
                    </w:r>
                    <w:r w:rsidR="00960656" w:rsidRPr="00A761C9">
                      <w:t xml:space="preserve"> ppm </w:t>
                    </w:r>
                    <w:r w:rsidR="00960656">
                      <w:t>(384</w:t>
                    </w:r>
                    <w:r w:rsidR="00960656" w:rsidRPr="00A761C9">
                      <w:t xml:space="preserve"> mg/m</w:t>
                    </w:r>
                    <w:r w:rsidR="00960656">
                      <w:rPr>
                        <w:vertAlign w:val="superscript"/>
                      </w:rPr>
                      <w:t>3</w:t>
                    </w:r>
                    <w:r w:rsidR="00960656">
                      <w:t xml:space="preserve">) </w:t>
                    </w:r>
                  </w:sdtContent>
                </w:sdt>
              </w:sdtContent>
            </w:sdt>
          </w:p>
        </w:tc>
      </w:tr>
      <w:tr w:rsidR="00C978F0" w:rsidRPr="00DA352E" w14:paraId="53CE9FFB" w14:textId="77777777" w:rsidTr="003D41BC">
        <w:trPr>
          <w:gridAfter w:val="1"/>
          <w:wAfter w:w="8" w:type="pct"/>
        </w:trPr>
        <w:tc>
          <w:tcPr>
            <w:tcW w:w="4992" w:type="pct"/>
          </w:tcPr>
          <w:p w14:paraId="05DB771A" w14:textId="5602871E" w:rsidR="00C978F0" w:rsidRDefault="009050B4" w:rsidP="003365A5">
            <w:pPr>
              <w:pStyle w:val="Tabletextprimarysource"/>
            </w:pPr>
            <w:r>
              <w:t xml:space="preserve">TWA and STEL recommended to protect </w:t>
            </w:r>
            <w:r w:rsidR="009E4CC8">
              <w:t>for</w:t>
            </w:r>
            <w:r>
              <w:t xml:space="preserve"> adverse subjective effects and short-term </w:t>
            </w:r>
            <w:proofErr w:type="spellStart"/>
            <w:r>
              <w:t>neurobehavioural</w:t>
            </w:r>
            <w:proofErr w:type="spellEnd"/>
            <w:r>
              <w:t xml:space="preserve"> effects</w:t>
            </w:r>
          </w:p>
          <w:p w14:paraId="4F74E634" w14:textId="77777777" w:rsidR="00960656" w:rsidRDefault="00960656" w:rsidP="003365A5">
            <w:pPr>
              <w:pStyle w:val="Tabletextprimarysource"/>
            </w:pPr>
            <w:r>
              <w:t>Summary of data:</w:t>
            </w:r>
          </w:p>
          <w:p w14:paraId="52B036DA" w14:textId="57B7FC38" w:rsidR="00960656" w:rsidRDefault="00960656" w:rsidP="00CD63AC">
            <w:pPr>
              <w:pStyle w:val="ListBullet"/>
              <w:tabs>
                <w:tab w:val="clear" w:pos="360"/>
              </w:tabs>
              <w:spacing w:before="60" w:after="60"/>
              <w:ind w:left="867" w:hanging="357"/>
              <w:contextualSpacing w:val="0"/>
            </w:pPr>
            <w:r>
              <w:t>Suggested th</w:t>
            </w:r>
            <w:r w:rsidR="009D4EF3">
              <w:t>at first effects for both short</w:t>
            </w:r>
            <w:r>
              <w:t xml:space="preserve"> and long-term are found at </w:t>
            </w:r>
            <w:r w:rsidR="009D4EF3">
              <w:rPr>
                <w:rFonts w:cs="Arial"/>
              </w:rPr>
              <w:t>≈</w:t>
            </w:r>
            <w:r>
              <w:t>75 ppm</w:t>
            </w:r>
          </w:p>
          <w:p w14:paraId="094630B0" w14:textId="7ADE611F" w:rsidR="002F668C" w:rsidRDefault="002F668C" w:rsidP="00CD63AC">
            <w:pPr>
              <w:pStyle w:val="ListBullet"/>
              <w:tabs>
                <w:tab w:val="clear" w:pos="360"/>
              </w:tabs>
              <w:spacing w:before="60" w:after="60"/>
              <w:ind w:left="867" w:hanging="357"/>
              <w:contextualSpacing w:val="0"/>
            </w:pPr>
            <w:r>
              <w:t xml:space="preserve">No effects on </w:t>
            </w:r>
            <w:r w:rsidR="006715C8">
              <w:t>psychophysiological</w:t>
            </w:r>
            <w:r w:rsidR="00D55175">
              <w:t xml:space="preserve"> function</w:t>
            </w:r>
            <w:r w:rsidR="006715C8">
              <w:t>s</w:t>
            </w:r>
            <w:r w:rsidR="00D176FD">
              <w:t xml:space="preserve"> (not defined)</w:t>
            </w:r>
            <w:r>
              <w:t xml:space="preserve"> were found in a study examining the effects of repeated exposure of 12 volunteers to 80 ppm for 4.5 </w:t>
            </w:r>
            <w:r w:rsidR="00452EFB">
              <w:t>h</w:t>
            </w:r>
            <w:r>
              <w:t xml:space="preserve"> </w:t>
            </w:r>
            <w:r w:rsidR="00E94FFC">
              <w:t>under laboratory conditions</w:t>
            </w:r>
          </w:p>
          <w:p w14:paraId="64C68C67" w14:textId="5B11669D" w:rsidR="009050B4" w:rsidRDefault="009050B4" w:rsidP="00CD63AC">
            <w:pPr>
              <w:pStyle w:val="ListBullet"/>
              <w:tabs>
                <w:tab w:val="clear" w:pos="360"/>
              </w:tabs>
              <w:spacing w:before="60" w:after="60"/>
              <w:ind w:left="867" w:hanging="357"/>
              <w:contextualSpacing w:val="0"/>
            </w:pPr>
            <w:r>
              <w:t xml:space="preserve">STEL based on the toxicokinetics of toluene in conjunction with experimental data on human </w:t>
            </w:r>
            <w:proofErr w:type="spellStart"/>
            <w:r>
              <w:t>neurobehaviour</w:t>
            </w:r>
            <w:proofErr w:type="spellEnd"/>
            <w:r>
              <w:t xml:space="preserve"> at 80 ppm</w:t>
            </w:r>
          </w:p>
          <w:p w14:paraId="1EC8B334" w14:textId="77777777" w:rsidR="00960656" w:rsidRDefault="00960656" w:rsidP="00CD63AC">
            <w:pPr>
              <w:pStyle w:val="ListBullet"/>
              <w:tabs>
                <w:tab w:val="clear" w:pos="360"/>
              </w:tabs>
              <w:spacing w:before="60" w:after="60"/>
              <w:ind w:left="867" w:hanging="357"/>
              <w:contextualSpacing w:val="0"/>
            </w:pPr>
            <w:r w:rsidRPr="006149B2">
              <w:t>A skin notation was recommended, as dermal absorption of liquid toluene may contribute substantially to the total body burden</w:t>
            </w:r>
            <w:r w:rsidR="009D4EF3" w:rsidRPr="006149B2">
              <w:t>.</w:t>
            </w:r>
          </w:p>
          <w:p w14:paraId="30053BA9" w14:textId="7A761320" w:rsidR="00984010" w:rsidRPr="00DA352E" w:rsidRDefault="00984010" w:rsidP="00984010">
            <w:pPr>
              <w:pStyle w:val="ListBullet"/>
              <w:numPr>
                <w:ilvl w:val="0"/>
                <w:numId w:val="0"/>
              </w:numPr>
              <w:ind w:left="873"/>
            </w:pPr>
          </w:p>
        </w:tc>
      </w:tr>
      <w:tr w:rsidR="00DA352E" w:rsidRPr="00DA352E" w14:paraId="72EA3283" w14:textId="77777777" w:rsidTr="003D41BC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8DC3501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9050B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9050B4">
                  <w:t>NA</w:t>
                </w:r>
              </w:sdtContent>
            </w:sdt>
          </w:p>
        </w:tc>
      </w:tr>
      <w:tr w:rsidR="00DA352E" w:rsidRPr="00DA352E" w14:paraId="3DC81048" w14:textId="77777777" w:rsidTr="003D41BC">
        <w:trPr>
          <w:gridAfter w:val="1"/>
          <w:wAfter w:w="8" w:type="pct"/>
        </w:trPr>
        <w:tc>
          <w:tcPr>
            <w:tcW w:w="4992" w:type="pct"/>
          </w:tcPr>
          <w:p w14:paraId="1DA0D2EA" w14:textId="77777777" w:rsidR="00DA352E" w:rsidRPr="00DA352E" w:rsidRDefault="009050B4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1BB7659D" w14:textId="77777777" w:rsidTr="003D41BC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F25799E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9050B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9050B4">
                  <w:t>NA</w:t>
                </w:r>
              </w:sdtContent>
            </w:sdt>
          </w:p>
        </w:tc>
      </w:tr>
      <w:tr w:rsidR="00DA352E" w:rsidRPr="00DA352E" w14:paraId="5B1036C9" w14:textId="77777777" w:rsidTr="003D41BC">
        <w:trPr>
          <w:gridAfter w:val="1"/>
          <w:wAfter w:w="8" w:type="pct"/>
        </w:trPr>
        <w:tc>
          <w:tcPr>
            <w:tcW w:w="4992" w:type="pct"/>
          </w:tcPr>
          <w:p w14:paraId="65C1E8E3" w14:textId="77777777" w:rsidR="00DA352E" w:rsidRPr="00DA352E" w:rsidRDefault="009050B4" w:rsidP="003365A5">
            <w:pPr>
              <w:pStyle w:val="Tabletextprimarysource"/>
            </w:pPr>
            <w:r>
              <w:t>No report</w:t>
            </w:r>
          </w:p>
        </w:tc>
      </w:tr>
    </w:tbl>
    <w:p w14:paraId="1812B38F" w14:textId="77777777" w:rsidR="00A20751" w:rsidRPr="004C23F4" w:rsidRDefault="00A20751" w:rsidP="003365A5">
      <w:pPr>
        <w:pStyle w:val="Heading3"/>
      </w:pPr>
      <w:bookmarkStart w:id="1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51"/>
        <w:gridCol w:w="421"/>
        <w:gridCol w:w="1050"/>
        <w:gridCol w:w="6104"/>
      </w:tblGrid>
      <w:tr w:rsidR="004966BF" w:rsidRPr="00263255" w14:paraId="03E147FF" w14:textId="77777777" w:rsidTr="003D4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207F3610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4B49D7BB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1050" w:type="dxa"/>
            <w:shd w:val="clear" w:color="auto" w:fill="BFBFBF" w:themeFill="background1" w:themeFillShade="BF"/>
            <w:vAlign w:val="center"/>
          </w:tcPr>
          <w:p w14:paraId="6AE60B8E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104" w:type="dxa"/>
            <w:shd w:val="clear" w:color="auto" w:fill="BFBFBF" w:themeFill="background1" w:themeFillShade="BF"/>
            <w:vAlign w:val="center"/>
          </w:tcPr>
          <w:p w14:paraId="165632A3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45E9FB20" w14:textId="77777777" w:rsidTr="003D41BC">
        <w:trPr>
          <w:cantSplit/>
        </w:trPr>
        <w:tc>
          <w:tcPr>
            <w:tcW w:w="1451" w:type="dxa"/>
          </w:tcPr>
          <w:p w14:paraId="7493BEA0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1" w:type="dxa"/>
          </w:tcPr>
          <w:p w14:paraId="6304FAC8" w14:textId="77777777" w:rsidR="004966BF" w:rsidRPr="00CE617F" w:rsidRDefault="005B2E95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050B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1050" w:type="dxa"/>
          </w:tcPr>
          <w:p w14:paraId="5115B1D5" w14:textId="77777777" w:rsidR="004966BF" w:rsidRPr="004C23F4" w:rsidRDefault="009050B4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2017</w:t>
            </w:r>
          </w:p>
        </w:tc>
        <w:tc>
          <w:tcPr>
            <w:tcW w:w="6104" w:type="dxa"/>
          </w:tcPr>
          <w:p w14:paraId="485416CA" w14:textId="77777777" w:rsidR="00D7775C" w:rsidRDefault="00D7775C" w:rsidP="00CD63AC">
            <w:pPr>
              <w:pStyle w:val="ListBullet"/>
              <w:spacing w:before="60" w:after="60"/>
              <w:ind w:left="357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Not classified as a respiratory irritant</w:t>
            </w:r>
          </w:p>
          <w:p w14:paraId="5CFB1820" w14:textId="77777777" w:rsidR="000F25F0" w:rsidRPr="000F25F0" w:rsidRDefault="000F25F0" w:rsidP="00CD63AC">
            <w:pPr>
              <w:pStyle w:val="ListBullet"/>
              <w:spacing w:before="60" w:after="60"/>
              <w:ind w:left="357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Skin irritation category 2</w:t>
            </w:r>
          </w:p>
          <w:p w14:paraId="27D96E2D" w14:textId="375F4ACD" w:rsidR="004966BF" w:rsidRDefault="00CB15C9" w:rsidP="00CD63AC">
            <w:pPr>
              <w:pStyle w:val="ListBullet"/>
              <w:spacing w:before="60" w:after="60"/>
              <w:ind w:left="357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Inhalation s</w:t>
            </w:r>
            <w:r w:rsidR="009050B4" w:rsidRPr="009050B4">
              <w:rPr>
                <w:rStyle w:val="checkbox"/>
                <w:rFonts w:ascii="Arial" w:hAnsi="Arial" w:cs="Arial"/>
              </w:rPr>
              <w:t xml:space="preserve">tudy on rats exposed to 80 ppm for </w:t>
            </w:r>
            <w:r>
              <w:rPr>
                <w:rStyle w:val="checkbox"/>
                <w:rFonts w:ascii="Arial" w:hAnsi="Arial" w:cs="Arial"/>
              </w:rPr>
              <w:t>6</w:t>
            </w:r>
            <w:r w:rsidRPr="009050B4">
              <w:rPr>
                <w:rStyle w:val="checkbox"/>
                <w:rFonts w:ascii="Arial" w:hAnsi="Arial" w:cs="Arial"/>
              </w:rPr>
              <w:t xml:space="preserve"> </w:t>
            </w:r>
            <w:r w:rsidR="00452EFB">
              <w:rPr>
                <w:rStyle w:val="checkbox"/>
                <w:rFonts w:ascii="Arial" w:hAnsi="Arial" w:cs="Arial"/>
              </w:rPr>
              <w:t>h</w:t>
            </w:r>
            <w:r w:rsidR="009D4EF3">
              <w:rPr>
                <w:rStyle w:val="checkbox"/>
                <w:rFonts w:ascii="Arial" w:hAnsi="Arial" w:cs="Arial"/>
              </w:rPr>
              <w:t xml:space="preserve">/d, </w:t>
            </w:r>
            <w:r>
              <w:rPr>
                <w:rStyle w:val="checkbox"/>
                <w:rFonts w:ascii="Arial" w:hAnsi="Arial" w:cs="Arial"/>
              </w:rPr>
              <w:t xml:space="preserve">4 </w:t>
            </w:r>
            <w:r w:rsidR="009D4EF3">
              <w:rPr>
                <w:rStyle w:val="checkbox"/>
                <w:rFonts w:ascii="Arial" w:hAnsi="Arial" w:cs="Arial"/>
              </w:rPr>
              <w:t>d/</w:t>
            </w:r>
            <w:proofErr w:type="spellStart"/>
            <w:r w:rsidR="009D4EF3">
              <w:rPr>
                <w:rStyle w:val="checkbox"/>
                <w:rFonts w:ascii="Arial" w:hAnsi="Arial" w:cs="Arial"/>
              </w:rPr>
              <w:t>w</w:t>
            </w:r>
            <w:r w:rsidR="009050B4" w:rsidRPr="009050B4">
              <w:rPr>
                <w:rStyle w:val="checkbox"/>
                <w:rFonts w:ascii="Arial" w:hAnsi="Arial" w:cs="Arial"/>
              </w:rPr>
              <w:t>k</w:t>
            </w:r>
            <w:proofErr w:type="spellEnd"/>
            <w:r w:rsidR="009050B4" w:rsidRPr="009050B4">
              <w:rPr>
                <w:rStyle w:val="checkbox"/>
                <w:rFonts w:ascii="Arial" w:hAnsi="Arial" w:cs="Arial"/>
              </w:rPr>
              <w:t xml:space="preserve"> for </w:t>
            </w:r>
            <w:r>
              <w:rPr>
                <w:rStyle w:val="checkbox"/>
                <w:rFonts w:ascii="Arial" w:hAnsi="Arial" w:cs="Arial"/>
              </w:rPr>
              <w:t>4</w:t>
            </w:r>
            <w:r w:rsidRPr="009050B4">
              <w:rPr>
                <w:rStyle w:val="checkbox"/>
                <w:rFonts w:ascii="Arial" w:hAnsi="Arial" w:cs="Arial"/>
              </w:rPr>
              <w:t xml:space="preserve"> </w:t>
            </w:r>
            <w:proofErr w:type="spellStart"/>
            <w:r w:rsidR="009D4EF3">
              <w:rPr>
                <w:rStyle w:val="checkbox"/>
                <w:rFonts w:ascii="Arial" w:hAnsi="Arial" w:cs="Arial"/>
              </w:rPr>
              <w:t>wk</w:t>
            </w:r>
            <w:proofErr w:type="spellEnd"/>
            <w:r w:rsidR="009050B4" w:rsidRPr="009050B4">
              <w:rPr>
                <w:rStyle w:val="checkbox"/>
                <w:rFonts w:ascii="Arial" w:hAnsi="Arial" w:cs="Arial"/>
              </w:rPr>
              <w:t xml:space="preserve"> showed adverse </w:t>
            </w:r>
            <w:proofErr w:type="spellStart"/>
            <w:r w:rsidR="009050B4" w:rsidRPr="009050B4">
              <w:rPr>
                <w:rStyle w:val="checkbox"/>
                <w:rFonts w:ascii="Arial" w:hAnsi="Arial" w:cs="Arial"/>
              </w:rPr>
              <w:t>neurobehavioural</w:t>
            </w:r>
            <w:proofErr w:type="spellEnd"/>
            <w:r w:rsidR="009050B4" w:rsidRPr="009050B4">
              <w:rPr>
                <w:rStyle w:val="checkbox"/>
                <w:rFonts w:ascii="Arial" w:hAnsi="Arial" w:cs="Arial"/>
              </w:rPr>
              <w:t xml:space="preserve"> alterations</w:t>
            </w:r>
          </w:p>
          <w:p w14:paraId="5B647310" w14:textId="2E4AE5CF" w:rsidR="00454080" w:rsidRDefault="00454080" w:rsidP="00CD63AC">
            <w:pPr>
              <w:pStyle w:val="ListBullet"/>
              <w:spacing w:before="60" w:after="60"/>
              <w:ind w:left="357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Reported NOAEL</w:t>
            </w:r>
            <w:r w:rsidRPr="00454080">
              <w:rPr>
                <w:rStyle w:val="checkbox"/>
                <w:rFonts w:ascii="Arial" w:hAnsi="Arial" w:cs="Arial"/>
              </w:rPr>
              <w:t xml:space="preserve"> </w:t>
            </w:r>
            <w:r w:rsidR="009D4EF3">
              <w:rPr>
                <w:rStyle w:val="checkbox"/>
                <w:rFonts w:ascii="Arial" w:hAnsi="Arial" w:cs="Arial"/>
              </w:rPr>
              <w:t xml:space="preserve">of </w:t>
            </w:r>
            <w:r w:rsidRPr="00454080">
              <w:rPr>
                <w:rStyle w:val="checkbox"/>
                <w:rFonts w:ascii="Arial" w:hAnsi="Arial" w:cs="Arial"/>
              </w:rPr>
              <w:t>25–50 ppm identified for individual neurological effects</w:t>
            </w:r>
            <w:r w:rsidR="00E159FB">
              <w:rPr>
                <w:rStyle w:val="checkbox"/>
                <w:rFonts w:ascii="Arial" w:hAnsi="Arial" w:cs="Arial"/>
              </w:rPr>
              <w:t xml:space="preserve"> (no further information)</w:t>
            </w:r>
          </w:p>
          <w:p w14:paraId="379F07ED" w14:textId="1F58A48D" w:rsidR="00A31F90" w:rsidRDefault="00A31F90" w:rsidP="00CD63AC">
            <w:pPr>
              <w:pStyle w:val="ListBullet"/>
              <w:spacing w:before="60" w:after="60"/>
              <w:ind w:left="357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A31F90">
              <w:rPr>
                <w:rFonts w:cs="Arial"/>
              </w:rPr>
              <w:t>US EPA</w:t>
            </w:r>
            <w:r w:rsidR="000A652E">
              <w:rPr>
                <w:rFonts w:cs="Arial"/>
              </w:rPr>
              <w:t xml:space="preserve"> (2005)</w:t>
            </w:r>
            <w:r w:rsidRPr="00A31F90">
              <w:rPr>
                <w:rFonts w:cs="Arial"/>
              </w:rPr>
              <w:t xml:space="preserve"> calculated arithmetic mean of </w:t>
            </w:r>
            <w:r w:rsidR="004347CE">
              <w:rPr>
                <w:rFonts w:cs="Arial"/>
              </w:rPr>
              <w:t>34 ppm</w:t>
            </w:r>
            <w:r w:rsidR="004347CE" w:rsidRPr="00A31F90">
              <w:rPr>
                <w:rFonts w:cs="Arial"/>
              </w:rPr>
              <w:t xml:space="preserve"> </w:t>
            </w:r>
            <w:r w:rsidR="00B3386B">
              <w:rPr>
                <w:rFonts w:cs="Arial"/>
              </w:rPr>
              <w:t>using the</w:t>
            </w:r>
            <w:r w:rsidR="004347CE">
              <w:rPr>
                <w:rFonts w:cs="Arial"/>
              </w:rPr>
              <w:t xml:space="preserve"> </w:t>
            </w:r>
            <w:r w:rsidRPr="00A31F90">
              <w:rPr>
                <w:rFonts w:cs="Arial"/>
              </w:rPr>
              <w:t xml:space="preserve">available NOAELs from 10 occupational studies </w:t>
            </w:r>
            <w:r w:rsidR="00B3386B">
              <w:rPr>
                <w:rFonts w:cs="Arial"/>
              </w:rPr>
              <w:t xml:space="preserve">that they </w:t>
            </w:r>
            <w:r w:rsidRPr="00A31F90">
              <w:rPr>
                <w:rFonts w:cs="Arial"/>
              </w:rPr>
              <w:t>co</w:t>
            </w:r>
            <w:r>
              <w:rPr>
                <w:rFonts w:cs="Arial"/>
              </w:rPr>
              <w:t xml:space="preserve">nsidered adequate  </w:t>
            </w:r>
          </w:p>
          <w:p w14:paraId="6AFFE424" w14:textId="79C6A5A5" w:rsidR="00454080" w:rsidRDefault="00A31F90" w:rsidP="00CD63AC">
            <w:pPr>
              <w:pStyle w:val="ListBullet"/>
              <w:spacing w:before="60" w:after="60"/>
              <w:ind w:left="357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Advised that b</w:t>
            </w:r>
            <w:r w:rsidRPr="00454080">
              <w:rPr>
                <w:rStyle w:val="checkbox"/>
                <w:rFonts w:ascii="Arial" w:hAnsi="Arial" w:cs="Arial"/>
              </w:rPr>
              <w:t xml:space="preserve">ased on the available data, the current exposure standard </w:t>
            </w:r>
            <w:r w:rsidR="00665738">
              <w:rPr>
                <w:rStyle w:val="checkbox"/>
                <w:rFonts w:ascii="Arial" w:hAnsi="Arial" w:cs="Arial"/>
              </w:rPr>
              <w:t xml:space="preserve">of 50 ppm </w:t>
            </w:r>
            <w:r w:rsidRPr="00454080">
              <w:rPr>
                <w:rStyle w:val="checkbox"/>
                <w:rFonts w:ascii="Arial" w:hAnsi="Arial" w:cs="Arial"/>
              </w:rPr>
              <w:t>may not be adequate to mitigate the risk of adverse effects</w:t>
            </w:r>
          </w:p>
          <w:p w14:paraId="75E01922" w14:textId="38408779" w:rsidR="00B02FDC" w:rsidRDefault="00B02FDC" w:rsidP="00CD63AC">
            <w:pPr>
              <w:pStyle w:val="ListBullet"/>
              <w:spacing w:before="60" w:after="60"/>
              <w:ind w:left="357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</w:t>
            </w:r>
            <w:r w:rsidRPr="00B02FDC">
              <w:rPr>
                <w:rStyle w:val="checkbox"/>
                <w:rFonts w:ascii="Arial" w:hAnsi="Arial" w:cs="Arial"/>
              </w:rPr>
              <w:t xml:space="preserve"> significant increase in tumours in rats or mice following inhalation or application to the skin</w:t>
            </w:r>
          </w:p>
          <w:p w14:paraId="31312876" w14:textId="79F68D9F" w:rsidR="00B02FDC" w:rsidRPr="00A31F90" w:rsidRDefault="00B02FDC" w:rsidP="00CD63AC">
            <w:pPr>
              <w:pStyle w:val="ListBullet"/>
              <w:spacing w:before="60" w:after="60"/>
              <w:ind w:left="357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</w:t>
            </w:r>
            <w:r w:rsidRPr="00B02FDC">
              <w:rPr>
                <w:rStyle w:val="checkbox"/>
                <w:rFonts w:ascii="Arial" w:hAnsi="Arial" w:cs="Arial"/>
              </w:rPr>
              <w:t xml:space="preserve"> epidemiological </w:t>
            </w:r>
            <w:r>
              <w:rPr>
                <w:rStyle w:val="checkbox"/>
                <w:rFonts w:ascii="Arial" w:hAnsi="Arial" w:cs="Arial"/>
              </w:rPr>
              <w:t>evidence</w:t>
            </w:r>
            <w:r w:rsidRPr="00B02FDC">
              <w:rPr>
                <w:rStyle w:val="checkbox"/>
                <w:rFonts w:ascii="Arial" w:hAnsi="Arial" w:cs="Arial"/>
              </w:rPr>
              <w:t xml:space="preserve"> identified </w:t>
            </w:r>
            <w:r w:rsidR="00AB75A0">
              <w:rPr>
                <w:rStyle w:val="checkbox"/>
                <w:rFonts w:ascii="Arial" w:hAnsi="Arial" w:cs="Arial"/>
              </w:rPr>
              <w:t xml:space="preserve">of </w:t>
            </w:r>
            <w:r w:rsidR="00AB75A0" w:rsidRPr="00B02FDC">
              <w:rPr>
                <w:rStyle w:val="checkbox"/>
                <w:rFonts w:ascii="Arial" w:hAnsi="Arial" w:cs="Arial"/>
              </w:rPr>
              <w:t>tumours</w:t>
            </w:r>
            <w:r w:rsidRPr="00B02FDC">
              <w:rPr>
                <w:rStyle w:val="checkbox"/>
                <w:rFonts w:ascii="Arial" w:hAnsi="Arial" w:cs="Arial"/>
              </w:rPr>
              <w:t xml:space="preserve"> significantly associated with exposure to th</w:t>
            </w:r>
            <w:r>
              <w:rPr>
                <w:rStyle w:val="checkbox"/>
                <w:rFonts w:ascii="Arial" w:hAnsi="Arial" w:cs="Arial"/>
              </w:rPr>
              <w:t>e chemical</w:t>
            </w:r>
            <w:r w:rsidR="004347CE">
              <w:rPr>
                <w:rStyle w:val="checkbox"/>
                <w:rFonts w:ascii="Arial" w:hAnsi="Arial" w:cs="Arial"/>
              </w:rPr>
              <w:t>.</w:t>
            </w:r>
          </w:p>
        </w:tc>
      </w:tr>
    </w:tbl>
    <w:p w14:paraId="3C53E6AC" w14:textId="77777777" w:rsidR="007E2A4B" w:rsidRDefault="007E2A4B"/>
    <w:bookmarkEnd w:id="1"/>
    <w:p w14:paraId="79C52B7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9"/>
        <w:gridCol w:w="2417"/>
      </w:tblGrid>
      <w:tr w:rsidR="002E0D61" w14:paraId="584D1384" w14:textId="77777777" w:rsidTr="009D4EF3">
        <w:trPr>
          <w:trHeight w:val="454"/>
          <w:tblHeader/>
        </w:trPr>
        <w:tc>
          <w:tcPr>
            <w:tcW w:w="6609" w:type="dxa"/>
            <w:vAlign w:val="center"/>
          </w:tcPr>
          <w:p w14:paraId="1C21BCBE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55527B32" w14:textId="77777777" w:rsidR="002E0D61" w:rsidRDefault="003A677E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</w:tbl>
    <w:bookmarkEnd w:id="2"/>
    <w:p w14:paraId="3BBD7955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598C28AE" w14:textId="77777777" w:rsidTr="003D4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6EE47DC7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EBA3B92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24FD1D3" w14:textId="77777777" w:rsidTr="003D41BC">
        <w:trPr>
          <w:cantSplit/>
        </w:trPr>
        <w:tc>
          <w:tcPr>
            <w:tcW w:w="3227" w:type="dxa"/>
          </w:tcPr>
          <w:p w14:paraId="7101707A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5F44ED48" w14:textId="46BFFB8D" w:rsidR="00687890" w:rsidRPr="00DD2F9B" w:rsidRDefault="009C6A36" w:rsidP="00DD2F9B">
            <w:pPr>
              <w:pStyle w:val="Tablefont"/>
            </w:pPr>
            <w:r>
              <w:t>Sk</w:t>
            </w:r>
            <w:r w:rsidR="00224365">
              <w:t>in</w:t>
            </w:r>
          </w:p>
        </w:tc>
      </w:tr>
      <w:tr w:rsidR="007925F0" w:rsidRPr="004C23F4" w14:paraId="2C6F3D07" w14:textId="77777777" w:rsidTr="003D41BC">
        <w:trPr>
          <w:cantSplit/>
        </w:trPr>
        <w:tc>
          <w:tcPr>
            <w:tcW w:w="3227" w:type="dxa"/>
          </w:tcPr>
          <w:p w14:paraId="7B31705A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32B031B2" w14:textId="1125152F" w:rsidR="007925F0" w:rsidRPr="00DD2F9B" w:rsidRDefault="003A559E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2F7BA84B" w14:textId="77777777" w:rsidTr="003D41BC">
        <w:trPr>
          <w:cantSplit/>
        </w:trPr>
        <w:tc>
          <w:tcPr>
            <w:tcW w:w="3227" w:type="dxa"/>
          </w:tcPr>
          <w:p w14:paraId="4284F455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019E42F7" w14:textId="463C4420" w:rsidR="00AF483F" w:rsidRPr="00DD2F9B" w:rsidRDefault="009C6A36" w:rsidP="00DD2F9B">
            <w:pPr>
              <w:pStyle w:val="Tablefont"/>
            </w:pPr>
            <w:r>
              <w:t>—</w:t>
            </w:r>
          </w:p>
        </w:tc>
      </w:tr>
      <w:tr w:rsidR="00687890" w:rsidRPr="004C23F4" w14:paraId="69F80D9D" w14:textId="77777777" w:rsidTr="003D41BC">
        <w:trPr>
          <w:cantSplit/>
        </w:trPr>
        <w:tc>
          <w:tcPr>
            <w:tcW w:w="3227" w:type="dxa"/>
          </w:tcPr>
          <w:p w14:paraId="35F3FF51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6C96A2FF" w14:textId="5AE8FCC6" w:rsidR="00687890" w:rsidRPr="00DD2F9B" w:rsidRDefault="003A559E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1C910F3C" w14:textId="77777777" w:rsidTr="003D41BC">
        <w:trPr>
          <w:cantSplit/>
        </w:trPr>
        <w:tc>
          <w:tcPr>
            <w:tcW w:w="3227" w:type="dxa"/>
          </w:tcPr>
          <w:p w14:paraId="6C2F3F56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B9DB762" w14:textId="1AE17EFF" w:rsidR="00E41A26" w:rsidRPr="00DD2F9B" w:rsidRDefault="009C6A36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6ED120E5" w14:textId="77777777" w:rsidTr="003D41BC">
        <w:trPr>
          <w:cantSplit/>
        </w:trPr>
        <w:tc>
          <w:tcPr>
            <w:tcW w:w="3227" w:type="dxa"/>
          </w:tcPr>
          <w:p w14:paraId="0402222E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60E5E6B9" w14:textId="17C4EB2D" w:rsidR="002E0D61" w:rsidRPr="00DD2F9B" w:rsidRDefault="009C6A36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285FA06E" w14:textId="77777777" w:rsidTr="003D41BC">
        <w:trPr>
          <w:cantSplit/>
        </w:trPr>
        <w:tc>
          <w:tcPr>
            <w:tcW w:w="3227" w:type="dxa"/>
          </w:tcPr>
          <w:p w14:paraId="67E7DB4A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44D48784" w14:textId="77A1548E" w:rsidR="002E0D61" w:rsidRPr="00DD2F9B" w:rsidRDefault="009C6A36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2E2B821C" w14:textId="77777777" w:rsidTr="003D41BC">
        <w:trPr>
          <w:cantSplit/>
        </w:trPr>
        <w:tc>
          <w:tcPr>
            <w:tcW w:w="3227" w:type="dxa"/>
          </w:tcPr>
          <w:p w14:paraId="779A6EC1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7A97D74C" w14:textId="77777777" w:rsidR="002E0D61" w:rsidRPr="00DD2F9B" w:rsidRDefault="003A677E" w:rsidP="00DD2F9B">
            <w:pPr>
              <w:pStyle w:val="Tablefont"/>
            </w:pPr>
            <w:r>
              <w:t>Skin</w:t>
            </w:r>
          </w:p>
        </w:tc>
      </w:tr>
      <w:tr w:rsidR="002E0D61" w:rsidRPr="004C23F4" w14:paraId="7CED6879" w14:textId="77777777" w:rsidTr="003D41BC">
        <w:trPr>
          <w:cantSplit/>
        </w:trPr>
        <w:tc>
          <w:tcPr>
            <w:tcW w:w="3227" w:type="dxa"/>
          </w:tcPr>
          <w:p w14:paraId="562B3D9E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53E7C13F" w14:textId="4EF0E5D9" w:rsidR="002E0D61" w:rsidRPr="00DD2F9B" w:rsidRDefault="00E94FFC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722B443" w14:textId="77777777" w:rsidTr="003D41BC">
        <w:trPr>
          <w:cantSplit/>
        </w:trPr>
        <w:tc>
          <w:tcPr>
            <w:tcW w:w="3227" w:type="dxa"/>
          </w:tcPr>
          <w:p w14:paraId="3ACDDAF3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65572D3" w14:textId="6BB0F2C2" w:rsidR="00386093" w:rsidRPr="00DD2F9B" w:rsidRDefault="009C6A36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2DBACAF5" w14:textId="77777777" w:rsidTr="003D41BC">
        <w:trPr>
          <w:cantSplit/>
        </w:trPr>
        <w:tc>
          <w:tcPr>
            <w:tcW w:w="3227" w:type="dxa"/>
          </w:tcPr>
          <w:p w14:paraId="296A3D3E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6BBC3143" w14:textId="56FBB124" w:rsidR="00386093" w:rsidRPr="00DD2F9B" w:rsidRDefault="00E94FFC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7208D6F8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82BCA40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B3BEE22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2FAD14B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2A6CB9F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7965" w:type="dxa"/>
              <w:tblLook w:val="04A0" w:firstRow="1" w:lastRow="0" w:firstColumn="1" w:lastColumn="0" w:noHBand="0" w:noVBand="1"/>
            </w:tblPr>
            <w:tblGrid>
              <w:gridCol w:w="3314"/>
              <w:gridCol w:w="976"/>
              <w:gridCol w:w="976"/>
              <w:gridCol w:w="2699"/>
            </w:tblGrid>
            <w:tr w:rsidR="003A677E" w:rsidRPr="003A677E" w14:paraId="56D551C9" w14:textId="77777777" w:rsidTr="003A677E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2B578F" w14:textId="77777777" w:rsidR="003A677E" w:rsidRPr="003A677E" w:rsidRDefault="003A677E" w:rsidP="003A677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CACE2F" w14:textId="2FC6A671" w:rsidR="003A677E" w:rsidRPr="003A677E" w:rsidRDefault="00CB15C9" w:rsidP="003A677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54B49F" w14:textId="77777777" w:rsidR="003A677E" w:rsidRPr="003A677E" w:rsidRDefault="003A677E" w:rsidP="003A677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A1FF8A" w14:textId="77777777" w:rsidR="003A677E" w:rsidRPr="003A677E" w:rsidRDefault="003A677E" w:rsidP="003A677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A677E" w:rsidRPr="003A677E" w14:paraId="4010B24D" w14:textId="77777777" w:rsidTr="003A677E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AF6136" w14:textId="77777777" w:rsidR="003A677E" w:rsidRPr="003A677E" w:rsidRDefault="003A677E" w:rsidP="003A677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A677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A677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31429C" w14:textId="77777777" w:rsidR="003A677E" w:rsidRPr="003A677E" w:rsidRDefault="003A677E" w:rsidP="003A677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D54D63" w14:textId="77777777" w:rsidR="003A677E" w:rsidRPr="003A677E" w:rsidRDefault="003A677E" w:rsidP="003A677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06AC66" w14:textId="77777777" w:rsidR="003A677E" w:rsidRPr="003A677E" w:rsidRDefault="003A677E" w:rsidP="003A677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A677E" w:rsidRPr="003A677E" w14:paraId="458DCBA6" w14:textId="77777777" w:rsidTr="003A677E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95075E" w14:textId="77777777" w:rsidR="003A677E" w:rsidRPr="003A677E" w:rsidRDefault="003A677E" w:rsidP="003A677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48815A" w14:textId="77777777" w:rsidR="003A677E" w:rsidRPr="003A677E" w:rsidRDefault="003A677E" w:rsidP="003A677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976298" w14:textId="77777777" w:rsidR="003A677E" w:rsidRPr="003A677E" w:rsidRDefault="003A677E" w:rsidP="003A677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9AE0F4D" w14:textId="77777777" w:rsidR="003A677E" w:rsidRPr="003A677E" w:rsidRDefault="003A677E" w:rsidP="003A677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A677E" w:rsidRPr="003A677E" w14:paraId="1947A283" w14:textId="77777777" w:rsidTr="003A677E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CA6E80" w14:textId="77777777" w:rsidR="003A677E" w:rsidRPr="003A677E" w:rsidRDefault="003A677E" w:rsidP="003A677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A677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A677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3A677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A677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FE247A" w14:textId="77777777" w:rsidR="003A677E" w:rsidRPr="003A677E" w:rsidRDefault="003A677E" w:rsidP="003A677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3CA3F73" w14:textId="77777777" w:rsidR="003A677E" w:rsidRPr="003A677E" w:rsidRDefault="003A677E" w:rsidP="003A677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F10487" w14:textId="77777777" w:rsidR="003A677E" w:rsidRPr="003A677E" w:rsidRDefault="003A677E" w:rsidP="003A677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A677E" w:rsidRPr="003A677E" w14:paraId="5F9B721F" w14:textId="77777777" w:rsidTr="003A677E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322B8B" w14:textId="77777777" w:rsidR="003A677E" w:rsidRPr="003A677E" w:rsidRDefault="003A677E" w:rsidP="003A677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3A677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BD56ED" w14:textId="77777777" w:rsidR="003A677E" w:rsidRPr="003A677E" w:rsidRDefault="003A677E" w:rsidP="003A677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BC9D70" w14:textId="77777777" w:rsidR="003A677E" w:rsidRPr="003A677E" w:rsidRDefault="003A677E" w:rsidP="003A677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F09546" w14:textId="77777777" w:rsidR="003A677E" w:rsidRPr="003A677E" w:rsidRDefault="003A677E" w:rsidP="003A677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A677E" w:rsidRPr="003A677E" w14:paraId="1FC74A60" w14:textId="77777777" w:rsidTr="003A677E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760B57" w14:textId="77777777" w:rsidR="003A677E" w:rsidRPr="003A677E" w:rsidRDefault="003A677E" w:rsidP="003A677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9E0103" w14:textId="77777777" w:rsidR="003A677E" w:rsidRPr="003A677E" w:rsidRDefault="003A677E" w:rsidP="003A677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99CC51" w14:textId="77777777" w:rsidR="003A677E" w:rsidRPr="003A677E" w:rsidRDefault="003A677E" w:rsidP="003A677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4045EC" w14:textId="77777777" w:rsidR="003A677E" w:rsidRPr="003A677E" w:rsidRDefault="003A677E" w:rsidP="003A677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A677E" w:rsidRPr="003A677E" w14:paraId="12A65EDA" w14:textId="77777777" w:rsidTr="003A677E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7CFDF9" w14:textId="77777777" w:rsidR="003A677E" w:rsidRPr="003A677E" w:rsidRDefault="003A677E" w:rsidP="003A677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27FCAB" w14:textId="77777777" w:rsidR="003A677E" w:rsidRPr="003A677E" w:rsidRDefault="003A677E" w:rsidP="003A677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150357" w14:textId="77777777" w:rsidR="003A677E" w:rsidRPr="003A677E" w:rsidRDefault="003A677E" w:rsidP="003A677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2DE492" w14:textId="77777777" w:rsidR="003A677E" w:rsidRPr="003A677E" w:rsidRDefault="003A677E" w:rsidP="003A677E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677E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13919250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63DE7451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1CFFEF7F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821344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CE01E86" w14:textId="77777777" w:rsidR="00EB3D1B" w:rsidRDefault="003A677E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2193956F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59012F1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5D882F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E241331" w14:textId="7989CC6A" w:rsidR="001B79E5" w:rsidRDefault="009D4EF3" w:rsidP="001B79E5">
                <w:pPr>
                  <w:pStyle w:val="Tablefont"/>
                </w:pPr>
                <w:r>
                  <w:t>92.14</w:t>
                </w:r>
              </w:p>
            </w:tc>
          </w:sdtContent>
        </w:sdt>
      </w:tr>
      <w:tr w:rsidR="00A31D99" w:rsidRPr="004C23F4" w14:paraId="4B0CD3A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D797674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57C210D6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7A78DE9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61FCB49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CC69CC4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DE85B60" w14:textId="77777777" w:rsidTr="00EA6243">
        <w:trPr>
          <w:cantSplit/>
        </w:trPr>
        <w:tc>
          <w:tcPr>
            <w:tcW w:w="4077" w:type="dxa"/>
            <w:vAlign w:val="center"/>
          </w:tcPr>
          <w:p w14:paraId="0A0073CB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E66EEEA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578C909" w14:textId="77777777" w:rsidTr="00EA6243">
        <w:trPr>
          <w:cantSplit/>
        </w:trPr>
        <w:tc>
          <w:tcPr>
            <w:tcW w:w="4077" w:type="dxa"/>
            <w:vAlign w:val="center"/>
          </w:tcPr>
          <w:p w14:paraId="36065FF2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D9B9A3C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4A070229" w14:textId="77777777" w:rsidTr="00EA6243">
        <w:trPr>
          <w:cantSplit/>
        </w:trPr>
        <w:tc>
          <w:tcPr>
            <w:tcW w:w="4077" w:type="dxa"/>
            <w:vAlign w:val="center"/>
          </w:tcPr>
          <w:p w14:paraId="45C544EC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3BF1E5BB" w14:textId="32AC0E7D" w:rsidR="00E06F40" w:rsidRPr="00A006A0" w:rsidRDefault="005B2E95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055BB"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D4EF3">
                  <w:sym w:font="Wingdings" w:char="F0FC"/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9EAC6D3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7149D64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EDA3DA9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657C27ED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6C0EFA6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1CE6ED8E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2342D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32B6565F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181C54A7" w14:textId="59CF2302" w:rsidR="007F1005" w:rsidRDefault="006650FE" w:rsidP="00084859">
      <w:bookmarkStart w:id="6" w:name="_Hlk11677766"/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bookmarkEnd w:id="6"/>
    <w:p w14:paraId="11E851DA" w14:textId="7D0DB879" w:rsidR="00C830EF" w:rsidRDefault="00C830EF" w:rsidP="00084859">
      <w:r w:rsidRPr="00C830EF">
        <w:t>Deutsche Forschungsgemeinschaft (DFG) (</w:t>
      </w:r>
      <w:r>
        <w:t>1993</w:t>
      </w:r>
      <w:r w:rsidRPr="00C830EF">
        <w:t xml:space="preserve">) </w:t>
      </w:r>
      <w:r>
        <w:t>Toluene</w:t>
      </w:r>
      <w:r w:rsidRPr="00C830EF">
        <w:t xml:space="preserve"> – MAK value documentation.</w:t>
      </w:r>
    </w:p>
    <w:p w14:paraId="1898E11A" w14:textId="6700D5EA" w:rsidR="00C830EF" w:rsidRDefault="00C830EF" w:rsidP="00084859">
      <w:r w:rsidRPr="00C830EF">
        <w:t>EU Scientific Committee on Occupational Exposure Limits (SCOEL) (20</w:t>
      </w:r>
      <w:r w:rsidR="00955A34">
        <w:t>0</w:t>
      </w:r>
      <w:r w:rsidRPr="00C830EF">
        <w:t xml:space="preserve">1) Recommendation from the Scientific Committee on Occupational Exposure Limits for </w:t>
      </w:r>
      <w:r>
        <w:t>toluene</w:t>
      </w:r>
      <w:r w:rsidRPr="00C830EF">
        <w:t xml:space="preserve">. </w:t>
      </w:r>
      <w:r>
        <w:t>SCOEL/SUM/18</w:t>
      </w:r>
    </w:p>
    <w:p w14:paraId="68D6203E" w14:textId="55EED801" w:rsidR="006A0162" w:rsidRDefault="006A0162" w:rsidP="00084859">
      <w:r w:rsidRPr="00710012">
        <w:t>European Chemicals Agency (ECHA) (</w:t>
      </w:r>
      <w:r>
        <w:t>2016</w:t>
      </w:r>
      <w:r w:rsidRPr="00710012">
        <w:t>)</w:t>
      </w:r>
      <w:r>
        <w:t xml:space="preserve"> – </w:t>
      </w:r>
      <w:r w:rsidR="00B95D1F">
        <w:t xml:space="preserve">Toluene: </w:t>
      </w:r>
      <w:r>
        <w:t>RMOA Conclusion Document</w:t>
      </w:r>
      <w:r w:rsidR="00B95D1F">
        <w:t xml:space="preserve">, </w:t>
      </w:r>
      <w:r>
        <w:t>EC no 203-625-9</w:t>
      </w:r>
    </w:p>
    <w:p w14:paraId="47DBB652" w14:textId="0A88AF0C" w:rsidR="00E94FFC" w:rsidRDefault="00E94FFC" w:rsidP="00084859">
      <w:r w:rsidRPr="00B716A3">
        <w:lastRenderedPageBreak/>
        <w:t>International Agency for</w:t>
      </w:r>
      <w:r>
        <w:t xml:space="preserve"> Research on Cancer (IARC) (1999</w:t>
      </w:r>
      <w:r w:rsidRPr="00B716A3">
        <w:t xml:space="preserve">) </w:t>
      </w:r>
      <w:r>
        <w:t>Toluene</w:t>
      </w:r>
      <w:r w:rsidRPr="00B716A3">
        <w:t>. IARC Monographs on the evaluation of the carcinogenic risk to humans.</w:t>
      </w:r>
      <w:r>
        <w:t xml:space="preserve"> VOL: 71.</w:t>
      </w:r>
    </w:p>
    <w:p w14:paraId="3C00722B" w14:textId="06B2101C" w:rsidR="00183DA0" w:rsidRDefault="00183DA0" w:rsidP="00084859">
      <w:r w:rsidRPr="00183DA0">
        <w:t>National Industrial Chemicals Notification and Assessment Scheme (NICNA</w:t>
      </w:r>
      <w:r>
        <w:t>S) (2017) Toluene</w:t>
      </w:r>
      <w:r w:rsidRPr="00183DA0">
        <w:t>: Human health tier II assessment – IMAP report.</w:t>
      </w:r>
    </w:p>
    <w:p w14:paraId="07EE44A6" w14:textId="3036A542" w:rsidR="009D4EF3" w:rsidRPr="00351FE0" w:rsidRDefault="009D4EF3" w:rsidP="009D4EF3">
      <w:r w:rsidRPr="00181257">
        <w:t xml:space="preserve">US </w:t>
      </w:r>
      <w:r>
        <w:t xml:space="preserve">National institute for Occupational Safety and Health (NIOSH) (1994) Immediately dangerous to life and health concentrations – toluene. </w:t>
      </w:r>
    </w:p>
    <w:p w14:paraId="222C18C2" w14:textId="77777777" w:rsidR="009D4EF3" w:rsidRDefault="009D4EF3" w:rsidP="00084859"/>
    <w:p w14:paraId="7828BFA6" w14:textId="77777777" w:rsidR="00C830EF" w:rsidRDefault="00C830EF" w:rsidP="00084859"/>
    <w:p w14:paraId="4E4D2FF3" w14:textId="77777777" w:rsidR="003A677E" w:rsidRPr="00351FE0" w:rsidRDefault="003A677E" w:rsidP="00084859"/>
    <w:sectPr w:rsidR="003A677E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2F6AA" w14:textId="77777777" w:rsidR="009B4F26" w:rsidRDefault="009B4F26" w:rsidP="00F43AD5">
      <w:pPr>
        <w:spacing w:after="0" w:line="240" w:lineRule="auto"/>
      </w:pPr>
      <w:r>
        <w:separator/>
      </w:r>
    </w:p>
  </w:endnote>
  <w:endnote w:type="continuationSeparator" w:id="0">
    <w:p w14:paraId="77770A3D" w14:textId="77777777" w:rsidR="009B4F26" w:rsidRDefault="009B4F26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AC107" w14:textId="77777777" w:rsidR="005B2E95" w:rsidRDefault="005B2E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9664A93" w14:textId="77777777" w:rsidR="004369E6" w:rsidRDefault="004369E6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Toluene (</w:t>
        </w:r>
        <w:r w:rsidRPr="00E855A9">
          <w:rPr>
            <w:b/>
            <w:sz w:val="18"/>
            <w:szCs w:val="18"/>
          </w:rPr>
          <w:t>108-88-3</w:t>
        </w:r>
        <w:r>
          <w:rPr>
            <w:b/>
            <w:sz w:val="18"/>
            <w:szCs w:val="18"/>
          </w:rPr>
          <w:t>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14:paraId="6447DD2A" w14:textId="453841B0" w:rsidR="004369E6" w:rsidRPr="00F43AD5" w:rsidRDefault="004369E6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3F0BE5">
          <w:rPr>
            <w:noProof/>
            <w:sz w:val="18"/>
            <w:szCs w:val="18"/>
          </w:rPr>
          <w:t>6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54D62" w14:textId="77777777" w:rsidR="005B2E95" w:rsidRDefault="005B2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B3452" w14:textId="77777777" w:rsidR="009B4F26" w:rsidRDefault="009B4F26" w:rsidP="00F43AD5">
      <w:pPr>
        <w:spacing w:after="0" w:line="240" w:lineRule="auto"/>
      </w:pPr>
      <w:r>
        <w:separator/>
      </w:r>
    </w:p>
  </w:footnote>
  <w:footnote w:type="continuationSeparator" w:id="0">
    <w:p w14:paraId="19B73389" w14:textId="77777777" w:rsidR="009B4F26" w:rsidRDefault="009B4F26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DD655" w14:textId="77777777" w:rsidR="005B2E95" w:rsidRDefault="005B2E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7858D" w14:textId="091210DF" w:rsidR="005B2E95" w:rsidRDefault="005B2E95" w:rsidP="005B2E95">
    <w:pPr>
      <w:pStyle w:val="Header"/>
      <w:jc w:val="right"/>
    </w:pPr>
    <w:r>
      <w:pict w14:anchorId="62EE71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1638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7094EC3B" wp14:editId="19205964">
          <wp:extent cx="2957195" cy="60579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0B3E47" w14:textId="77777777" w:rsidR="005B2E95" w:rsidRDefault="005B2E95" w:rsidP="005B2E95">
    <w:pPr>
      <w:pStyle w:val="Header"/>
    </w:pPr>
  </w:p>
  <w:p w14:paraId="4EC585FF" w14:textId="0B58A63F" w:rsidR="004369E6" w:rsidRPr="005B2E95" w:rsidRDefault="004369E6" w:rsidP="005B2E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5BA95" w14:textId="77777777" w:rsidR="005B2E95" w:rsidRDefault="005B2E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93058" w14:textId="38C1EC63" w:rsidR="005B2E95" w:rsidRDefault="005B2E95" w:rsidP="005B2E95">
    <w:pPr>
      <w:pStyle w:val="Header"/>
      <w:jc w:val="right"/>
    </w:pPr>
    <w:r>
      <w:pict w14:anchorId="3861CE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638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1B33CBAB" wp14:editId="7E8B156D">
          <wp:extent cx="2957195" cy="605790"/>
          <wp:effectExtent l="0" t="0" r="0" b="3810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6075EA" w14:textId="77777777" w:rsidR="005B2E95" w:rsidRDefault="005B2E95" w:rsidP="005B2E95">
    <w:pPr>
      <w:pStyle w:val="Header"/>
    </w:pPr>
  </w:p>
  <w:p w14:paraId="79C19C97" w14:textId="77777777" w:rsidR="004369E6" w:rsidRDefault="004369E6" w:rsidP="00F43AD5">
    <w:pPr>
      <w:pStyle w:val="Header"/>
      <w:jc w:val="right"/>
    </w:pPr>
    <w:bookmarkStart w:id="7" w:name="_GoBack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CEEF2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52C4"/>
    <w:rsid w:val="00017C82"/>
    <w:rsid w:val="00023A86"/>
    <w:rsid w:val="00032B88"/>
    <w:rsid w:val="00037971"/>
    <w:rsid w:val="00045B62"/>
    <w:rsid w:val="000460A6"/>
    <w:rsid w:val="00046DF5"/>
    <w:rsid w:val="00052060"/>
    <w:rsid w:val="00052798"/>
    <w:rsid w:val="0005574A"/>
    <w:rsid w:val="00055FE1"/>
    <w:rsid w:val="00056EC2"/>
    <w:rsid w:val="00060B48"/>
    <w:rsid w:val="00063347"/>
    <w:rsid w:val="0006647D"/>
    <w:rsid w:val="00067F32"/>
    <w:rsid w:val="00071807"/>
    <w:rsid w:val="000803E1"/>
    <w:rsid w:val="00084513"/>
    <w:rsid w:val="00084859"/>
    <w:rsid w:val="000923FD"/>
    <w:rsid w:val="00092D94"/>
    <w:rsid w:val="000A026E"/>
    <w:rsid w:val="000A652E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D675C"/>
    <w:rsid w:val="000E5A54"/>
    <w:rsid w:val="000E63D3"/>
    <w:rsid w:val="000E67CF"/>
    <w:rsid w:val="000F22CC"/>
    <w:rsid w:val="000F25F0"/>
    <w:rsid w:val="0010461E"/>
    <w:rsid w:val="001055BB"/>
    <w:rsid w:val="00106FAA"/>
    <w:rsid w:val="00113443"/>
    <w:rsid w:val="001269A7"/>
    <w:rsid w:val="00127B60"/>
    <w:rsid w:val="00131092"/>
    <w:rsid w:val="00140E6A"/>
    <w:rsid w:val="0014358B"/>
    <w:rsid w:val="00146545"/>
    <w:rsid w:val="00146B75"/>
    <w:rsid w:val="0015266D"/>
    <w:rsid w:val="0015288A"/>
    <w:rsid w:val="00160F47"/>
    <w:rsid w:val="001659AC"/>
    <w:rsid w:val="00172C3C"/>
    <w:rsid w:val="00177CA1"/>
    <w:rsid w:val="00183823"/>
    <w:rsid w:val="00183942"/>
    <w:rsid w:val="00183DA0"/>
    <w:rsid w:val="001A009E"/>
    <w:rsid w:val="001A1287"/>
    <w:rsid w:val="001A3859"/>
    <w:rsid w:val="001A3C9D"/>
    <w:rsid w:val="001A3FF6"/>
    <w:rsid w:val="001A43F8"/>
    <w:rsid w:val="001A51FF"/>
    <w:rsid w:val="001A520D"/>
    <w:rsid w:val="001A7E17"/>
    <w:rsid w:val="001B64A5"/>
    <w:rsid w:val="001B79E5"/>
    <w:rsid w:val="001D56F0"/>
    <w:rsid w:val="001D663B"/>
    <w:rsid w:val="001D7B41"/>
    <w:rsid w:val="001E4481"/>
    <w:rsid w:val="001E46DA"/>
    <w:rsid w:val="001E7D80"/>
    <w:rsid w:val="001F4B6C"/>
    <w:rsid w:val="001F62CB"/>
    <w:rsid w:val="001F6ED0"/>
    <w:rsid w:val="001F6FE4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365"/>
    <w:rsid w:val="00224EE2"/>
    <w:rsid w:val="00227EC7"/>
    <w:rsid w:val="00244AD1"/>
    <w:rsid w:val="002463BC"/>
    <w:rsid w:val="002465CE"/>
    <w:rsid w:val="0025734A"/>
    <w:rsid w:val="00260FAA"/>
    <w:rsid w:val="00263255"/>
    <w:rsid w:val="0026355B"/>
    <w:rsid w:val="00273752"/>
    <w:rsid w:val="00276494"/>
    <w:rsid w:val="00276F2D"/>
    <w:rsid w:val="00277B0C"/>
    <w:rsid w:val="002911F3"/>
    <w:rsid w:val="0029449B"/>
    <w:rsid w:val="002976DD"/>
    <w:rsid w:val="002B1A2C"/>
    <w:rsid w:val="002B709C"/>
    <w:rsid w:val="002C34F2"/>
    <w:rsid w:val="002C58FF"/>
    <w:rsid w:val="002C7AFE"/>
    <w:rsid w:val="002D05D2"/>
    <w:rsid w:val="002D112A"/>
    <w:rsid w:val="002D5629"/>
    <w:rsid w:val="002E0D61"/>
    <w:rsid w:val="002E4C7B"/>
    <w:rsid w:val="002F668C"/>
    <w:rsid w:val="0030740C"/>
    <w:rsid w:val="00311A52"/>
    <w:rsid w:val="0031534D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0AE1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96CE0"/>
    <w:rsid w:val="003A0E32"/>
    <w:rsid w:val="003A2B94"/>
    <w:rsid w:val="003A559E"/>
    <w:rsid w:val="003A677E"/>
    <w:rsid w:val="003B387D"/>
    <w:rsid w:val="003C0D58"/>
    <w:rsid w:val="003D41BC"/>
    <w:rsid w:val="003D4FA3"/>
    <w:rsid w:val="003D58AA"/>
    <w:rsid w:val="003E0807"/>
    <w:rsid w:val="003E51FB"/>
    <w:rsid w:val="003E5C97"/>
    <w:rsid w:val="003E6B39"/>
    <w:rsid w:val="003F07E1"/>
    <w:rsid w:val="003F0BE5"/>
    <w:rsid w:val="0040053F"/>
    <w:rsid w:val="004009CE"/>
    <w:rsid w:val="00402085"/>
    <w:rsid w:val="004030BC"/>
    <w:rsid w:val="00403F7D"/>
    <w:rsid w:val="00406785"/>
    <w:rsid w:val="004079B4"/>
    <w:rsid w:val="00417A56"/>
    <w:rsid w:val="00420807"/>
    <w:rsid w:val="00420957"/>
    <w:rsid w:val="00422A10"/>
    <w:rsid w:val="00430179"/>
    <w:rsid w:val="004347CE"/>
    <w:rsid w:val="004369E6"/>
    <w:rsid w:val="004414B5"/>
    <w:rsid w:val="00444482"/>
    <w:rsid w:val="00444B42"/>
    <w:rsid w:val="00445E44"/>
    <w:rsid w:val="004509E2"/>
    <w:rsid w:val="004515EE"/>
    <w:rsid w:val="004529F0"/>
    <w:rsid w:val="00452CA9"/>
    <w:rsid w:val="00452EFB"/>
    <w:rsid w:val="00454080"/>
    <w:rsid w:val="0045480D"/>
    <w:rsid w:val="00460A03"/>
    <w:rsid w:val="00466D08"/>
    <w:rsid w:val="00472A11"/>
    <w:rsid w:val="00472AAD"/>
    <w:rsid w:val="004738E0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3C28"/>
    <w:rsid w:val="004D4AA1"/>
    <w:rsid w:val="004D6D68"/>
    <w:rsid w:val="004E5EDD"/>
    <w:rsid w:val="004E7BBF"/>
    <w:rsid w:val="004F448A"/>
    <w:rsid w:val="004F493D"/>
    <w:rsid w:val="004F65E8"/>
    <w:rsid w:val="0050005E"/>
    <w:rsid w:val="00502B88"/>
    <w:rsid w:val="005142C4"/>
    <w:rsid w:val="0051509C"/>
    <w:rsid w:val="005219D1"/>
    <w:rsid w:val="005272E2"/>
    <w:rsid w:val="0053108F"/>
    <w:rsid w:val="00532B56"/>
    <w:rsid w:val="00534B10"/>
    <w:rsid w:val="0053543A"/>
    <w:rsid w:val="0054079F"/>
    <w:rsid w:val="005446A2"/>
    <w:rsid w:val="00544D2F"/>
    <w:rsid w:val="00547423"/>
    <w:rsid w:val="00551BD8"/>
    <w:rsid w:val="0055491A"/>
    <w:rsid w:val="00581055"/>
    <w:rsid w:val="00591E38"/>
    <w:rsid w:val="005A19C5"/>
    <w:rsid w:val="005A3034"/>
    <w:rsid w:val="005A462D"/>
    <w:rsid w:val="005A719A"/>
    <w:rsid w:val="005B253B"/>
    <w:rsid w:val="005B2E95"/>
    <w:rsid w:val="005B62B3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149B2"/>
    <w:rsid w:val="00614F25"/>
    <w:rsid w:val="00624C4E"/>
    <w:rsid w:val="00625200"/>
    <w:rsid w:val="006255C9"/>
    <w:rsid w:val="006363A8"/>
    <w:rsid w:val="00636DB7"/>
    <w:rsid w:val="00647065"/>
    <w:rsid w:val="00650905"/>
    <w:rsid w:val="006532ED"/>
    <w:rsid w:val="006549F2"/>
    <w:rsid w:val="006567B7"/>
    <w:rsid w:val="00657BFB"/>
    <w:rsid w:val="0066333C"/>
    <w:rsid w:val="006639B4"/>
    <w:rsid w:val="006650FE"/>
    <w:rsid w:val="00665738"/>
    <w:rsid w:val="006715C8"/>
    <w:rsid w:val="0067305D"/>
    <w:rsid w:val="00677D9B"/>
    <w:rsid w:val="006806F1"/>
    <w:rsid w:val="006867F3"/>
    <w:rsid w:val="00687890"/>
    <w:rsid w:val="00687DFF"/>
    <w:rsid w:val="006901A2"/>
    <w:rsid w:val="00690368"/>
    <w:rsid w:val="0069079C"/>
    <w:rsid w:val="00690B53"/>
    <w:rsid w:val="00693CAF"/>
    <w:rsid w:val="00695B72"/>
    <w:rsid w:val="006A0162"/>
    <w:rsid w:val="006A74D3"/>
    <w:rsid w:val="006B157F"/>
    <w:rsid w:val="006B160A"/>
    <w:rsid w:val="006B4E6C"/>
    <w:rsid w:val="006B50B6"/>
    <w:rsid w:val="006C012D"/>
    <w:rsid w:val="006D79EA"/>
    <w:rsid w:val="006E5D05"/>
    <w:rsid w:val="006F1139"/>
    <w:rsid w:val="00701053"/>
    <w:rsid w:val="00701507"/>
    <w:rsid w:val="00711B67"/>
    <w:rsid w:val="00714021"/>
    <w:rsid w:val="00716A0F"/>
    <w:rsid w:val="00717D45"/>
    <w:rsid w:val="00720680"/>
    <w:rsid w:val="007208F7"/>
    <w:rsid w:val="007218AF"/>
    <w:rsid w:val="007240C9"/>
    <w:rsid w:val="007365D1"/>
    <w:rsid w:val="00740E0E"/>
    <w:rsid w:val="00750212"/>
    <w:rsid w:val="00754779"/>
    <w:rsid w:val="0075716D"/>
    <w:rsid w:val="00765F14"/>
    <w:rsid w:val="00770E31"/>
    <w:rsid w:val="00771C7A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D31C1"/>
    <w:rsid w:val="007D6AA1"/>
    <w:rsid w:val="007E063C"/>
    <w:rsid w:val="007E217A"/>
    <w:rsid w:val="007E2A4B"/>
    <w:rsid w:val="007E307D"/>
    <w:rsid w:val="007E6A4E"/>
    <w:rsid w:val="007E6C94"/>
    <w:rsid w:val="007F1005"/>
    <w:rsid w:val="007F25E0"/>
    <w:rsid w:val="007F3CB7"/>
    <w:rsid w:val="007F5328"/>
    <w:rsid w:val="00804F5A"/>
    <w:rsid w:val="00810C6D"/>
    <w:rsid w:val="00812887"/>
    <w:rsid w:val="0081566B"/>
    <w:rsid w:val="00826F21"/>
    <w:rsid w:val="00834CC8"/>
    <w:rsid w:val="00835E00"/>
    <w:rsid w:val="00837113"/>
    <w:rsid w:val="0084074C"/>
    <w:rsid w:val="008414E4"/>
    <w:rsid w:val="00843E21"/>
    <w:rsid w:val="0084508E"/>
    <w:rsid w:val="00857A8A"/>
    <w:rsid w:val="008630EE"/>
    <w:rsid w:val="00864D13"/>
    <w:rsid w:val="00865528"/>
    <w:rsid w:val="00871CD5"/>
    <w:rsid w:val="008745A2"/>
    <w:rsid w:val="008768A8"/>
    <w:rsid w:val="0088798F"/>
    <w:rsid w:val="00887E4B"/>
    <w:rsid w:val="008915C8"/>
    <w:rsid w:val="0089187E"/>
    <w:rsid w:val="008A36CF"/>
    <w:rsid w:val="008A3BC4"/>
    <w:rsid w:val="008A4D9F"/>
    <w:rsid w:val="008A70ED"/>
    <w:rsid w:val="008B403C"/>
    <w:rsid w:val="008B7983"/>
    <w:rsid w:val="008C2511"/>
    <w:rsid w:val="008D026D"/>
    <w:rsid w:val="008D23AB"/>
    <w:rsid w:val="008D4B8B"/>
    <w:rsid w:val="008D5A78"/>
    <w:rsid w:val="008E0963"/>
    <w:rsid w:val="008E3FDC"/>
    <w:rsid w:val="008E7B64"/>
    <w:rsid w:val="008F5DCD"/>
    <w:rsid w:val="00900951"/>
    <w:rsid w:val="009050B4"/>
    <w:rsid w:val="009118A6"/>
    <w:rsid w:val="00916909"/>
    <w:rsid w:val="00916EC0"/>
    <w:rsid w:val="00920467"/>
    <w:rsid w:val="00921DE7"/>
    <w:rsid w:val="00922A45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5A34"/>
    <w:rsid w:val="009578DD"/>
    <w:rsid w:val="00960656"/>
    <w:rsid w:val="00961124"/>
    <w:rsid w:val="009621B6"/>
    <w:rsid w:val="00974F2D"/>
    <w:rsid w:val="00976FF2"/>
    <w:rsid w:val="00977524"/>
    <w:rsid w:val="00977E88"/>
    <w:rsid w:val="00984010"/>
    <w:rsid w:val="00984920"/>
    <w:rsid w:val="00991147"/>
    <w:rsid w:val="0099303A"/>
    <w:rsid w:val="009971C2"/>
    <w:rsid w:val="009A1254"/>
    <w:rsid w:val="009B2FF2"/>
    <w:rsid w:val="009B380C"/>
    <w:rsid w:val="009B4080"/>
    <w:rsid w:val="009B4843"/>
    <w:rsid w:val="009B4F26"/>
    <w:rsid w:val="009B6543"/>
    <w:rsid w:val="009C199D"/>
    <w:rsid w:val="009C278F"/>
    <w:rsid w:val="009C2B94"/>
    <w:rsid w:val="009C5874"/>
    <w:rsid w:val="009C6A36"/>
    <w:rsid w:val="009D0BF3"/>
    <w:rsid w:val="009D3B5A"/>
    <w:rsid w:val="009D491E"/>
    <w:rsid w:val="009D4EF3"/>
    <w:rsid w:val="009E0C05"/>
    <w:rsid w:val="009E0D1C"/>
    <w:rsid w:val="009E2214"/>
    <w:rsid w:val="009E355A"/>
    <w:rsid w:val="009E4CC8"/>
    <w:rsid w:val="009E63E2"/>
    <w:rsid w:val="009F05CF"/>
    <w:rsid w:val="009F0F3A"/>
    <w:rsid w:val="009F58D2"/>
    <w:rsid w:val="00A01D0C"/>
    <w:rsid w:val="00A0643F"/>
    <w:rsid w:val="00A067EE"/>
    <w:rsid w:val="00A10FCE"/>
    <w:rsid w:val="00A16D91"/>
    <w:rsid w:val="00A174CC"/>
    <w:rsid w:val="00A2073D"/>
    <w:rsid w:val="00A20751"/>
    <w:rsid w:val="00A23953"/>
    <w:rsid w:val="00A26AAE"/>
    <w:rsid w:val="00A27E2D"/>
    <w:rsid w:val="00A31D99"/>
    <w:rsid w:val="00A31F90"/>
    <w:rsid w:val="00A33252"/>
    <w:rsid w:val="00A357BA"/>
    <w:rsid w:val="00A35ADC"/>
    <w:rsid w:val="00A402A3"/>
    <w:rsid w:val="00A458E9"/>
    <w:rsid w:val="00A53681"/>
    <w:rsid w:val="00A633D4"/>
    <w:rsid w:val="00A6461A"/>
    <w:rsid w:val="00A84504"/>
    <w:rsid w:val="00A8672F"/>
    <w:rsid w:val="00A93057"/>
    <w:rsid w:val="00A9317B"/>
    <w:rsid w:val="00A968B0"/>
    <w:rsid w:val="00A9692F"/>
    <w:rsid w:val="00AA4F1D"/>
    <w:rsid w:val="00AB2672"/>
    <w:rsid w:val="00AB2817"/>
    <w:rsid w:val="00AB43C4"/>
    <w:rsid w:val="00AB75A0"/>
    <w:rsid w:val="00AC32E7"/>
    <w:rsid w:val="00AC3A9F"/>
    <w:rsid w:val="00AC500F"/>
    <w:rsid w:val="00AC6D2F"/>
    <w:rsid w:val="00AE1D1C"/>
    <w:rsid w:val="00AE2745"/>
    <w:rsid w:val="00AE2F64"/>
    <w:rsid w:val="00AE4100"/>
    <w:rsid w:val="00AF42CB"/>
    <w:rsid w:val="00AF483F"/>
    <w:rsid w:val="00AF5E07"/>
    <w:rsid w:val="00AF5F06"/>
    <w:rsid w:val="00B00A25"/>
    <w:rsid w:val="00B02FDC"/>
    <w:rsid w:val="00B1422A"/>
    <w:rsid w:val="00B1765C"/>
    <w:rsid w:val="00B213C4"/>
    <w:rsid w:val="00B3386B"/>
    <w:rsid w:val="00B40C60"/>
    <w:rsid w:val="00B42F5A"/>
    <w:rsid w:val="00B435CA"/>
    <w:rsid w:val="00B479A9"/>
    <w:rsid w:val="00B52EDF"/>
    <w:rsid w:val="00B71188"/>
    <w:rsid w:val="00B71CCE"/>
    <w:rsid w:val="00B76A41"/>
    <w:rsid w:val="00B87D4C"/>
    <w:rsid w:val="00B93646"/>
    <w:rsid w:val="00B95D1F"/>
    <w:rsid w:val="00BA0B38"/>
    <w:rsid w:val="00BA1DBB"/>
    <w:rsid w:val="00BA4510"/>
    <w:rsid w:val="00BA529A"/>
    <w:rsid w:val="00BB612A"/>
    <w:rsid w:val="00BC0367"/>
    <w:rsid w:val="00BD499F"/>
    <w:rsid w:val="00BD56DE"/>
    <w:rsid w:val="00BD68E0"/>
    <w:rsid w:val="00BF2406"/>
    <w:rsid w:val="00BF42F4"/>
    <w:rsid w:val="00C16315"/>
    <w:rsid w:val="00C3038C"/>
    <w:rsid w:val="00C3091E"/>
    <w:rsid w:val="00C40FF1"/>
    <w:rsid w:val="00C419E2"/>
    <w:rsid w:val="00C42D07"/>
    <w:rsid w:val="00C5020E"/>
    <w:rsid w:val="00C53924"/>
    <w:rsid w:val="00C53A2B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75454"/>
    <w:rsid w:val="00C830EF"/>
    <w:rsid w:val="00C850A0"/>
    <w:rsid w:val="00C85A86"/>
    <w:rsid w:val="00C978F0"/>
    <w:rsid w:val="00C97B0D"/>
    <w:rsid w:val="00CA4B3F"/>
    <w:rsid w:val="00CA58FE"/>
    <w:rsid w:val="00CB15C9"/>
    <w:rsid w:val="00CB1CB1"/>
    <w:rsid w:val="00CB32A9"/>
    <w:rsid w:val="00CB67CF"/>
    <w:rsid w:val="00CB6BC1"/>
    <w:rsid w:val="00CB6CB8"/>
    <w:rsid w:val="00CC1A68"/>
    <w:rsid w:val="00CC2123"/>
    <w:rsid w:val="00CD2BFD"/>
    <w:rsid w:val="00CD4520"/>
    <w:rsid w:val="00CD63AC"/>
    <w:rsid w:val="00CE4FE9"/>
    <w:rsid w:val="00CE5AD6"/>
    <w:rsid w:val="00CE617F"/>
    <w:rsid w:val="00CE78EF"/>
    <w:rsid w:val="00CF245B"/>
    <w:rsid w:val="00D048F7"/>
    <w:rsid w:val="00D0517E"/>
    <w:rsid w:val="00D140FC"/>
    <w:rsid w:val="00D176FD"/>
    <w:rsid w:val="00D21D8C"/>
    <w:rsid w:val="00D22D43"/>
    <w:rsid w:val="00D24821"/>
    <w:rsid w:val="00D31357"/>
    <w:rsid w:val="00D33220"/>
    <w:rsid w:val="00D334D1"/>
    <w:rsid w:val="00D4061A"/>
    <w:rsid w:val="00D44C89"/>
    <w:rsid w:val="00D516CD"/>
    <w:rsid w:val="00D55175"/>
    <w:rsid w:val="00D668E6"/>
    <w:rsid w:val="00D70670"/>
    <w:rsid w:val="00D74D80"/>
    <w:rsid w:val="00D76624"/>
    <w:rsid w:val="00D7775C"/>
    <w:rsid w:val="00D87570"/>
    <w:rsid w:val="00D91CB9"/>
    <w:rsid w:val="00D97989"/>
    <w:rsid w:val="00D97D8D"/>
    <w:rsid w:val="00DA352E"/>
    <w:rsid w:val="00DB5317"/>
    <w:rsid w:val="00DC7694"/>
    <w:rsid w:val="00DD1BF6"/>
    <w:rsid w:val="00DD2F9B"/>
    <w:rsid w:val="00DE2513"/>
    <w:rsid w:val="00DE26E8"/>
    <w:rsid w:val="00DE7A15"/>
    <w:rsid w:val="00DF6F36"/>
    <w:rsid w:val="00E0084C"/>
    <w:rsid w:val="00E025AB"/>
    <w:rsid w:val="00E02B23"/>
    <w:rsid w:val="00E0499E"/>
    <w:rsid w:val="00E06F40"/>
    <w:rsid w:val="00E07CE8"/>
    <w:rsid w:val="00E159FB"/>
    <w:rsid w:val="00E26A07"/>
    <w:rsid w:val="00E32595"/>
    <w:rsid w:val="00E37CFD"/>
    <w:rsid w:val="00E41A26"/>
    <w:rsid w:val="00E41A4C"/>
    <w:rsid w:val="00E425EB"/>
    <w:rsid w:val="00E44936"/>
    <w:rsid w:val="00E46BCB"/>
    <w:rsid w:val="00E50644"/>
    <w:rsid w:val="00E51708"/>
    <w:rsid w:val="00E51CAF"/>
    <w:rsid w:val="00E53564"/>
    <w:rsid w:val="00E60F04"/>
    <w:rsid w:val="00E62AAC"/>
    <w:rsid w:val="00E67C2F"/>
    <w:rsid w:val="00E67EF5"/>
    <w:rsid w:val="00E804EA"/>
    <w:rsid w:val="00E80A71"/>
    <w:rsid w:val="00E82337"/>
    <w:rsid w:val="00E855A9"/>
    <w:rsid w:val="00E92499"/>
    <w:rsid w:val="00E942FD"/>
    <w:rsid w:val="00E949AF"/>
    <w:rsid w:val="00E94FFC"/>
    <w:rsid w:val="00E96077"/>
    <w:rsid w:val="00EA0A06"/>
    <w:rsid w:val="00EA6243"/>
    <w:rsid w:val="00EA69BA"/>
    <w:rsid w:val="00EA74AB"/>
    <w:rsid w:val="00EB3D1B"/>
    <w:rsid w:val="00EB7F96"/>
    <w:rsid w:val="00ED1D89"/>
    <w:rsid w:val="00ED66BC"/>
    <w:rsid w:val="00ED6A76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27B5"/>
    <w:rsid w:val="00F13662"/>
    <w:rsid w:val="00F16019"/>
    <w:rsid w:val="00F20E68"/>
    <w:rsid w:val="00F22093"/>
    <w:rsid w:val="00F236DF"/>
    <w:rsid w:val="00F27164"/>
    <w:rsid w:val="00F43AD5"/>
    <w:rsid w:val="00F4402E"/>
    <w:rsid w:val="00F461F8"/>
    <w:rsid w:val="00F56DD0"/>
    <w:rsid w:val="00F6491C"/>
    <w:rsid w:val="00F65103"/>
    <w:rsid w:val="00F67A40"/>
    <w:rsid w:val="00F67BBB"/>
    <w:rsid w:val="00F87D92"/>
    <w:rsid w:val="00F90AA7"/>
    <w:rsid w:val="00F92498"/>
    <w:rsid w:val="00F927BC"/>
    <w:rsid w:val="00F9496B"/>
    <w:rsid w:val="00F970C9"/>
    <w:rsid w:val="00FA06A8"/>
    <w:rsid w:val="00FA2AD8"/>
    <w:rsid w:val="00FA3DF5"/>
    <w:rsid w:val="00FA741F"/>
    <w:rsid w:val="00FB27B3"/>
    <w:rsid w:val="00FB4E07"/>
    <w:rsid w:val="00FB755A"/>
    <w:rsid w:val="00FC60A2"/>
    <w:rsid w:val="00FD1871"/>
    <w:rsid w:val="00FD3110"/>
    <w:rsid w:val="00FD7F6B"/>
    <w:rsid w:val="00FF0F2F"/>
    <w:rsid w:val="00FF5C3D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."/>
  <w:listSeparator w:val=","/>
  <w14:docId w14:val="2DB5F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53543A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0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0A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0A6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647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152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7A624BEA4D0D48939571363D271FD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03F3D-178F-4726-8E57-43E2E8262FC8}"/>
      </w:docPartPr>
      <w:docPartBody>
        <w:p w:rsidR="002C29FB" w:rsidRDefault="00C0737F" w:rsidP="00C0737F">
          <w:pPr>
            <w:pStyle w:val="7A624BEA4D0D48939571363D271FD76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1B943B7866454E48A54B68D5FCDF7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B605C-4BA7-4891-AB3E-ABE25596D61F}"/>
      </w:docPartPr>
      <w:docPartBody>
        <w:p w:rsidR="002C29FB" w:rsidRDefault="00C0737F" w:rsidP="00C0737F">
          <w:pPr>
            <w:pStyle w:val="1B943B7866454E48A54B68D5FCDF72D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4E891134A84289895C81830E6BE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B1220-D2D7-48A2-81CC-E2738AAF3FCA}"/>
      </w:docPartPr>
      <w:docPartBody>
        <w:p w:rsidR="002C29FB" w:rsidRDefault="00C0737F" w:rsidP="00C0737F">
          <w:pPr>
            <w:pStyle w:val="694E891134A84289895C81830E6BE6E6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9C687D271954C21AF63D759BC995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26B99-33B7-4ED9-A7E5-3079C5AEC93B}"/>
      </w:docPartPr>
      <w:docPartBody>
        <w:p w:rsidR="0027104E" w:rsidRDefault="002C29FB" w:rsidP="002C29FB">
          <w:pPr>
            <w:pStyle w:val="C9C687D271954C21AF63D759BC9958A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3EF9AACC74A436980CB33894B83C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E6BD6-7F7C-489C-80CA-93887CB95EBC}"/>
      </w:docPartPr>
      <w:docPartBody>
        <w:p w:rsidR="0027104E" w:rsidRDefault="002C29FB" w:rsidP="002C29FB">
          <w:pPr>
            <w:pStyle w:val="43EF9AACC74A436980CB33894B83C2CA"/>
          </w:pPr>
          <w:r w:rsidRPr="0051509C">
            <w:rPr>
              <w:rStyle w:val="PlaceholderText"/>
            </w:rPr>
            <w:t>Click here to enter standard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2385F"/>
    <w:rsid w:val="0011549C"/>
    <w:rsid w:val="001C703A"/>
    <w:rsid w:val="0027104E"/>
    <w:rsid w:val="002C29FB"/>
    <w:rsid w:val="003071E0"/>
    <w:rsid w:val="00334984"/>
    <w:rsid w:val="00771DFA"/>
    <w:rsid w:val="00C0737F"/>
    <w:rsid w:val="00C95F14"/>
    <w:rsid w:val="00CA74F7"/>
    <w:rsid w:val="00D05ED4"/>
    <w:rsid w:val="00D11B07"/>
    <w:rsid w:val="00D21A9F"/>
    <w:rsid w:val="00DF5628"/>
    <w:rsid w:val="00EC4119"/>
    <w:rsid w:val="00F7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703A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7A624BEA4D0D48939571363D271FD76B">
    <w:name w:val="7A624BEA4D0D48939571363D271FD76B"/>
    <w:rsid w:val="00C0737F"/>
  </w:style>
  <w:style w:type="paragraph" w:customStyle="1" w:styleId="1B943B7866454E48A54B68D5FCDF72D0">
    <w:name w:val="1B943B7866454E48A54B68D5FCDF72D0"/>
    <w:rsid w:val="00C0737F"/>
  </w:style>
  <w:style w:type="paragraph" w:customStyle="1" w:styleId="694E891134A84289895C81830E6BE6E6">
    <w:name w:val="694E891134A84289895C81830E6BE6E6"/>
    <w:rsid w:val="00C0737F"/>
  </w:style>
  <w:style w:type="paragraph" w:customStyle="1" w:styleId="C9C687D271954C21AF63D759BC9958A2">
    <w:name w:val="C9C687D271954C21AF63D759BC9958A2"/>
    <w:rsid w:val="002C29FB"/>
  </w:style>
  <w:style w:type="paragraph" w:customStyle="1" w:styleId="43EF9AACC74A436980CB33894B83C2CA">
    <w:name w:val="43EF9AACC74A436980CB33894B83C2CA"/>
    <w:rsid w:val="002C29FB"/>
  </w:style>
  <w:style w:type="paragraph" w:customStyle="1" w:styleId="084E7F68EA88472C80F4D21D4E30937B">
    <w:name w:val="084E7F68EA88472C80F4D21D4E30937B"/>
    <w:rsid w:val="002C29FB"/>
  </w:style>
  <w:style w:type="paragraph" w:customStyle="1" w:styleId="1BA0418138F545F2B5E82F23F9BC704F">
    <w:name w:val="1BA0418138F545F2B5E82F23F9BC704F"/>
    <w:rsid w:val="002C29FB"/>
  </w:style>
  <w:style w:type="paragraph" w:customStyle="1" w:styleId="CA1F2BEA6CF04F0D8E2E93531E50441C">
    <w:name w:val="CA1F2BEA6CF04F0D8E2E93531E50441C"/>
    <w:rsid w:val="001C703A"/>
  </w:style>
  <w:style w:type="paragraph" w:customStyle="1" w:styleId="BFE22F670DCC4DA49516A5E07B5DDBB3">
    <w:name w:val="BFE22F670DCC4DA49516A5E07B5DDBB3"/>
    <w:rsid w:val="001C703A"/>
  </w:style>
  <w:style w:type="paragraph" w:customStyle="1" w:styleId="70AC2BE578D5453CB01BC07B523F1F2B">
    <w:name w:val="70AC2BE578D5453CB01BC07B523F1F2B"/>
    <w:rsid w:val="001C70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C941-A9F5-4FF3-8E66-77C4F759F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8D004A-83B1-449B-8C48-59E3AC00B999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f54d604-3e62-4e70-ba33-9e9084b96a66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2B45DF-FB15-4A47-BBCB-80975E048C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5F61B8-5066-46E8-997C-525F83AC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2019-06-22T02:37:00Z</dcterms:created>
  <dcterms:modified xsi:type="dcterms:W3CDTF">2020-07-21T01:46:00Z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