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18FFF21" w14:textId="77777777" w:rsidR="00BD499F" w:rsidRPr="004C23F4" w:rsidRDefault="004458F8" w:rsidP="00B40C60">
          <w:pPr>
            <w:pStyle w:val="Heading1"/>
            <w:jc w:val="center"/>
            <w:rPr>
              <w:rFonts w:ascii="Arial" w:hAnsi="Arial" w:cs="Arial"/>
            </w:rPr>
          </w:pPr>
          <w:r w:rsidRPr="004458F8">
            <w:rPr>
              <w:rFonts w:ascii="Arial" w:hAnsi="Arial" w:cs="Arial"/>
            </w:rPr>
            <w:t>Tributyl phosphate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8"/>
        <w:gridCol w:w="5038"/>
      </w:tblGrid>
      <w:tr w:rsidR="00F43AD5" w:rsidRPr="004C23F4" w14:paraId="6173CE65" w14:textId="77777777" w:rsidTr="00152A84">
        <w:trPr>
          <w:cantSplit/>
          <w:tblHeader/>
        </w:trPr>
        <w:tc>
          <w:tcPr>
            <w:tcW w:w="3988" w:type="dxa"/>
          </w:tcPr>
          <w:p w14:paraId="2C3B5F05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8" w:type="dxa"/>
          </w:tcPr>
          <w:p w14:paraId="7CB907F9" w14:textId="77777777" w:rsidR="00F43AD5" w:rsidRPr="00717D45" w:rsidRDefault="004458F8" w:rsidP="004458F8">
            <w:pPr>
              <w:pStyle w:val="Tablefont"/>
              <w:tabs>
                <w:tab w:val="left" w:pos="964"/>
              </w:tabs>
            </w:pPr>
            <w:r>
              <w:t>126-73-8</w:t>
            </w:r>
          </w:p>
        </w:tc>
      </w:tr>
      <w:tr w:rsidR="00F43AD5" w:rsidRPr="004C23F4" w14:paraId="4E20EDCB" w14:textId="77777777" w:rsidTr="00152A84">
        <w:trPr>
          <w:cantSplit/>
        </w:trPr>
        <w:tc>
          <w:tcPr>
            <w:tcW w:w="3988" w:type="dxa"/>
          </w:tcPr>
          <w:p w14:paraId="32C1EB1C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8" w:type="dxa"/>
          </w:tcPr>
          <w:p w14:paraId="546552A9" w14:textId="77777777" w:rsidR="00F43AD5" w:rsidRPr="00717D45" w:rsidRDefault="004458F8" w:rsidP="00B76A41">
            <w:pPr>
              <w:pStyle w:val="Tablefont"/>
            </w:pPr>
            <w:r>
              <w:t>Phosphoric acid tributyl ester, TBP, tri-n-butyl phosphate</w:t>
            </w:r>
          </w:p>
        </w:tc>
      </w:tr>
      <w:tr w:rsidR="00F43AD5" w:rsidRPr="004C23F4" w14:paraId="14DD763A" w14:textId="77777777" w:rsidTr="00152A84">
        <w:trPr>
          <w:cantSplit/>
        </w:trPr>
        <w:tc>
          <w:tcPr>
            <w:tcW w:w="3988" w:type="dxa"/>
          </w:tcPr>
          <w:p w14:paraId="604F5AC3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8" w:type="dxa"/>
          </w:tcPr>
          <w:p w14:paraId="5F59D8C2" w14:textId="77777777" w:rsidR="00F43AD5" w:rsidRPr="00717D45" w:rsidRDefault="004458F8" w:rsidP="00B76A41">
            <w:pPr>
              <w:pStyle w:val="Tablefont"/>
            </w:pPr>
            <w:r>
              <w:t>C</w:t>
            </w:r>
            <w:r w:rsidRPr="004458F8">
              <w:rPr>
                <w:vertAlign w:val="subscript"/>
              </w:rPr>
              <w:t>12</w:t>
            </w:r>
            <w:r>
              <w:t>H</w:t>
            </w:r>
            <w:r w:rsidRPr="004458F8">
              <w:rPr>
                <w:vertAlign w:val="subscript"/>
              </w:rPr>
              <w:t>27</w:t>
            </w:r>
            <w:r>
              <w:t>O</w:t>
            </w:r>
            <w:r w:rsidRPr="004458F8">
              <w:rPr>
                <w:vertAlign w:val="subscript"/>
              </w:rPr>
              <w:t>4</w:t>
            </w:r>
            <w:r>
              <w:t>P</w:t>
            </w:r>
          </w:p>
        </w:tc>
      </w:tr>
    </w:tbl>
    <w:p w14:paraId="3738DD04" w14:textId="2A3FE251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4E316C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1730D7AD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1B83C6A3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29680913" w14:textId="1ABF6688" w:rsidR="002C7AFE" w:rsidRPr="00EB3D1B" w:rsidRDefault="00297352" w:rsidP="00017C82">
            <w:pPr>
              <w:pStyle w:val="Tablefont"/>
              <w:rPr>
                <w:b/>
              </w:rPr>
            </w:pPr>
            <w:r w:rsidRPr="00297352">
              <w:rPr>
                <w:b/>
              </w:rPr>
              <w:t>0.</w:t>
            </w:r>
            <w:r w:rsidR="004E316C">
              <w:rPr>
                <w:b/>
              </w:rPr>
              <w:t>2</w:t>
            </w:r>
            <w:r w:rsidRPr="00297352">
              <w:rPr>
                <w:b/>
              </w:rPr>
              <w:t xml:space="preserve"> ppm (</w:t>
            </w:r>
            <w:r w:rsidR="004E316C">
              <w:rPr>
                <w:b/>
              </w:rPr>
              <w:t>2.2</w:t>
            </w:r>
            <w:r w:rsidRPr="00297352">
              <w:rPr>
                <w:b/>
              </w:rPr>
              <w:t xml:space="preserve"> mg/m</w:t>
            </w:r>
            <w:r w:rsidRPr="00297352">
              <w:rPr>
                <w:b/>
                <w:vertAlign w:val="superscript"/>
              </w:rPr>
              <w:t>3</w:t>
            </w:r>
            <w:r w:rsidR="004E316C">
              <w:rPr>
                <w:b/>
              </w:rPr>
              <w:t>)</w:t>
            </w:r>
          </w:p>
        </w:tc>
      </w:tr>
      <w:tr w:rsidR="00037E52" w:rsidRPr="004C23F4" w14:paraId="21B26B87" w14:textId="77777777" w:rsidTr="00037E52">
        <w:trPr>
          <w:cantSplit/>
        </w:trPr>
        <w:tc>
          <w:tcPr>
            <w:tcW w:w="4010" w:type="dxa"/>
            <w:vAlign w:val="center"/>
          </w:tcPr>
          <w:p w14:paraId="47CEBD0C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61374DD9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FEA57B2" w14:textId="77777777" w:rsidTr="00037E52">
        <w:trPr>
          <w:cantSplit/>
        </w:trPr>
        <w:tc>
          <w:tcPr>
            <w:tcW w:w="4010" w:type="dxa"/>
            <w:vAlign w:val="center"/>
          </w:tcPr>
          <w:p w14:paraId="54D3F0E2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61CCFBF2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625040F9" w14:textId="77777777" w:rsidTr="00037E52">
        <w:trPr>
          <w:cantSplit/>
        </w:trPr>
        <w:tc>
          <w:tcPr>
            <w:tcW w:w="4010" w:type="dxa"/>
          </w:tcPr>
          <w:p w14:paraId="2C3306E8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3C9CB172" w14:textId="4846D765" w:rsidR="00037E52" w:rsidRPr="00EB3D1B" w:rsidRDefault="00767B2A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Carc. 2</w:t>
            </w:r>
          </w:p>
        </w:tc>
      </w:tr>
      <w:tr w:rsidR="00037E52" w:rsidRPr="004C23F4" w14:paraId="762BEDA4" w14:textId="77777777" w:rsidTr="00037E52">
        <w:trPr>
          <w:cantSplit/>
        </w:trPr>
        <w:tc>
          <w:tcPr>
            <w:tcW w:w="4010" w:type="dxa"/>
            <w:vAlign w:val="center"/>
          </w:tcPr>
          <w:p w14:paraId="3BD97323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2022E806" w14:textId="77777777" w:rsidR="00037E52" w:rsidRPr="00EB3D1B" w:rsidRDefault="00AE3AA5" w:rsidP="00037E52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30 ppm </w:t>
            </w:r>
          </w:p>
        </w:tc>
      </w:tr>
      <w:tr w:rsidR="00155999" w:rsidRPr="004C23F4" w14:paraId="143BF070" w14:textId="77777777" w:rsidTr="00DE6976">
        <w:trPr>
          <w:cantSplit/>
        </w:trPr>
        <w:tc>
          <w:tcPr>
            <w:tcW w:w="9026" w:type="dxa"/>
            <w:gridSpan w:val="2"/>
            <w:vAlign w:val="center"/>
          </w:tcPr>
          <w:p w14:paraId="0E48A704" w14:textId="3D6B016D" w:rsidR="00155999" w:rsidRPr="00EB3D1B" w:rsidRDefault="00155999" w:rsidP="00037E52">
            <w:pPr>
              <w:pStyle w:val="Tablefont"/>
              <w:rPr>
                <w:b/>
              </w:rPr>
            </w:pPr>
            <w:r w:rsidRPr="00753828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297352" w:rsidRPr="00753828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5A83C410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C058FAE" w14:textId="3C702C3A" w:rsidR="006639B4" w:rsidRPr="004C23F4" w:rsidRDefault="00297352" w:rsidP="000C139A">
      <w:pPr>
        <w:rPr>
          <w:rFonts w:cs="Arial"/>
        </w:rPr>
      </w:pPr>
      <w:r w:rsidRPr="00297352">
        <w:rPr>
          <w:rFonts w:cs="Arial"/>
        </w:rPr>
        <w:t xml:space="preserve">A TWA of </w:t>
      </w:r>
      <w:r>
        <w:rPr>
          <w:rFonts w:cs="Arial"/>
        </w:rPr>
        <w:t>0.</w:t>
      </w:r>
      <w:r w:rsidR="004E316C">
        <w:rPr>
          <w:rFonts w:cs="Arial"/>
        </w:rPr>
        <w:t>2</w:t>
      </w:r>
      <w:r w:rsidR="004E316C" w:rsidRPr="00297352">
        <w:rPr>
          <w:rFonts w:cs="Arial"/>
        </w:rPr>
        <w:t xml:space="preserve"> </w:t>
      </w:r>
      <w:r w:rsidRPr="00297352">
        <w:rPr>
          <w:rFonts w:cs="Arial"/>
        </w:rPr>
        <w:t>ppm (</w:t>
      </w:r>
      <w:r w:rsidR="004E316C">
        <w:rPr>
          <w:rFonts w:cs="Arial"/>
        </w:rPr>
        <w:t>2.2</w:t>
      </w:r>
      <w:r w:rsidR="004E316C" w:rsidRPr="00297352">
        <w:rPr>
          <w:rFonts w:cs="Arial"/>
        </w:rPr>
        <w:t xml:space="preserve"> </w:t>
      </w:r>
      <w:r w:rsidRPr="00297352">
        <w:rPr>
          <w:rFonts w:cs="Arial"/>
        </w:rPr>
        <w:t>mg/m</w:t>
      </w:r>
      <w:r w:rsidRPr="00297352">
        <w:rPr>
          <w:rFonts w:cs="Arial"/>
          <w:vertAlign w:val="superscript"/>
        </w:rPr>
        <w:t>3</w:t>
      </w:r>
      <w:r w:rsidRPr="00297352">
        <w:rPr>
          <w:rFonts w:cs="Arial"/>
        </w:rPr>
        <w:t>)</w:t>
      </w:r>
      <w:r w:rsidR="00767B2A">
        <w:rPr>
          <w:rFonts w:cs="Arial"/>
        </w:rPr>
        <w:t xml:space="preserve"> is recommended </w:t>
      </w:r>
      <w:r w:rsidRPr="00297352">
        <w:rPr>
          <w:rFonts w:cs="Arial"/>
        </w:rPr>
        <w:t xml:space="preserve">to protect for </w:t>
      </w:r>
      <w:r w:rsidR="007D31F7">
        <w:rPr>
          <w:rFonts w:cs="Arial"/>
        </w:rPr>
        <w:t>irritation of the bladder, skin and mucous membranes</w:t>
      </w:r>
      <w:r w:rsidR="00767B2A">
        <w:rPr>
          <w:rFonts w:cs="Arial"/>
        </w:rPr>
        <w:t xml:space="preserve"> </w:t>
      </w:r>
      <w:r w:rsidRPr="00297352">
        <w:rPr>
          <w:rFonts w:cs="Arial"/>
        </w:rPr>
        <w:t>in exposed workers</w:t>
      </w:r>
      <w:r>
        <w:rPr>
          <w:rFonts w:cs="Arial"/>
        </w:rPr>
        <w:t>.</w:t>
      </w:r>
    </w:p>
    <w:p w14:paraId="4C65AEF9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6DD64CF" w14:textId="77777777" w:rsidR="00152A84" w:rsidRDefault="0082433E" w:rsidP="006639B4">
      <w:pPr>
        <w:rPr>
          <w:rFonts w:cs="Arial"/>
        </w:rPr>
      </w:pPr>
      <w:r>
        <w:rPr>
          <w:rFonts w:cs="Arial"/>
        </w:rPr>
        <w:t xml:space="preserve">Tributyl </w:t>
      </w:r>
      <w:r w:rsidR="009F704E">
        <w:rPr>
          <w:rFonts w:cs="Arial"/>
        </w:rPr>
        <w:t>phosphate</w:t>
      </w:r>
      <w:r w:rsidR="00AA060F">
        <w:rPr>
          <w:rFonts w:cs="Arial"/>
        </w:rPr>
        <w:t xml:space="preserve"> is used as</w:t>
      </w:r>
      <w:r w:rsidR="00767B2A">
        <w:rPr>
          <w:rFonts w:cs="Arial"/>
        </w:rPr>
        <w:t xml:space="preserve"> a flame retardant and solvent in </w:t>
      </w:r>
      <w:r w:rsidR="007D31F7">
        <w:rPr>
          <w:rFonts w:cs="Arial"/>
        </w:rPr>
        <w:t>mineralogical applications.</w:t>
      </w:r>
      <w:r w:rsidR="00753828">
        <w:rPr>
          <w:rFonts w:cs="Arial"/>
        </w:rPr>
        <w:t xml:space="preserve"> </w:t>
      </w:r>
    </w:p>
    <w:p w14:paraId="081EE011" w14:textId="77777777" w:rsidR="00741579" w:rsidRDefault="00AA060F" w:rsidP="006639B4">
      <w:pPr>
        <w:rPr>
          <w:rFonts w:cs="Arial"/>
        </w:rPr>
      </w:pPr>
      <w:r>
        <w:rPr>
          <w:rFonts w:cs="Arial"/>
        </w:rPr>
        <w:t xml:space="preserve">Critical effects of exposure are </w:t>
      </w:r>
      <w:r w:rsidR="007D31F7">
        <w:rPr>
          <w:rFonts w:cs="Arial"/>
        </w:rPr>
        <w:t>irritation of bladder, skin and mucous membranes.</w:t>
      </w:r>
      <w:r w:rsidR="00152A84">
        <w:rPr>
          <w:rFonts w:cs="Arial"/>
        </w:rPr>
        <w:t xml:space="preserve"> </w:t>
      </w:r>
    </w:p>
    <w:p w14:paraId="5E389FE0" w14:textId="3E9ABE62" w:rsidR="009F704E" w:rsidRDefault="00AA060F" w:rsidP="006639B4">
      <w:pPr>
        <w:rPr>
          <w:rFonts w:cs="Arial"/>
        </w:rPr>
      </w:pPr>
      <w:r>
        <w:rPr>
          <w:rFonts w:cs="Arial"/>
        </w:rPr>
        <w:t>H</w:t>
      </w:r>
      <w:r w:rsidR="009F704E">
        <w:rPr>
          <w:rFonts w:cs="Arial"/>
        </w:rPr>
        <w:t>uman exposure data are limited</w:t>
      </w:r>
      <w:r w:rsidR="00901448">
        <w:rPr>
          <w:rFonts w:cs="Arial"/>
        </w:rPr>
        <w:t xml:space="preserve"> and no </w:t>
      </w:r>
      <w:r>
        <w:rPr>
          <w:rFonts w:cs="Arial"/>
        </w:rPr>
        <w:t>quantitative</w:t>
      </w:r>
      <w:r w:rsidR="007D31F7">
        <w:rPr>
          <w:rFonts w:cs="Arial"/>
        </w:rPr>
        <w:t xml:space="preserve"> data on local irritation</w:t>
      </w:r>
      <w:r>
        <w:rPr>
          <w:rFonts w:cs="Arial"/>
        </w:rPr>
        <w:t xml:space="preserve"> are </w:t>
      </w:r>
      <w:r w:rsidR="00431C9A">
        <w:rPr>
          <w:rFonts w:cs="Arial"/>
        </w:rPr>
        <w:t>available</w:t>
      </w:r>
      <w:r w:rsidR="00901448">
        <w:rPr>
          <w:rFonts w:cs="Arial"/>
        </w:rPr>
        <w:t xml:space="preserve"> (ACGIH, 2018</w:t>
      </w:r>
      <w:r>
        <w:rPr>
          <w:rFonts w:cs="Arial"/>
        </w:rPr>
        <w:t>; DFG, 2012</w:t>
      </w:r>
      <w:r w:rsidR="00901448">
        <w:rPr>
          <w:rFonts w:cs="Arial"/>
        </w:rPr>
        <w:t xml:space="preserve">). </w:t>
      </w:r>
      <w:r w:rsidR="00767B2A">
        <w:rPr>
          <w:rFonts w:cs="Arial"/>
        </w:rPr>
        <w:t>Low s</w:t>
      </w:r>
      <w:r>
        <w:rPr>
          <w:rFonts w:cs="Arial"/>
        </w:rPr>
        <w:t xml:space="preserve">ystemic availability following dermal absorption is reported but no information on subsequent toxicity is available (DFG, 2002; HCOTN, 2005). </w:t>
      </w:r>
      <w:r w:rsidR="00762C62">
        <w:rPr>
          <w:rFonts w:cs="Arial"/>
        </w:rPr>
        <w:t>Reversible bladder epithelial hyperplasia is reported at a LOAEL of 42 mg/kg/day with a corresponding NOAEL of 12 mg/kg/day in sub</w:t>
      </w:r>
      <w:r w:rsidR="00625272">
        <w:rPr>
          <w:rFonts w:cs="Arial"/>
        </w:rPr>
        <w:t>-</w:t>
      </w:r>
      <w:r w:rsidR="00762C62">
        <w:rPr>
          <w:rFonts w:cs="Arial"/>
        </w:rPr>
        <w:t>chronically fed rats (ACGIH, 2018)</w:t>
      </w:r>
      <w:r w:rsidR="003B524D">
        <w:rPr>
          <w:rFonts w:cs="Arial"/>
        </w:rPr>
        <w:t xml:space="preserve">. These data are </w:t>
      </w:r>
      <w:r w:rsidR="00762C62">
        <w:rPr>
          <w:rFonts w:cs="Arial"/>
        </w:rPr>
        <w:t xml:space="preserve">consistent with </w:t>
      </w:r>
      <w:r w:rsidR="003B524D">
        <w:rPr>
          <w:rFonts w:cs="Arial"/>
        </w:rPr>
        <w:t xml:space="preserve">endpoints reported in </w:t>
      </w:r>
      <w:r w:rsidR="00374904">
        <w:rPr>
          <w:rFonts w:cs="Arial"/>
        </w:rPr>
        <w:t>a</w:t>
      </w:r>
      <w:r w:rsidR="003B524D">
        <w:rPr>
          <w:rFonts w:cs="Arial"/>
        </w:rPr>
        <w:t xml:space="preserve"> </w:t>
      </w:r>
      <w:r w:rsidR="00901448">
        <w:rPr>
          <w:rFonts w:cs="Arial"/>
        </w:rPr>
        <w:t>chronic feeding stud</w:t>
      </w:r>
      <w:r w:rsidR="00374904">
        <w:rPr>
          <w:rFonts w:cs="Arial"/>
        </w:rPr>
        <w:t xml:space="preserve">y with </w:t>
      </w:r>
      <w:r w:rsidR="008B651B">
        <w:rPr>
          <w:rFonts w:cs="Arial"/>
        </w:rPr>
        <w:t>rats</w:t>
      </w:r>
      <w:r w:rsidR="00901448">
        <w:rPr>
          <w:rFonts w:cs="Arial"/>
        </w:rPr>
        <w:t xml:space="preserve">, </w:t>
      </w:r>
      <w:r w:rsidR="003B524D">
        <w:rPr>
          <w:rFonts w:cs="Arial"/>
        </w:rPr>
        <w:t xml:space="preserve">in which </w:t>
      </w:r>
      <w:r w:rsidR="00374904">
        <w:rPr>
          <w:rFonts w:cs="Arial"/>
        </w:rPr>
        <w:t>a</w:t>
      </w:r>
      <w:r w:rsidR="003B524D">
        <w:rPr>
          <w:rFonts w:cs="Arial"/>
        </w:rPr>
        <w:t xml:space="preserve"> LOAEL </w:t>
      </w:r>
      <w:r w:rsidR="00374904">
        <w:rPr>
          <w:rFonts w:cs="Arial"/>
        </w:rPr>
        <w:t>of</w:t>
      </w:r>
      <w:r w:rsidR="003B524D">
        <w:rPr>
          <w:rFonts w:cs="Arial"/>
        </w:rPr>
        <w:t xml:space="preserve"> </w:t>
      </w:r>
      <w:r w:rsidR="00374904">
        <w:rPr>
          <w:rFonts w:cs="Arial"/>
        </w:rPr>
        <w:t xml:space="preserve">33 </w:t>
      </w:r>
      <w:r w:rsidR="003B524D">
        <w:rPr>
          <w:rFonts w:cs="Arial"/>
        </w:rPr>
        <w:t xml:space="preserve">and 42 mg/kg/day </w:t>
      </w:r>
      <w:r w:rsidR="00374904">
        <w:rPr>
          <w:rFonts w:cs="Arial"/>
        </w:rPr>
        <w:t>and NOAEL of 9 and 12 mg/kg/day are reported for males and females, respectively (ACGIH, 2018)</w:t>
      </w:r>
      <w:r w:rsidR="00CD5DBB">
        <w:rPr>
          <w:rFonts w:cs="Arial"/>
        </w:rPr>
        <w:t>. However, it is</w:t>
      </w:r>
      <w:r w:rsidR="00374904">
        <w:rPr>
          <w:rFonts w:cs="Arial"/>
        </w:rPr>
        <w:t xml:space="preserve"> inconsistent with a LOAEL of 15 mg/kg/day </w:t>
      </w:r>
      <w:r w:rsidR="00061832">
        <w:rPr>
          <w:rFonts w:cs="Arial"/>
        </w:rPr>
        <w:t xml:space="preserve">for low incidence of microscopic bladder epithelial hyperplasia </w:t>
      </w:r>
      <w:r w:rsidR="00374904">
        <w:rPr>
          <w:rFonts w:cs="Arial"/>
        </w:rPr>
        <w:t xml:space="preserve">reported in a multigenerational feeding study (HCOTN, 2005). </w:t>
      </w:r>
      <w:r w:rsidR="003B524D">
        <w:rPr>
          <w:rFonts w:cs="Arial"/>
        </w:rPr>
        <w:t xml:space="preserve">Carcinogenicity is demonstrated in </w:t>
      </w:r>
      <w:r w:rsidR="00374904">
        <w:rPr>
          <w:rFonts w:cs="Arial"/>
        </w:rPr>
        <w:t>chronic feeding</w:t>
      </w:r>
      <w:r w:rsidR="003B524D">
        <w:rPr>
          <w:rFonts w:cs="Arial"/>
        </w:rPr>
        <w:t xml:space="preserve"> studies at relatively high concentrations and associated with chronic inflammation or irritation of the target organs rather than a genotoxic mechanism of action (ACGIH, 2018; HCOTN, 2005). The absence of mutagenic potential is further supported by negative results in the available genotoxicity database (ACGIH, 2018). </w:t>
      </w:r>
      <w:r w:rsidR="00CD5DBB">
        <w:rPr>
          <w:rFonts w:cs="Arial"/>
        </w:rPr>
        <w:t>C</w:t>
      </w:r>
      <w:r w:rsidR="008B651B">
        <w:rPr>
          <w:rFonts w:cs="Arial"/>
        </w:rPr>
        <w:t xml:space="preserve">hronic exposure </w:t>
      </w:r>
      <w:r w:rsidR="00152A84">
        <w:rPr>
          <w:rFonts w:cs="Arial"/>
          <w:i/>
        </w:rPr>
        <w:t>via</w:t>
      </w:r>
      <w:r w:rsidR="008B651B">
        <w:rPr>
          <w:rFonts w:cs="Arial"/>
        </w:rPr>
        <w:t xml:space="preserve"> the diet cause</w:t>
      </w:r>
      <w:r w:rsidR="00152A84">
        <w:rPr>
          <w:rFonts w:cs="Arial"/>
        </w:rPr>
        <w:t>s</w:t>
      </w:r>
      <w:r w:rsidR="008B651B">
        <w:rPr>
          <w:rFonts w:cs="Arial"/>
        </w:rPr>
        <w:t xml:space="preserve"> significant increases in h</w:t>
      </w:r>
      <w:r w:rsidR="001F2054">
        <w:rPr>
          <w:rFonts w:cs="Arial"/>
        </w:rPr>
        <w:t>epatocellular adenomas above 24 </w:t>
      </w:r>
      <w:r w:rsidR="008B651B">
        <w:rPr>
          <w:rFonts w:cs="Arial"/>
        </w:rPr>
        <w:t xml:space="preserve">mg/kg/day </w:t>
      </w:r>
      <w:r w:rsidR="00CD5DBB">
        <w:rPr>
          <w:rFonts w:cs="Arial"/>
        </w:rPr>
        <w:t xml:space="preserve">in mice </w:t>
      </w:r>
      <w:r w:rsidR="008B651B">
        <w:rPr>
          <w:rFonts w:cs="Arial"/>
        </w:rPr>
        <w:t xml:space="preserve">(ACGIH, 2018; DFG, 2012; HCOTN, 2005). </w:t>
      </w:r>
    </w:p>
    <w:p w14:paraId="2670CADF" w14:textId="5EFF1B86" w:rsidR="00AA060F" w:rsidRPr="003420E2" w:rsidRDefault="00374904" w:rsidP="00624330">
      <w:pPr>
        <w:rPr>
          <w:rFonts w:cs="Arial"/>
        </w:rPr>
      </w:pPr>
      <w:r>
        <w:rPr>
          <w:rFonts w:cs="Arial"/>
        </w:rPr>
        <w:t xml:space="preserve">The available data indicate that bladder epithelial irritation and hyperplasia are the critical endpoint in animals and that the observed carcinogenicity is likely caused by chronic irritation of the target </w:t>
      </w:r>
      <w:r>
        <w:rPr>
          <w:rFonts w:cs="Arial"/>
        </w:rPr>
        <w:lastRenderedPageBreak/>
        <w:t xml:space="preserve">organs. However, </w:t>
      </w:r>
      <w:r w:rsidR="00061832">
        <w:rPr>
          <w:rFonts w:cs="Arial"/>
        </w:rPr>
        <w:t>variability in the chronic LOAEL between 15 and 42 mg/m</w:t>
      </w:r>
      <w:r w:rsidR="00061832">
        <w:rPr>
          <w:rFonts w:cs="Arial"/>
          <w:vertAlign w:val="superscript"/>
        </w:rPr>
        <w:t>3</w:t>
      </w:r>
      <w:r w:rsidR="00061832">
        <w:rPr>
          <w:rFonts w:cs="Arial"/>
        </w:rPr>
        <w:t xml:space="preserve"> for this effect complicates selection of an appropriate point of departure (POD) to derive a TWA. Based on the NOAEL of 9 mg/kg/day, ACGIH (2018) and DFG (2012) estimate an inhalational equivalent</w:t>
      </w:r>
      <w:r w:rsidR="00BD4DC3">
        <w:rPr>
          <w:rFonts w:cs="Arial"/>
        </w:rPr>
        <w:t xml:space="preserve"> dose</w:t>
      </w:r>
      <w:r w:rsidR="00061832">
        <w:rPr>
          <w:rFonts w:cs="Arial"/>
        </w:rPr>
        <w:t xml:space="preserve"> of 63 mg/m</w:t>
      </w:r>
      <w:r w:rsidR="00061832">
        <w:rPr>
          <w:rFonts w:cs="Arial"/>
          <w:vertAlign w:val="superscript"/>
        </w:rPr>
        <w:t>3</w:t>
      </w:r>
      <w:r w:rsidR="00061832">
        <w:rPr>
          <w:rFonts w:cs="Arial"/>
        </w:rPr>
        <w:t xml:space="preserve"> to derive respective TWA equivalents of 5 and 11 mg/m</w:t>
      </w:r>
      <w:r w:rsidR="00061832">
        <w:rPr>
          <w:rFonts w:cs="Arial"/>
          <w:vertAlign w:val="superscript"/>
        </w:rPr>
        <w:t>3</w:t>
      </w:r>
      <w:r w:rsidR="00CD5DBB">
        <w:rPr>
          <w:rFonts w:cs="Arial"/>
        </w:rPr>
        <w:t>. However, both these primary agencies</w:t>
      </w:r>
      <w:r w:rsidR="00061832">
        <w:rPr>
          <w:rFonts w:cs="Arial"/>
        </w:rPr>
        <w:t xml:space="preserve"> do not consider the </w:t>
      </w:r>
      <w:r w:rsidR="00CE1BC6">
        <w:rPr>
          <w:rFonts w:cs="Arial"/>
        </w:rPr>
        <w:t xml:space="preserve">chronic </w:t>
      </w:r>
      <w:r w:rsidR="00061832">
        <w:rPr>
          <w:rFonts w:cs="Arial"/>
        </w:rPr>
        <w:t>LOAEL of 15 mg/kg/day</w:t>
      </w:r>
      <w:r w:rsidR="004E316C">
        <w:rPr>
          <w:rFonts w:cs="Arial"/>
        </w:rPr>
        <w:t xml:space="preserve"> for microscopic bladder hyperplasia</w:t>
      </w:r>
      <w:r w:rsidR="00CE1BC6">
        <w:rPr>
          <w:rFonts w:cs="Arial"/>
        </w:rPr>
        <w:t xml:space="preserve"> from another study</w:t>
      </w:r>
      <w:r w:rsidR="004E316C">
        <w:rPr>
          <w:rFonts w:cs="Arial"/>
        </w:rPr>
        <w:t>. Based on this LOAEL, HCOTN (2005) derives a HBROEL of 2 mg/m</w:t>
      </w:r>
      <w:r w:rsidR="004E316C">
        <w:rPr>
          <w:rFonts w:cs="Arial"/>
          <w:vertAlign w:val="superscript"/>
        </w:rPr>
        <w:t>3</w:t>
      </w:r>
      <w:r w:rsidR="004E316C">
        <w:rPr>
          <w:rFonts w:cs="Arial"/>
        </w:rPr>
        <w:t>. In view of this uncertainty, the TWA of 0.2</w:t>
      </w:r>
      <w:r w:rsidR="00CE1BC6">
        <w:rPr>
          <w:rFonts w:cs="Arial"/>
        </w:rPr>
        <w:t> </w:t>
      </w:r>
      <w:r w:rsidR="004E316C">
        <w:rPr>
          <w:rFonts w:cs="Arial"/>
        </w:rPr>
        <w:t>ppm (2.2 mg/m</w:t>
      </w:r>
      <w:r w:rsidR="004E316C">
        <w:rPr>
          <w:rFonts w:cs="Arial"/>
          <w:vertAlign w:val="superscript"/>
        </w:rPr>
        <w:t>3</w:t>
      </w:r>
      <w:r w:rsidR="004E316C">
        <w:rPr>
          <w:rFonts w:cs="Arial"/>
        </w:rPr>
        <w:t>) is retained and expected to be protective of bladder irritation and carcinogenicity, which is supported by the health-based recommendation presented by HCOTN (2005).</w:t>
      </w:r>
      <w:r w:rsidR="00767B2A">
        <w:rPr>
          <w:rFonts w:cs="Arial"/>
        </w:rPr>
        <w:t xml:space="preserve"> This value is also expected to be protective of local irritation based on analogy to other organic acids (DFG, 2012).</w:t>
      </w:r>
    </w:p>
    <w:p w14:paraId="4CC521B2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44B8316C" w14:textId="183A1E90" w:rsidR="00767B2A" w:rsidRPr="00767B2A" w:rsidRDefault="00767B2A" w:rsidP="00767B2A">
      <w:pPr>
        <w:rPr>
          <w:rFonts w:cs="Arial"/>
        </w:rPr>
      </w:pPr>
      <w:r w:rsidRPr="00767B2A">
        <w:rPr>
          <w:rFonts w:cs="Arial"/>
        </w:rPr>
        <w:t xml:space="preserve">Classified as a category 2 carcinogen according to the Globally Harmonized System of Classification and Labelling of Chemicals (GHS). </w:t>
      </w:r>
    </w:p>
    <w:p w14:paraId="4744295C" w14:textId="77777777" w:rsidR="008E4F1F" w:rsidRPr="00767B2A" w:rsidRDefault="008E4F1F" w:rsidP="008E4F1F">
      <w:pPr>
        <w:rPr>
          <w:rFonts w:cs="Arial"/>
        </w:rPr>
      </w:pPr>
      <w:r w:rsidRPr="00767B2A">
        <w:rPr>
          <w:rFonts w:cs="Arial"/>
        </w:rPr>
        <w:t xml:space="preserve">Not classified as a skin </w:t>
      </w:r>
      <w:r w:rsidR="00155999" w:rsidRPr="00767B2A">
        <w:rPr>
          <w:rFonts w:cs="Arial"/>
        </w:rPr>
        <w:t xml:space="preserve">sensitiser </w:t>
      </w:r>
      <w:r w:rsidRPr="00767B2A">
        <w:rPr>
          <w:rFonts w:cs="Arial"/>
        </w:rPr>
        <w:t>or respiratory sensitiser according to the GHS.</w:t>
      </w:r>
    </w:p>
    <w:p w14:paraId="799CD4E5" w14:textId="77777777" w:rsidR="00767B2A" w:rsidRPr="00767B2A" w:rsidRDefault="00767B2A" w:rsidP="00767B2A">
      <w:pPr>
        <w:rPr>
          <w:rFonts w:cs="Arial"/>
        </w:rPr>
      </w:pPr>
      <w:r w:rsidRPr="00767B2A">
        <w:rPr>
          <w:rFonts w:cs="Arial"/>
        </w:rPr>
        <w:t>A skin notation is not recommended based on the available evidence.</w:t>
      </w:r>
    </w:p>
    <w:p w14:paraId="471274C0" w14:textId="77777777" w:rsidR="0025734A" w:rsidRPr="004C23F4" w:rsidRDefault="0025734A">
      <w:pPr>
        <w:rPr>
          <w:rFonts w:cs="Arial"/>
        </w:rPr>
      </w:pPr>
    </w:p>
    <w:p w14:paraId="2A15CF94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1C934D6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EFCC7F0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8B15904" w14:textId="77777777" w:rsidTr="008264A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028F25FF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54901B5" w14:textId="77777777" w:rsidTr="008264A3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6B0BCD4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4E3F33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4E3F33">
                  <w:t>TWA: 0.2 ppm (2.2 mg/m</w:t>
                </w:r>
                <w:r w:rsidR="004E3F33" w:rsidRPr="004E3F33">
                  <w:rPr>
                    <w:vertAlign w:val="superscript"/>
                  </w:rPr>
                  <w:t>3</w:t>
                </w:r>
                <w:r w:rsidR="004E3F33">
                  <w:t>)</w:t>
                </w:r>
              </w:sdtContent>
            </w:sdt>
          </w:p>
        </w:tc>
      </w:tr>
      <w:tr w:rsidR="00C978F0" w:rsidRPr="00DA352E" w14:paraId="03C1CA7B" w14:textId="77777777" w:rsidTr="008264A3">
        <w:trPr>
          <w:gridAfter w:val="1"/>
          <w:wAfter w:w="8" w:type="pct"/>
          <w:cantSplit/>
        </w:trPr>
        <w:tc>
          <w:tcPr>
            <w:tcW w:w="4992" w:type="pct"/>
          </w:tcPr>
          <w:p w14:paraId="6CD35DC9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DE07FC6" w14:textId="77777777" w:rsidTr="008264A3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C8177DF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E3F33">
                  <w:t>2013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4E3F33">
                  <w:t>TLV-</w:t>
                </w:r>
                <w:r w:rsidR="004E3F33" w:rsidRPr="004E3F33">
                  <w:t xml:space="preserve">TWA: </w:t>
                </w:r>
                <w:r w:rsidR="004E3F33">
                  <w:t>0.5</w:t>
                </w:r>
                <w:r w:rsidR="004E3F33" w:rsidRPr="004E3F33">
                  <w:t xml:space="preserve"> ppm (</w:t>
                </w:r>
                <w:r w:rsidR="004E3F33">
                  <w:t>5</w:t>
                </w:r>
                <w:r w:rsidR="004E3F33" w:rsidRPr="004E3F33">
                  <w:t xml:space="preserve"> mg/m</w:t>
                </w:r>
                <w:r w:rsidR="004E3F33" w:rsidRPr="001F2718">
                  <w:rPr>
                    <w:vertAlign w:val="superscript"/>
                  </w:rPr>
                  <w:t>3</w:t>
                </w:r>
                <w:r w:rsidR="004E3F33" w:rsidRPr="004E3F33">
                  <w:t>)</w:t>
                </w:r>
                <w:r w:rsidR="008213B3">
                  <w:t xml:space="preserve"> (Inhalable fraction and vapor)</w:t>
                </w:r>
              </w:sdtContent>
            </w:sdt>
          </w:p>
        </w:tc>
      </w:tr>
      <w:tr w:rsidR="00C978F0" w:rsidRPr="00DA352E" w14:paraId="70DC7725" w14:textId="77777777" w:rsidTr="008264A3">
        <w:trPr>
          <w:gridAfter w:val="1"/>
          <w:wAfter w:w="8" w:type="pct"/>
        </w:trPr>
        <w:tc>
          <w:tcPr>
            <w:tcW w:w="4992" w:type="pct"/>
          </w:tcPr>
          <w:p w14:paraId="1E54E431" w14:textId="77777777" w:rsidR="00152A84" w:rsidRDefault="00E164E2" w:rsidP="003365A5">
            <w:pPr>
              <w:pStyle w:val="Tabletextprimarysource"/>
            </w:pPr>
            <w:r>
              <w:t xml:space="preserve">TLV-TWA intended to protect for bladder irritation and irritant effects on skin, eyes, and </w:t>
            </w:r>
            <w:r w:rsidR="003B2BDA">
              <w:t>URT</w:t>
            </w:r>
            <w:r>
              <w:t>. Value should be measured as both particulate and vapour phases to account for evaporative losses during sampling.</w:t>
            </w:r>
            <w:r w:rsidR="00DE6976">
              <w:t xml:space="preserve"> </w:t>
            </w:r>
          </w:p>
          <w:p w14:paraId="57B4D202" w14:textId="09D07CEA" w:rsidR="00C978F0" w:rsidRDefault="00DE6976" w:rsidP="003365A5">
            <w:pPr>
              <w:pStyle w:val="Tabletextprimarysource"/>
            </w:pPr>
            <w:r>
              <w:t>Non-mutagenic carcinogenicity demonstrated in chronically fed mice; unknown relevance to humans (A3).</w:t>
            </w:r>
          </w:p>
          <w:p w14:paraId="3A700C17" w14:textId="7BCFD7E4" w:rsidR="00625272" w:rsidRDefault="00E164E2" w:rsidP="003365A5">
            <w:pPr>
              <w:pStyle w:val="Tabletextprimarysource"/>
            </w:pPr>
            <w:r>
              <w:t>Summary of information:</w:t>
            </w:r>
          </w:p>
          <w:p w14:paraId="4E9E19AF" w14:textId="10CA210D" w:rsidR="00E164E2" w:rsidRPr="00624330" w:rsidRDefault="00E164E2" w:rsidP="003365A5">
            <w:pPr>
              <w:pStyle w:val="Tabletextprimarysource"/>
            </w:pPr>
            <w:r>
              <w:t xml:space="preserve">TLV-TWA </w:t>
            </w:r>
            <w:r w:rsidR="009C4165">
              <w:t xml:space="preserve">is </w:t>
            </w:r>
            <w:r>
              <w:t>based on animal data in the absence of sufficient quantitative human exposure data. NOAEL for irritation</w:t>
            </w:r>
            <w:r w:rsidR="00C02587">
              <w:t xml:space="preserve"> and </w:t>
            </w:r>
            <w:r>
              <w:t>hyperplasia of the bladder epithelium are 9 and 12</w:t>
            </w:r>
            <w:r w:rsidR="009C4165">
              <w:t> </w:t>
            </w:r>
            <w:r>
              <w:t>mg/kg/d in male and female rats, respectively.</w:t>
            </w:r>
            <w:r w:rsidR="00DE6976">
              <w:t xml:space="preserve"> Inhalational equivalents of these NOAEL estimated at 63 and 84 mg/m</w:t>
            </w:r>
            <w:r w:rsidR="00DE6976">
              <w:rPr>
                <w:vertAlign w:val="superscript"/>
              </w:rPr>
              <w:t>3</w:t>
            </w:r>
            <w:r w:rsidR="00DE6976">
              <w:t>, respectively, assuming a respiratory volume of 10 m</w:t>
            </w:r>
            <w:r w:rsidR="00DE6976">
              <w:rPr>
                <w:vertAlign w:val="superscript"/>
              </w:rPr>
              <w:t>3</w:t>
            </w:r>
            <w:r w:rsidR="00DE6976">
              <w:t xml:space="preserve"> during an 8</w:t>
            </w:r>
            <w:r w:rsidR="00152A84">
              <w:t xml:space="preserve"> </w:t>
            </w:r>
            <w:r w:rsidR="00DE6976">
              <w:t>h shift in a 70</w:t>
            </w:r>
            <w:r w:rsidR="00152A84">
              <w:t xml:space="preserve"> </w:t>
            </w:r>
            <w:r w:rsidR="00DE6976">
              <w:t xml:space="preserve">kg worker. </w:t>
            </w:r>
            <w:r w:rsidR="00C02587">
              <w:t>Absorbed dose at the TLV-TWA is approximately 0.7 mg/kg/d and therefore expected to be protective.</w:t>
            </w:r>
          </w:p>
          <w:p w14:paraId="778CAA5D" w14:textId="6F9A3B77" w:rsidR="00625272" w:rsidRDefault="00DE6976" w:rsidP="003365A5">
            <w:pPr>
              <w:pStyle w:val="Tabletextprimarysource"/>
            </w:pPr>
            <w:r>
              <w:t>Human data:</w:t>
            </w:r>
          </w:p>
          <w:p w14:paraId="7F7A9049" w14:textId="09180D91" w:rsidR="00DE6976" w:rsidRDefault="00656B11" w:rsidP="00E0138B">
            <w:pPr>
              <w:pStyle w:val="Tabletextprimarysource"/>
              <w:numPr>
                <w:ilvl w:val="0"/>
                <w:numId w:val="2"/>
              </w:numPr>
              <w:ind w:left="717"/>
            </w:pPr>
            <w:r>
              <w:t>Irritation with erythema and oedema when applied to skin (no further details provided)</w:t>
            </w:r>
          </w:p>
          <w:p w14:paraId="7ACD1CE2" w14:textId="5392D436" w:rsidR="00656B11" w:rsidRDefault="00274C7C" w:rsidP="00E0138B">
            <w:pPr>
              <w:pStyle w:val="Tabletextprimarysource"/>
              <w:numPr>
                <w:ilvl w:val="0"/>
                <w:numId w:val="2"/>
              </w:numPr>
              <w:ind w:left="717"/>
            </w:pPr>
            <w:r>
              <w:t>Average dermal flux</w:t>
            </w:r>
            <w:r w:rsidR="009C4165">
              <w:t xml:space="preserve"> of </w:t>
            </w:r>
            <w:r>
              <w:t>0.1 µg/cm</w:t>
            </w:r>
            <w:r>
              <w:rPr>
                <w:vertAlign w:val="superscript"/>
              </w:rPr>
              <w:t>2</w:t>
            </w:r>
            <w:r>
              <w:t xml:space="preserve">/min in </w:t>
            </w:r>
            <w:r w:rsidR="009C4165">
              <w:t xml:space="preserve">3 </w:t>
            </w:r>
            <w:r>
              <w:t>volunteer</w:t>
            </w:r>
            <w:r w:rsidR="009C4165">
              <w:t>s,</w:t>
            </w:r>
            <w:r>
              <w:t xml:space="preserve"> </w:t>
            </w:r>
            <w:r w:rsidR="009C4165">
              <w:t xml:space="preserve">flux of </w:t>
            </w:r>
            <w:r>
              <w:t>2.6–3.3 µg/cm</w:t>
            </w:r>
            <w:r>
              <w:rPr>
                <w:vertAlign w:val="superscript"/>
              </w:rPr>
              <w:t>2</w:t>
            </w:r>
            <w:r>
              <w:t>/min when calculated from physicochemical properties</w:t>
            </w:r>
          </w:p>
          <w:p w14:paraId="45C4EE76" w14:textId="18F2A485" w:rsidR="00274C7C" w:rsidRDefault="00274C7C" w:rsidP="00E0138B">
            <w:pPr>
              <w:pStyle w:val="Tabletextprimarysource"/>
              <w:numPr>
                <w:ilvl w:val="0"/>
                <w:numId w:val="2"/>
              </w:numPr>
              <w:ind w:left="717"/>
            </w:pPr>
            <w:r>
              <w:t>Non-sensitising in patch test with 15 applications of 25% solution (n=53)</w:t>
            </w:r>
          </w:p>
          <w:p w14:paraId="2F9E34F8" w14:textId="6D28C9D7" w:rsidR="00274C7C" w:rsidRDefault="00274C7C" w:rsidP="00E0138B">
            <w:pPr>
              <w:pStyle w:val="Tabletextprimarysource"/>
              <w:numPr>
                <w:ilvl w:val="0"/>
                <w:numId w:val="2"/>
              </w:numPr>
              <w:ind w:left="717"/>
            </w:pPr>
            <w:r>
              <w:t>Positive patch test in 1 patient with furniture-related dermatitis (n=42)</w:t>
            </w:r>
            <w:r w:rsidR="00753828">
              <w:t>.</w:t>
            </w:r>
          </w:p>
          <w:p w14:paraId="6A70B415" w14:textId="057CE8C9" w:rsidR="00625272" w:rsidRDefault="00DE6976" w:rsidP="003365A5">
            <w:pPr>
              <w:pStyle w:val="Tabletextprimarysource"/>
            </w:pPr>
            <w:r>
              <w:t>Animal data:</w:t>
            </w:r>
          </w:p>
          <w:p w14:paraId="25C209B6" w14:textId="06DEDE64" w:rsidR="00DE6976" w:rsidRDefault="00656B11" w:rsidP="00E0138B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Dermal LD</w:t>
            </w:r>
            <w:r>
              <w:rPr>
                <w:vertAlign w:val="subscript"/>
              </w:rPr>
              <w:t>50</w:t>
            </w:r>
            <w:r w:rsidR="000648E9">
              <w:t xml:space="preserve"> of </w:t>
            </w:r>
            <w:r>
              <w:t>&gt;3,100 mg/kg (rabbits); 9,700–19,400 mg/kg (guinea pigs)</w:t>
            </w:r>
          </w:p>
          <w:p w14:paraId="31A3FDF1" w14:textId="22BD1E80" w:rsidR="00656B11" w:rsidRDefault="00656B11" w:rsidP="00E0138B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LC</w:t>
            </w:r>
            <w:r>
              <w:rPr>
                <w:vertAlign w:val="subscript"/>
              </w:rPr>
              <w:t>50</w:t>
            </w:r>
            <w:r w:rsidR="000648E9">
              <w:t xml:space="preserve"> of </w:t>
            </w:r>
            <w:r>
              <w:t>&gt;4,200 mg/m</w:t>
            </w:r>
            <w:r>
              <w:rPr>
                <w:vertAlign w:val="superscript"/>
              </w:rPr>
              <w:t>3</w:t>
            </w:r>
            <w:r>
              <w:t xml:space="preserve"> (rats, 4 h); highly variable, skin and respiratory irritation observed</w:t>
            </w:r>
          </w:p>
          <w:p w14:paraId="455EDF3E" w14:textId="3B2AD31A" w:rsidR="00625272" w:rsidRDefault="001D352A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NOAEL: </w:t>
            </w:r>
            <w:r w:rsidRPr="000B2A38">
              <w:t>90</w:t>
            </w:r>
            <w:r w:rsidR="00D6704B" w:rsidRPr="008E3FF4">
              <w:t xml:space="preserve"> </w:t>
            </w:r>
            <w:r w:rsidR="00D6704B" w:rsidRPr="00E65C95">
              <w:t>mg/kg/</w:t>
            </w:r>
            <w:r w:rsidR="00D6704B" w:rsidRPr="003033D4">
              <w:t>d</w:t>
            </w:r>
            <w:r w:rsidRPr="001327B4">
              <w:t xml:space="preserve"> </w:t>
            </w:r>
            <w:r w:rsidR="00347079" w:rsidRPr="00147047">
              <w:t xml:space="preserve">(males) </w:t>
            </w:r>
            <w:r w:rsidRPr="000B2A38">
              <w:t>and 120 mg/kg/</w:t>
            </w:r>
            <w:r w:rsidR="00347079" w:rsidRPr="000B2A38">
              <w:t>d (females)</w:t>
            </w:r>
            <w:r w:rsidR="00347079">
              <w:t xml:space="preserve"> </w:t>
            </w:r>
            <w:r>
              <w:t>for increased liver weight and hepatocellular hypertrophy</w:t>
            </w:r>
            <w:r w:rsidR="00BC4EF2">
              <w:t xml:space="preserve"> </w:t>
            </w:r>
            <w:r w:rsidR="004537C9">
              <w:t>and bladder epithelial hyperplasia</w:t>
            </w:r>
            <w:r>
              <w:t xml:space="preserve"> in sub</w:t>
            </w:r>
            <w:r w:rsidR="00CD5DBB">
              <w:t>-</w:t>
            </w:r>
            <w:r>
              <w:t>chronic feeding study</w:t>
            </w:r>
            <w:r w:rsidR="00347079">
              <w:t xml:space="preserve"> (</w:t>
            </w:r>
            <w:r w:rsidR="00C02587">
              <w:t>mice</w:t>
            </w:r>
            <w:r w:rsidR="00347079">
              <w:t>, 90 d)</w:t>
            </w:r>
            <w:r w:rsidR="00CD5DBB">
              <w:t>:</w:t>
            </w:r>
          </w:p>
          <w:p w14:paraId="5D6E88EE" w14:textId="3FF9181D" w:rsidR="00656B11" w:rsidRDefault="00347079" w:rsidP="00E0138B">
            <w:pPr>
              <w:pStyle w:val="Tabletextprimarysource"/>
              <w:numPr>
                <w:ilvl w:val="0"/>
                <w:numId w:val="4"/>
              </w:numPr>
            </w:pPr>
            <w:r>
              <w:t>LOAEL</w:t>
            </w:r>
            <w:r w:rsidR="000648E9">
              <w:t xml:space="preserve"> of </w:t>
            </w:r>
            <w:r>
              <w:t xml:space="preserve">360 </w:t>
            </w:r>
            <w:r w:rsidR="004537C9">
              <w:t xml:space="preserve">(males) </w:t>
            </w:r>
            <w:r>
              <w:t>and 480 mg/kg/d</w:t>
            </w:r>
            <w:r w:rsidR="004537C9">
              <w:t xml:space="preserve"> (females)</w:t>
            </w:r>
          </w:p>
          <w:p w14:paraId="6A6D651D" w14:textId="250E9304" w:rsidR="00625272" w:rsidRDefault="00347079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NOAEL</w:t>
            </w:r>
            <w:r w:rsidR="000648E9">
              <w:t xml:space="preserve"> of </w:t>
            </w:r>
            <w:r>
              <w:t>12 mg/kg/d for reversible hyperplasia of bladder epithelium in sub</w:t>
            </w:r>
            <w:r w:rsidR="00CD5DBB">
              <w:t>-</w:t>
            </w:r>
            <w:r>
              <w:t xml:space="preserve">chronic feeding study (rats, 10 </w:t>
            </w:r>
            <w:proofErr w:type="spellStart"/>
            <w:r>
              <w:t>wk</w:t>
            </w:r>
            <w:proofErr w:type="spellEnd"/>
            <w:r>
              <w:t>)</w:t>
            </w:r>
            <w:r w:rsidR="00CD5DBB">
              <w:t>:</w:t>
            </w:r>
          </w:p>
          <w:p w14:paraId="24C44FF1" w14:textId="35BA7CC7" w:rsidR="00347079" w:rsidRDefault="00347079" w:rsidP="00E0138B">
            <w:pPr>
              <w:pStyle w:val="Tabletextprimarysource"/>
              <w:numPr>
                <w:ilvl w:val="0"/>
                <w:numId w:val="4"/>
              </w:numPr>
            </w:pPr>
            <w:r>
              <w:t>LOAEL</w:t>
            </w:r>
            <w:r w:rsidR="000648E9">
              <w:t xml:space="preserve"> of </w:t>
            </w:r>
            <w:r>
              <w:t xml:space="preserve">42 mg/kg/d, </w:t>
            </w:r>
            <w:r w:rsidR="00625272">
              <w:t xml:space="preserve">AHCGIH </w:t>
            </w:r>
            <w:r>
              <w:t xml:space="preserve">considers reversible nature of effects </w:t>
            </w:r>
            <w:r w:rsidR="009C751F">
              <w:t xml:space="preserve">as </w:t>
            </w:r>
            <w:r>
              <w:t>evidence for non-genotoxic mechanism of carcinogenicity</w:t>
            </w:r>
          </w:p>
          <w:p w14:paraId="5CA38A74" w14:textId="2DE4C81E" w:rsidR="00625272" w:rsidRDefault="00760A16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NOAEL</w:t>
            </w:r>
            <w:r w:rsidR="000648E9">
              <w:t xml:space="preserve"> of </w:t>
            </w:r>
            <w:r>
              <w:t>24</w:t>
            </w:r>
            <w:r w:rsidR="00D6704B">
              <w:t xml:space="preserve"> mg/kg/d</w:t>
            </w:r>
            <w:r>
              <w:t xml:space="preserve"> (</w:t>
            </w:r>
            <w:r w:rsidR="00E34477">
              <w:t>fe</w:t>
            </w:r>
            <w:r>
              <w:t xml:space="preserve">males) and 29 mg/kg/d (males) for </w:t>
            </w:r>
            <w:r w:rsidR="00E34477">
              <w:t>increased incidence of hepatocellular adenomas in chronic feeding study (mice, 18 mo)</w:t>
            </w:r>
            <w:r w:rsidR="00CD5DBB">
              <w:t>:</w:t>
            </w:r>
          </w:p>
          <w:p w14:paraId="3CE29F2F" w14:textId="2CEFE387" w:rsidR="00383EB6" w:rsidRDefault="00E34477" w:rsidP="00E0138B">
            <w:pPr>
              <w:pStyle w:val="Tabletextprimarysource"/>
              <w:numPr>
                <w:ilvl w:val="0"/>
                <w:numId w:val="4"/>
              </w:numPr>
            </w:pPr>
            <w:r>
              <w:t>LOAEL</w:t>
            </w:r>
            <w:r w:rsidR="000648E9">
              <w:t xml:space="preserve"> of </w:t>
            </w:r>
            <w:r>
              <w:t>169</w:t>
            </w:r>
            <w:r w:rsidR="000B2A38">
              <w:t xml:space="preserve"> mg/kg/d</w:t>
            </w:r>
            <w:r>
              <w:t xml:space="preserve"> (females)</w:t>
            </w:r>
            <w:r w:rsidR="00002E30">
              <w:t xml:space="preserve"> and</w:t>
            </w:r>
            <w:r>
              <w:t xml:space="preserve"> 206 mg/kg/d (males), no neoplastic or pre-neoplastic lesions observed in bladder</w:t>
            </w:r>
          </w:p>
          <w:p w14:paraId="03E7D2E4" w14:textId="3CDDF93F" w:rsidR="00625272" w:rsidRDefault="001C20EF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NOAEL</w:t>
            </w:r>
            <w:r w:rsidR="000648E9">
              <w:t xml:space="preserve"> of </w:t>
            </w:r>
            <w:r>
              <w:t>9 (</w:t>
            </w:r>
            <w:r w:rsidR="00002E30">
              <w:t>males) and 12 mg/kg/d (females) for epithelial hyperplasia in bladder in chronic feeding study (rats, 2 yr)</w:t>
            </w:r>
            <w:r w:rsidR="00CD5DBB">
              <w:t>:</w:t>
            </w:r>
          </w:p>
          <w:p w14:paraId="399F3889" w14:textId="1F3ACD5A" w:rsidR="00152A84" w:rsidRDefault="00002E30" w:rsidP="00152A84">
            <w:pPr>
              <w:pStyle w:val="Tabletextprimarysource"/>
              <w:numPr>
                <w:ilvl w:val="0"/>
                <w:numId w:val="4"/>
              </w:numPr>
            </w:pPr>
            <w:r>
              <w:t>LOAEL</w:t>
            </w:r>
            <w:r w:rsidR="000648E9">
              <w:t xml:space="preserve"> of </w:t>
            </w:r>
            <w:r>
              <w:t xml:space="preserve">33 </w:t>
            </w:r>
            <w:r w:rsidR="000B2A38">
              <w:t xml:space="preserve">mg/kg/d </w:t>
            </w:r>
            <w:r>
              <w:t xml:space="preserve">(males) and 42 mg/kg/d (females), significant increase of bladder papillomas at 143 </w:t>
            </w:r>
            <w:r w:rsidR="000B2A38">
              <w:t xml:space="preserve">mg/kg/d </w:t>
            </w:r>
            <w:r>
              <w:t>(males) and 182 mg/kg/d (females)</w:t>
            </w:r>
            <w:r w:rsidR="008B651B">
              <w:t xml:space="preserve"> </w:t>
            </w:r>
          </w:p>
          <w:p w14:paraId="70AAA3AE" w14:textId="2D222C19" w:rsidR="00E34477" w:rsidRDefault="008B651B" w:rsidP="00E0138B">
            <w:pPr>
              <w:pStyle w:val="Tabletextprimarysource"/>
              <w:numPr>
                <w:ilvl w:val="0"/>
                <w:numId w:val="4"/>
              </w:numPr>
            </w:pPr>
            <w:r>
              <w:lastRenderedPageBreak/>
              <w:t xml:space="preserve">significant increase in transitional cell carcinomas also observed in males at </w:t>
            </w:r>
            <w:r w:rsidR="00152A84">
              <w:t>143 </w:t>
            </w:r>
            <w:r>
              <w:t>mg/kg/d</w:t>
            </w:r>
          </w:p>
          <w:p w14:paraId="4C0E611B" w14:textId="26B6CF61" w:rsidR="00625272" w:rsidRDefault="000B2A38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Based </w:t>
            </w:r>
            <w:r w:rsidR="00002E30">
              <w:t>on results of sub</w:t>
            </w:r>
            <w:r w:rsidR="000A7FAE">
              <w:t>-</w:t>
            </w:r>
            <w:r w:rsidR="00002E30">
              <w:t xml:space="preserve">chronic and chronic feeding studies with mice and rats, </w:t>
            </w:r>
            <w:r>
              <w:t xml:space="preserve">agency concludes that </w:t>
            </w:r>
            <w:r w:rsidR="00002E30">
              <w:t>carcinogenic mechanism of action is related to chronic irritation/inflammation of bladder epithelium caused by formation of calculi</w:t>
            </w:r>
            <w:r w:rsidR="00CD5DBB">
              <w:t>:</w:t>
            </w:r>
          </w:p>
          <w:p w14:paraId="52CB4EA0" w14:textId="67E44835" w:rsidR="00002E30" w:rsidRDefault="00002E30" w:rsidP="00E0138B">
            <w:pPr>
              <w:pStyle w:val="Tabletextprimarysource"/>
              <w:numPr>
                <w:ilvl w:val="0"/>
                <w:numId w:val="5"/>
              </w:numPr>
            </w:pPr>
            <w:r>
              <w:t>effect considered high-dose phenomenon only</w:t>
            </w:r>
          </w:p>
          <w:p w14:paraId="6CBC10CE" w14:textId="4CDA8AF2" w:rsidR="00152A84" w:rsidRDefault="00002E30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No evidence for mutagenicity in several </w:t>
            </w:r>
            <w:r>
              <w:rPr>
                <w:i/>
              </w:rPr>
              <w:t>in vitro</w:t>
            </w:r>
            <w:r>
              <w:t xml:space="preserve"> with bacteria and mammalian cells</w:t>
            </w:r>
            <w:r w:rsidR="00CD5DBB">
              <w:t>:</w:t>
            </w:r>
            <w:r>
              <w:t xml:space="preserve"> </w:t>
            </w:r>
          </w:p>
          <w:p w14:paraId="24E40C8A" w14:textId="28356DC1" w:rsidR="00152A84" w:rsidRDefault="00002E30" w:rsidP="00152A84">
            <w:pPr>
              <w:pStyle w:val="Tabletextprimarysource"/>
              <w:numPr>
                <w:ilvl w:val="0"/>
                <w:numId w:val="5"/>
              </w:numPr>
            </w:pPr>
            <w:r>
              <w:t xml:space="preserve">no evidence for increased micronuclei </w:t>
            </w:r>
            <w:r>
              <w:rPr>
                <w:i/>
              </w:rPr>
              <w:t>in vivo</w:t>
            </w:r>
            <w:r>
              <w:t xml:space="preserve"> with rats at up to 1,200 mg/kg</w:t>
            </w:r>
            <w:r w:rsidR="003B4172">
              <w:t xml:space="preserve"> </w:t>
            </w:r>
          </w:p>
          <w:p w14:paraId="65F040E8" w14:textId="1D356803" w:rsidR="003B4172" w:rsidRDefault="003B4172" w:rsidP="00E0138B">
            <w:pPr>
              <w:pStyle w:val="Tabletextprimarysource"/>
              <w:numPr>
                <w:ilvl w:val="0"/>
                <w:numId w:val="5"/>
              </w:numPr>
            </w:pPr>
            <w:r>
              <w:t xml:space="preserve">no increase in sex-linked recessive lethal mutations in </w:t>
            </w:r>
            <w:r>
              <w:rPr>
                <w:i/>
              </w:rPr>
              <w:t>Drosophila melanogaster</w:t>
            </w:r>
          </w:p>
          <w:p w14:paraId="0355E3E1" w14:textId="50D41E70" w:rsidR="003B4172" w:rsidRDefault="003B4172" w:rsidP="00E0138B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Agency concludes that substance is non-mutagenic </w:t>
            </w:r>
            <w:r>
              <w:rPr>
                <w:i/>
              </w:rPr>
              <w:t>in vitro</w:t>
            </w:r>
            <w:r>
              <w:t xml:space="preserve"> and </w:t>
            </w:r>
            <w:r>
              <w:rPr>
                <w:i/>
              </w:rPr>
              <w:t>in vivo</w:t>
            </w:r>
            <w:r w:rsidR="00753828">
              <w:rPr>
                <w:i/>
              </w:rPr>
              <w:t>.</w:t>
            </w:r>
          </w:p>
          <w:p w14:paraId="35205DFD" w14:textId="77777777" w:rsidR="00152A84" w:rsidRDefault="00152A84" w:rsidP="003365A5">
            <w:pPr>
              <w:pStyle w:val="Tabletextprimarysource"/>
            </w:pPr>
          </w:p>
          <w:p w14:paraId="0156EDAE" w14:textId="1302906E" w:rsidR="00DE6976" w:rsidRDefault="00DE6976" w:rsidP="003365A5">
            <w:pPr>
              <w:pStyle w:val="Tabletextprimarysource"/>
            </w:pPr>
            <w:r>
              <w:t>Insufficient data to recommend a TLV-STEL or notations for skin absorption or sensitisation.</w:t>
            </w:r>
          </w:p>
          <w:p w14:paraId="3892BFFF" w14:textId="35C27D8A" w:rsidR="00152A84" w:rsidRPr="00DE6976" w:rsidRDefault="00152A84" w:rsidP="003365A5">
            <w:pPr>
              <w:pStyle w:val="Tabletextprimarysource"/>
            </w:pPr>
          </w:p>
        </w:tc>
      </w:tr>
      <w:tr w:rsidR="00C978F0" w:rsidRPr="00DA352E" w14:paraId="59AC8E61" w14:textId="77777777" w:rsidTr="008264A3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4D3BAA7" w14:textId="342A0CB0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624FD5">
                  <w:t>2000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6B1F1F">
                  <w:t>MAK: 1 ppm (11 mg/m</w:t>
                </w:r>
                <w:r w:rsidR="006B1F1F" w:rsidRPr="006B1F1F">
                  <w:rPr>
                    <w:vertAlign w:val="superscript"/>
                  </w:rPr>
                  <w:t>3</w:t>
                </w:r>
                <w:r w:rsidR="006B1F1F">
                  <w:t>)</w:t>
                </w:r>
              </w:sdtContent>
            </w:sdt>
          </w:p>
        </w:tc>
      </w:tr>
      <w:tr w:rsidR="00C978F0" w:rsidRPr="00DA352E" w14:paraId="46144E45" w14:textId="77777777" w:rsidTr="008264A3">
        <w:trPr>
          <w:gridAfter w:val="1"/>
          <w:wAfter w:w="8" w:type="pct"/>
          <w:cantSplit/>
        </w:trPr>
        <w:tc>
          <w:tcPr>
            <w:tcW w:w="4992" w:type="pct"/>
          </w:tcPr>
          <w:p w14:paraId="3D311037" w14:textId="4C77DB4A" w:rsidR="00626AB2" w:rsidRDefault="00626AB2" w:rsidP="003365A5">
            <w:pPr>
              <w:pStyle w:val="Tabletextprimarysource"/>
            </w:pPr>
            <w:r>
              <w:t>Summary of additional information.</w:t>
            </w:r>
          </w:p>
          <w:p w14:paraId="45AC6231" w14:textId="24E4510F" w:rsidR="00152A84" w:rsidRDefault="003F0761" w:rsidP="00626AB2">
            <w:pPr>
              <w:pStyle w:val="Tabletextprimarysource"/>
            </w:pPr>
            <w:r>
              <w:t>I</w:t>
            </w:r>
            <w:r w:rsidR="00770A32">
              <w:t>n</w:t>
            </w:r>
            <w:r>
              <w:t xml:space="preserve"> the absence of quantitative human exposure data, MAK based on </w:t>
            </w:r>
            <w:r w:rsidR="00770A32">
              <w:t>NOAEL of 9 and 24 mg/kg/d for epithelial hyperplasia of bladder in rats and hepatocellular adenomas in mice, respectively</w:t>
            </w:r>
            <w:r w:rsidR="00155956">
              <w:t xml:space="preserve"> (also cited by ACGIH, 2018)</w:t>
            </w:r>
            <w:r w:rsidR="00770A32">
              <w:t>.</w:t>
            </w:r>
            <w:r w:rsidR="00155956">
              <w:t xml:space="preserve"> Allometric scaling factors of 4 (rats) and 7 (mice) are applied separately to </w:t>
            </w:r>
            <w:r w:rsidR="00626AB2">
              <w:t xml:space="preserve">inhalational equivalents </w:t>
            </w:r>
            <w:r w:rsidR="00155956">
              <w:t>and a</w:t>
            </w:r>
            <w:r w:rsidR="0088693D">
              <w:t xml:space="preserve"> </w:t>
            </w:r>
            <w:r w:rsidR="00155956">
              <w:t xml:space="preserve">factor of 7/5 is applied </w:t>
            </w:r>
            <w:r w:rsidR="0088693D">
              <w:t xml:space="preserve">to account for continuous exposure to </w:t>
            </w:r>
            <w:r w:rsidR="00C754BD">
              <w:t xml:space="preserve">calculate </w:t>
            </w:r>
            <w:r w:rsidR="0088693D">
              <w:t xml:space="preserve">NOAEC </w:t>
            </w:r>
            <w:r w:rsidR="00C754BD">
              <w:t>of 22 and 34 mg/m</w:t>
            </w:r>
            <w:r w:rsidR="00C754BD">
              <w:rPr>
                <w:vertAlign w:val="superscript"/>
              </w:rPr>
              <w:t xml:space="preserve">3 </w:t>
            </w:r>
            <w:r w:rsidR="0088693D">
              <w:t xml:space="preserve">in humans. The lowest of these is halved to account for increased exertion in the workplace to </w:t>
            </w:r>
            <w:r w:rsidR="00741579">
              <w:t>derive a</w:t>
            </w:r>
            <w:r w:rsidR="0088693D">
              <w:t xml:space="preserve"> MAK of 11 mg/m</w:t>
            </w:r>
            <w:r w:rsidR="0088693D">
              <w:rPr>
                <w:vertAlign w:val="superscript"/>
              </w:rPr>
              <w:t>3</w:t>
            </w:r>
            <w:r w:rsidR="0088693D">
              <w:t>.</w:t>
            </w:r>
            <w:r w:rsidR="00626AB2">
              <w:t xml:space="preserve"> </w:t>
            </w:r>
          </w:p>
          <w:p w14:paraId="76448D3D" w14:textId="49437250" w:rsidR="00C978F0" w:rsidRDefault="00626AB2" w:rsidP="00626AB2">
            <w:pPr>
              <w:pStyle w:val="Tabletextprimarysource"/>
            </w:pPr>
            <w:r>
              <w:t>MAK expected to be protective of local irritation by analogy to MAK of other strong organic acids, e.g. formic acid and acetic acid.</w:t>
            </w:r>
          </w:p>
          <w:p w14:paraId="7C53AF3B" w14:textId="77777777" w:rsidR="00626AB2" w:rsidRDefault="00626AB2" w:rsidP="003365A5">
            <w:pPr>
              <w:pStyle w:val="Tabletextprimarysource"/>
            </w:pPr>
            <w:r>
              <w:t>M</w:t>
            </w:r>
            <w:r w:rsidR="0088693D">
              <w:t>echanism of carcinogenicity</w:t>
            </w:r>
            <w:r>
              <w:t xml:space="preserve"> not considered to be genotoxic based on liver cell hypertrophy and eosinophilic responses in chronic feeding studies, which suggest chronic inflammation/irritation is source of carcinogenicity (category 4).</w:t>
            </w:r>
          </w:p>
          <w:p w14:paraId="03F54901" w14:textId="333B101F" w:rsidR="0088693D" w:rsidRDefault="00626AB2" w:rsidP="003365A5">
            <w:pPr>
              <w:pStyle w:val="Tabletextprimarysource"/>
            </w:pPr>
            <w:r>
              <w:t>Skin notation recommended due to evidence for systemic availability following dermal absorption</w:t>
            </w:r>
            <w:r w:rsidR="004744CD">
              <w:t>; low acute dermal toxicity noted.</w:t>
            </w:r>
          </w:p>
          <w:p w14:paraId="0F9F604F" w14:textId="7BE63F5D" w:rsidR="00C66A1A" w:rsidRDefault="00C66A1A" w:rsidP="003365A5">
            <w:pPr>
              <w:pStyle w:val="Tabletextprimarysource"/>
            </w:pPr>
            <w:r>
              <w:t>Sensitiser notation not recommended based on negative results in limited human and animal studies.</w:t>
            </w:r>
          </w:p>
          <w:p w14:paraId="361511A9" w14:textId="2B76E4E7" w:rsidR="00625272" w:rsidRDefault="004744CD" w:rsidP="003365A5">
            <w:pPr>
              <w:pStyle w:val="Tabletextprimarysource"/>
            </w:pPr>
            <w:r>
              <w:t>Human data</w:t>
            </w:r>
            <w:r w:rsidR="001D6049">
              <w:t>:</w:t>
            </w:r>
          </w:p>
          <w:p w14:paraId="7940E9AF" w14:textId="7DDCB445" w:rsidR="004744CD" w:rsidRDefault="004744CD" w:rsidP="00E0138B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Weak </w:t>
            </w:r>
            <w:r w:rsidR="00152A84">
              <w:t xml:space="preserve">ChE </w:t>
            </w:r>
            <w:r>
              <w:t xml:space="preserve">inhibition (5–7%) </w:t>
            </w:r>
            <w:r>
              <w:rPr>
                <w:i/>
              </w:rPr>
              <w:t>in vitro</w:t>
            </w:r>
            <w:r>
              <w:t xml:space="preserve"> in human </w:t>
            </w:r>
            <w:r w:rsidR="003B2BDA">
              <w:t>RBC</w:t>
            </w:r>
            <w:r>
              <w:t xml:space="preserve"> (no further details)</w:t>
            </w:r>
          </w:p>
          <w:p w14:paraId="1FF5479A" w14:textId="582A631A" w:rsidR="005C21C7" w:rsidRDefault="005C21C7" w:rsidP="00E0138B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Nausea and headaches in workers exposed at 15 mg/m</w:t>
            </w:r>
            <w:r>
              <w:rPr>
                <w:vertAlign w:val="superscript"/>
              </w:rPr>
              <w:t>3</w:t>
            </w:r>
            <w:r>
              <w:t xml:space="preserve"> (documented </w:t>
            </w:r>
            <w:r w:rsidR="00DC6F35">
              <w:t xml:space="preserve">only </w:t>
            </w:r>
            <w:r>
              <w:t>as personal communication</w:t>
            </w:r>
            <w:r w:rsidR="00DC6F35">
              <w:t xml:space="preserve"> without further data</w:t>
            </w:r>
            <w:r>
              <w:t>, agency considers this information of limited utility)</w:t>
            </w:r>
            <w:r w:rsidR="00753828">
              <w:t>.</w:t>
            </w:r>
          </w:p>
          <w:p w14:paraId="61534015" w14:textId="0B3840BF" w:rsidR="00625272" w:rsidRDefault="004744CD" w:rsidP="004744CD">
            <w:pPr>
              <w:pStyle w:val="Tabletextprimarysource"/>
            </w:pPr>
            <w:r>
              <w:t>Animal data</w:t>
            </w:r>
            <w:r w:rsidR="001D6049">
              <w:t>:</w:t>
            </w:r>
          </w:p>
          <w:p w14:paraId="22ED4153" w14:textId="32457445" w:rsidR="00625272" w:rsidRDefault="00867879">
            <w:pPr>
              <w:pStyle w:val="Tabletextprimarysource"/>
              <w:numPr>
                <w:ilvl w:val="0"/>
                <w:numId w:val="1"/>
              </w:numPr>
              <w:ind w:left="717"/>
            </w:pPr>
            <w:r w:rsidRPr="00867879">
              <w:t>LC</w:t>
            </w:r>
            <w:r w:rsidRPr="00867879">
              <w:rPr>
                <w:vertAlign w:val="subscript"/>
              </w:rPr>
              <w:t>50</w:t>
            </w:r>
            <w:r w:rsidR="000648E9">
              <w:t xml:space="preserve"> of </w:t>
            </w:r>
            <w:r w:rsidR="00872C1D">
              <w:t>380 ppm (rats, 4 h)</w:t>
            </w:r>
            <w:r w:rsidR="001D6049">
              <w:t>:</w:t>
            </w:r>
          </w:p>
          <w:p w14:paraId="77138E24" w14:textId="77777777" w:rsidR="00152A84" w:rsidRDefault="00872C1D" w:rsidP="00152A84">
            <w:pPr>
              <w:pStyle w:val="Tabletextprimarysource"/>
              <w:numPr>
                <w:ilvl w:val="0"/>
                <w:numId w:val="6"/>
              </w:numPr>
            </w:pPr>
            <w:r>
              <w:t xml:space="preserve">reduced motility, red tears, laboured breathing at 73 ppm, </w:t>
            </w:r>
          </w:p>
          <w:p w14:paraId="2C5F3F31" w14:textId="03F44348" w:rsidR="00867879" w:rsidRDefault="00872C1D" w:rsidP="00E0138B">
            <w:pPr>
              <w:pStyle w:val="Tabletextprimarysource"/>
              <w:numPr>
                <w:ilvl w:val="0"/>
                <w:numId w:val="6"/>
              </w:numPr>
            </w:pPr>
            <w:r>
              <w:t>loss of myotactic reflexes at</w:t>
            </w:r>
            <w:r w:rsidR="00867879" w:rsidRPr="00867879">
              <w:t xml:space="preserve"> 194 </w:t>
            </w:r>
            <w:r>
              <w:t>ppm</w:t>
            </w:r>
            <w:r w:rsidR="00867879" w:rsidRPr="00867879">
              <w:t> </w:t>
            </w:r>
          </w:p>
          <w:p w14:paraId="5EF9FAF2" w14:textId="2D8A3896" w:rsidR="00625272" w:rsidRDefault="005C21C7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Irritative effects on respiratory tract at 350 and 3,800 ppm (rats, 6 h)</w:t>
            </w:r>
            <w:r w:rsidR="001D6049">
              <w:t>:</w:t>
            </w:r>
          </w:p>
          <w:p w14:paraId="2325FCD3" w14:textId="1DC2BA6F" w:rsidR="00872C1D" w:rsidRDefault="005C21C7" w:rsidP="00E0138B">
            <w:pPr>
              <w:pStyle w:val="Tabletextprimarysource"/>
              <w:numPr>
                <w:ilvl w:val="0"/>
                <w:numId w:val="7"/>
              </w:numPr>
            </w:pPr>
            <w:r>
              <w:t>no effect at 18.6 ppm</w:t>
            </w:r>
          </w:p>
          <w:p w14:paraId="39FC8506" w14:textId="4CC5E185" w:rsidR="004744CD" w:rsidRDefault="004744CD" w:rsidP="00E0138B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No effect on brain or plasma </w:t>
            </w:r>
            <w:r w:rsidR="00152A84">
              <w:t xml:space="preserve">ChE </w:t>
            </w:r>
            <w:r>
              <w:t>activity</w:t>
            </w:r>
          </w:p>
          <w:p w14:paraId="205DECC6" w14:textId="10B6C242" w:rsidR="00C66A1A" w:rsidRDefault="004744CD" w:rsidP="00E0138B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No evidence for neurotoxic effects at 100, 325, or 1,000 mg/kg in single dose gavage study (rats)</w:t>
            </w:r>
          </w:p>
          <w:p w14:paraId="4E4709A9" w14:textId="2A964BA9" w:rsidR="00C66A1A" w:rsidRDefault="00C66A1A" w:rsidP="00E0138B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Negative dermal sensitisation </w:t>
            </w:r>
            <w:r w:rsidR="00867879">
              <w:t>with 10% solution in mineral oil (guinea pigs, n=20)</w:t>
            </w:r>
          </w:p>
          <w:p w14:paraId="2A48EE1D" w14:textId="77777777" w:rsidR="004744CD" w:rsidRDefault="004744CD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Positive dermal sensitisation in </w:t>
            </w:r>
            <w:r w:rsidR="00C66A1A">
              <w:t>standardised test (not specified) in 6 of 14 guinea pigs (no further details)</w:t>
            </w:r>
            <w:r w:rsidR="00753828">
              <w:t>.</w:t>
            </w:r>
          </w:p>
          <w:p w14:paraId="4BDF06CA" w14:textId="635AB7C5" w:rsidR="00152A84" w:rsidRPr="0088693D" w:rsidRDefault="00152A84" w:rsidP="00E0138B">
            <w:pPr>
              <w:pStyle w:val="Tabletextprimarysource"/>
            </w:pPr>
          </w:p>
        </w:tc>
      </w:tr>
      <w:tr w:rsidR="00C978F0" w:rsidRPr="00DA352E" w14:paraId="1B290E19" w14:textId="77777777" w:rsidTr="008264A3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40B9392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792AA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792AA3">
                  <w:t>NA</w:t>
                </w:r>
              </w:sdtContent>
            </w:sdt>
          </w:p>
        </w:tc>
      </w:tr>
      <w:tr w:rsidR="00C978F0" w:rsidRPr="00DA352E" w14:paraId="7A651065" w14:textId="77777777" w:rsidTr="008264A3">
        <w:trPr>
          <w:gridAfter w:val="1"/>
          <w:wAfter w:w="8" w:type="pct"/>
          <w:cantSplit/>
        </w:trPr>
        <w:tc>
          <w:tcPr>
            <w:tcW w:w="4992" w:type="pct"/>
          </w:tcPr>
          <w:p w14:paraId="110EA88E" w14:textId="501E4E95" w:rsidR="00C978F0" w:rsidRPr="00DA352E" w:rsidRDefault="00792AA3" w:rsidP="003365A5">
            <w:pPr>
              <w:pStyle w:val="Tabletextprimarysource"/>
            </w:pPr>
            <w:r>
              <w:t>No report</w:t>
            </w:r>
            <w:r w:rsidR="00753828">
              <w:t>.</w:t>
            </w:r>
          </w:p>
        </w:tc>
      </w:tr>
      <w:tr w:rsidR="00DA352E" w:rsidRPr="00DA352E" w14:paraId="484C64F9" w14:textId="77777777" w:rsidTr="008264A3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232F778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92AA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792AA3">
                  <w:t>NA</w:t>
                </w:r>
              </w:sdtContent>
            </w:sdt>
          </w:p>
        </w:tc>
      </w:tr>
      <w:tr w:rsidR="00DA352E" w:rsidRPr="00DA352E" w14:paraId="36DCFE71" w14:textId="77777777" w:rsidTr="008264A3">
        <w:trPr>
          <w:gridAfter w:val="1"/>
          <w:wAfter w:w="8" w:type="pct"/>
          <w:cantSplit/>
        </w:trPr>
        <w:tc>
          <w:tcPr>
            <w:tcW w:w="4992" w:type="pct"/>
          </w:tcPr>
          <w:p w14:paraId="35CA8F02" w14:textId="35B9998C" w:rsidR="00DA352E" w:rsidRPr="00DA352E" w:rsidRDefault="00792AA3" w:rsidP="003365A5">
            <w:pPr>
              <w:pStyle w:val="Tabletextprimarysource"/>
            </w:pPr>
            <w:r>
              <w:t>No report</w:t>
            </w:r>
            <w:r w:rsidR="00753828">
              <w:t>.</w:t>
            </w:r>
          </w:p>
        </w:tc>
      </w:tr>
      <w:tr w:rsidR="00DA352E" w:rsidRPr="00DA352E" w14:paraId="1DEAF04E" w14:textId="77777777" w:rsidTr="008264A3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71A102A" w14:textId="30806736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792AA3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792AA3" w:rsidRPr="00792AA3">
                  <w:t>TWA:</w:t>
                </w:r>
                <w:r w:rsidR="00792AA3">
                  <w:t xml:space="preserve"> 5 mg/m</w:t>
                </w:r>
                <w:r w:rsidR="00792AA3" w:rsidRPr="00792AA3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134EF981" w14:textId="77777777" w:rsidTr="008264A3">
        <w:trPr>
          <w:gridAfter w:val="1"/>
          <w:wAfter w:w="8" w:type="pct"/>
        </w:trPr>
        <w:tc>
          <w:tcPr>
            <w:tcW w:w="4992" w:type="pct"/>
          </w:tcPr>
          <w:p w14:paraId="51CE4E9A" w14:textId="48BFB77C" w:rsidR="00625272" w:rsidRDefault="00DC6F35" w:rsidP="003365A5">
            <w:pPr>
              <w:pStyle w:val="Tabletextprimarysource"/>
            </w:pPr>
            <w:r>
              <w:t>Summary of additional information:</w:t>
            </w:r>
          </w:p>
          <w:p w14:paraId="7DF0FC66" w14:textId="4540245C" w:rsidR="00DC6F35" w:rsidRDefault="00D12D0B" w:rsidP="003365A5">
            <w:pPr>
              <w:pStyle w:val="Tabletextprimarysource"/>
            </w:pPr>
            <w:r>
              <w:t xml:space="preserve">Existing administrative OEL considered too high; HBROEL derived from </w:t>
            </w:r>
            <w:r w:rsidR="00A55AE3">
              <w:t>results of sub</w:t>
            </w:r>
            <w:r w:rsidR="000A7FAE">
              <w:t>-</w:t>
            </w:r>
            <w:r w:rsidR="00A55AE3">
              <w:t xml:space="preserve">chronic and chronic feeding studies in mice and rats (also </w:t>
            </w:r>
            <w:r w:rsidR="00741579">
              <w:t>reported</w:t>
            </w:r>
            <w:r w:rsidR="00A55AE3">
              <w:t xml:space="preserve"> in ACGIH, 2018 and DFG 2002), indicat</w:t>
            </w:r>
            <w:r w:rsidR="00152A84">
              <w:t>ing</w:t>
            </w:r>
            <w:r w:rsidR="00A55AE3">
              <w:t xml:space="preserve"> bladder hyperplasia is the critical effect. </w:t>
            </w:r>
            <w:r w:rsidR="000A6FA1">
              <w:t>Maternal LOAEL of 15 mg/kg/d for epithelial bladder hyperplasia from a 2-gen</w:t>
            </w:r>
            <w:r w:rsidR="00D761E8">
              <w:t>eration</w:t>
            </w:r>
            <w:r w:rsidR="000A6FA1">
              <w:t xml:space="preserve"> reproductive feeding study </w:t>
            </w:r>
            <w:r w:rsidR="00152A84">
              <w:t>in</w:t>
            </w:r>
            <w:r w:rsidR="000A6FA1">
              <w:t xml:space="preserve"> rats used as POD. Value adjusted</w:t>
            </w:r>
            <w:r w:rsidR="00C02587">
              <w:t xml:space="preserve"> </w:t>
            </w:r>
            <w:r w:rsidR="00C02587">
              <w:lastRenderedPageBreak/>
              <w:t>with factor of 7/5</w:t>
            </w:r>
            <w:r w:rsidR="000A6FA1">
              <w:t xml:space="preserve"> for continuous experimental exposure and oral absorption of 82% to </w:t>
            </w:r>
            <w:r w:rsidR="000648E9">
              <w:t xml:space="preserve">calculate a </w:t>
            </w:r>
            <w:r w:rsidR="000A6FA1">
              <w:t>N</w:t>
            </w:r>
            <w:r w:rsidR="000648E9">
              <w:t>O</w:t>
            </w:r>
            <w:r w:rsidR="000A6FA1">
              <w:t xml:space="preserve">AEL of 17 mg/kg/d. </w:t>
            </w:r>
            <w:r w:rsidR="003B2BDA">
              <w:t>UF</w:t>
            </w:r>
            <w:r w:rsidR="000A6FA1">
              <w:t xml:space="preserve"> of 4 and 18 are applied </w:t>
            </w:r>
            <w:r w:rsidR="0082433E">
              <w:t>to account for allometric scaling and inter</w:t>
            </w:r>
            <w:r w:rsidR="00762C62">
              <w:t>-</w:t>
            </w:r>
            <w:r w:rsidR="0082433E">
              <w:t xml:space="preserve"> and intraspecies differences, respectively to </w:t>
            </w:r>
            <w:r w:rsidR="000648E9">
              <w:t xml:space="preserve">extrapolate </w:t>
            </w:r>
            <w:r w:rsidR="0082433E">
              <w:t>the proposed HBROEL of 0.18 ppm (2 mg/m</w:t>
            </w:r>
            <w:r w:rsidR="0082433E">
              <w:rPr>
                <w:vertAlign w:val="superscript"/>
              </w:rPr>
              <w:t>3</w:t>
            </w:r>
            <w:r w:rsidR="0082433E">
              <w:t>).</w:t>
            </w:r>
          </w:p>
          <w:p w14:paraId="524171AC" w14:textId="077BB8E3" w:rsidR="0082433E" w:rsidRPr="0082433E" w:rsidRDefault="0082433E" w:rsidP="003365A5">
            <w:pPr>
              <w:pStyle w:val="Tabletextprimarysource"/>
            </w:pPr>
            <w:r>
              <w:t xml:space="preserve">Dermal fluxes from </w:t>
            </w:r>
            <w:r>
              <w:rPr>
                <w:i/>
              </w:rPr>
              <w:t xml:space="preserve">in </w:t>
            </w:r>
            <w:r w:rsidRPr="0082433E">
              <w:rPr>
                <w:i/>
              </w:rPr>
              <w:t>vivo</w:t>
            </w:r>
            <w:r>
              <w:t xml:space="preserve"> human and animal studies, and physicochemical calculations range between 0.1–0.35 µg/cm</w:t>
            </w:r>
            <w:r>
              <w:rPr>
                <w:vertAlign w:val="superscript"/>
              </w:rPr>
              <w:t>2</w:t>
            </w:r>
            <w:r>
              <w:t xml:space="preserve">/h (also </w:t>
            </w:r>
            <w:r w:rsidR="00741579">
              <w:t>reported</w:t>
            </w:r>
            <w:r>
              <w:t xml:space="preserve"> in ACGIH, 2018 and DFG, 2002). </w:t>
            </w:r>
            <w:r w:rsidRPr="0082433E">
              <w:t>A</w:t>
            </w:r>
            <w:r>
              <w:t xml:space="preserve"> skin notation is proposed based on estimated dermal uptake being </w:t>
            </w:r>
            <w:r w:rsidR="004F41A7">
              <w:t xml:space="preserve">more </w:t>
            </w:r>
            <w:r>
              <w:t>than 10% of an effective dose from exposure at the HBROEL.</w:t>
            </w:r>
          </w:p>
          <w:p w14:paraId="0BB78803" w14:textId="7DEEF69F" w:rsidR="00625272" w:rsidRDefault="00A55AE3" w:rsidP="003365A5">
            <w:pPr>
              <w:pStyle w:val="Tabletextprimarysource"/>
            </w:pPr>
            <w:r>
              <w:t>Animal data:</w:t>
            </w:r>
          </w:p>
          <w:p w14:paraId="594034D2" w14:textId="167F9E41" w:rsidR="00625272" w:rsidRDefault="00060D88" w:rsidP="00E0138B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LOAEL</w:t>
            </w:r>
            <w:r w:rsidR="000648E9">
              <w:t xml:space="preserve"> of </w:t>
            </w:r>
            <w:r>
              <w:t>15 mg/kg/d for</w:t>
            </w:r>
            <w:r w:rsidR="009B5AE2">
              <w:t xml:space="preserve"> increased incidence of</w:t>
            </w:r>
            <w:r w:rsidR="00CE1BC6">
              <w:t xml:space="preserve"> microscopic</w:t>
            </w:r>
            <w:r w:rsidR="009B5AE2">
              <w:t xml:space="preserve"> bladder epithelial hyperplasia reported in 2</w:t>
            </w:r>
            <w:r w:rsidR="00D761E8">
              <w:noBreakHyphen/>
            </w:r>
            <w:r w:rsidR="009B5AE2">
              <w:t>gen</w:t>
            </w:r>
            <w:r w:rsidR="00D761E8">
              <w:t>eration</w:t>
            </w:r>
            <w:r w:rsidR="009B5AE2">
              <w:t xml:space="preserve"> reproductive </w:t>
            </w:r>
            <w:r w:rsidR="007D7306">
              <w:t xml:space="preserve">feeding </w:t>
            </w:r>
            <w:r w:rsidR="009B5AE2">
              <w:t>study with dose groups 0, 15, 53, and 225</w:t>
            </w:r>
            <w:r w:rsidR="00CE1BC6">
              <w:t> </w:t>
            </w:r>
            <w:r w:rsidR="009B5AE2">
              <w:t>mg/kg/d</w:t>
            </w:r>
            <w:r w:rsidR="007D7306">
              <w:t>, pups received diets containing substance after weaning</w:t>
            </w:r>
            <w:r w:rsidR="009B5AE2">
              <w:t xml:space="preserve"> (rats, F</w:t>
            </w:r>
            <w:r w:rsidR="009B5AE2">
              <w:rPr>
                <w:vertAlign w:val="subscript"/>
              </w:rPr>
              <w:t>0</w:t>
            </w:r>
            <w:r w:rsidR="009B5AE2">
              <w:t>: 13 wk, F</w:t>
            </w:r>
            <w:r w:rsidR="009B5AE2">
              <w:rPr>
                <w:vertAlign w:val="subscript"/>
              </w:rPr>
              <w:t>1</w:t>
            </w:r>
            <w:r w:rsidR="009B5AE2">
              <w:t>: 11 wk)</w:t>
            </w:r>
            <w:r w:rsidR="001D6049">
              <w:t>:</w:t>
            </w:r>
          </w:p>
          <w:p w14:paraId="10598EAE" w14:textId="545F32C4" w:rsidR="009B5AE2" w:rsidRDefault="009B5AE2" w:rsidP="00E0138B">
            <w:pPr>
              <w:pStyle w:val="Tabletextprimarysource"/>
              <w:numPr>
                <w:ilvl w:val="1"/>
                <w:numId w:val="1"/>
              </w:numPr>
              <w:ind w:left="1080"/>
            </w:pPr>
            <w:r>
              <w:t xml:space="preserve">NOAEL for reproduction &gt;225 mg/kg/d </w:t>
            </w:r>
          </w:p>
          <w:p w14:paraId="377DCE99" w14:textId="0341190E" w:rsidR="009B5AE2" w:rsidRDefault="009B5AE2">
            <w:pPr>
              <w:pStyle w:val="Tabletextprimarysource"/>
              <w:numPr>
                <w:ilvl w:val="1"/>
                <w:numId w:val="1"/>
              </w:numPr>
              <w:ind w:left="1080"/>
            </w:pPr>
            <w:r>
              <w:t xml:space="preserve">NOAEL </w:t>
            </w:r>
            <w:r w:rsidR="001D6049">
              <w:t xml:space="preserve">of 53 mg/kg/d </w:t>
            </w:r>
            <w:r>
              <w:t xml:space="preserve">for post-natal toxicity based on reduced pup </w:t>
            </w:r>
            <w:r w:rsidR="00D761E8">
              <w:t>body weight</w:t>
            </w:r>
            <w:r>
              <w:t xml:space="preserve"> in F2 litters</w:t>
            </w:r>
            <w:r w:rsidR="0053633A">
              <w:t>.</w:t>
            </w:r>
            <w:r>
              <w:t xml:space="preserve"> </w:t>
            </w:r>
          </w:p>
          <w:p w14:paraId="59119A08" w14:textId="5526404E" w:rsidR="00152A84" w:rsidRPr="00DA352E" w:rsidRDefault="00152A84" w:rsidP="00E0138B">
            <w:pPr>
              <w:pStyle w:val="Tabletextprimarysource"/>
            </w:pPr>
          </w:p>
        </w:tc>
      </w:tr>
    </w:tbl>
    <w:p w14:paraId="57C6801C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87"/>
        <w:gridCol w:w="421"/>
        <w:gridCol w:w="661"/>
        <w:gridCol w:w="6457"/>
      </w:tblGrid>
      <w:tr w:rsidR="004966BF" w:rsidRPr="00263255" w14:paraId="7FA341CF" w14:textId="77777777" w:rsidTr="00826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752D9F7D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24C7F22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7BB63DF3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7" w:type="dxa"/>
            <w:shd w:val="clear" w:color="auto" w:fill="BFBFBF" w:themeFill="background1" w:themeFillShade="BF"/>
            <w:vAlign w:val="center"/>
          </w:tcPr>
          <w:p w14:paraId="19738432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19B0264A" w14:textId="77777777" w:rsidTr="008264A3">
        <w:trPr>
          <w:cantSplit/>
        </w:trPr>
        <w:tc>
          <w:tcPr>
            <w:tcW w:w="1487" w:type="dxa"/>
          </w:tcPr>
          <w:p w14:paraId="134E0FAB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1" w:type="dxa"/>
          </w:tcPr>
          <w:p w14:paraId="34BBDEE0" w14:textId="23EB2691" w:rsidR="004966BF" w:rsidRPr="00CE617F" w:rsidRDefault="008264A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6A3C6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662035B" w14:textId="2445F8FF" w:rsidR="004966BF" w:rsidRPr="004C23F4" w:rsidRDefault="006A3C6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57" w:type="dxa"/>
          </w:tcPr>
          <w:p w14:paraId="7ADC3AC5" w14:textId="507C9D88" w:rsidR="006A3C6A" w:rsidRDefault="006A3C6A" w:rsidP="00E0138B">
            <w:pPr>
              <w:pStyle w:val="Tablefont"/>
              <w:numPr>
                <w:ilvl w:val="0"/>
                <w:numId w:val="1"/>
              </w:numPr>
              <w:spacing w:before="60" w:after="60"/>
              <w:ind w:left="717"/>
              <w:rPr>
                <w:rFonts w:cs="Arial"/>
              </w:rPr>
            </w:pPr>
            <w:r>
              <w:rPr>
                <w:rFonts w:cs="Arial"/>
                <w:color w:val="262626"/>
              </w:rPr>
              <w:t xml:space="preserve">Not considered genotoxic based on negative results of several </w:t>
            </w:r>
            <w:r>
              <w:rPr>
                <w:rFonts w:cs="Arial"/>
                <w:i/>
                <w:color w:val="262626"/>
              </w:rPr>
              <w:t xml:space="preserve">in vivo </w:t>
            </w:r>
            <w:r>
              <w:rPr>
                <w:rFonts w:cs="Arial"/>
                <w:color w:val="262626"/>
              </w:rPr>
              <w:t xml:space="preserve">and </w:t>
            </w:r>
            <w:r>
              <w:rPr>
                <w:rFonts w:cs="Arial"/>
                <w:i/>
                <w:color w:val="262626"/>
              </w:rPr>
              <w:t xml:space="preserve">in </w:t>
            </w:r>
            <w:r w:rsidRPr="006A3C6A">
              <w:rPr>
                <w:rFonts w:cs="Arial"/>
                <w:i/>
                <w:color w:val="262626"/>
              </w:rPr>
              <w:t>vitro</w:t>
            </w:r>
            <w:r>
              <w:rPr>
                <w:rFonts w:cs="Arial"/>
                <w:color w:val="262626"/>
              </w:rPr>
              <w:t xml:space="preserve"> </w:t>
            </w:r>
            <w:r w:rsidRPr="006A3C6A">
              <w:rPr>
                <w:rFonts w:cs="Arial"/>
                <w:color w:val="262626"/>
              </w:rPr>
              <w:t>genotoxicity</w:t>
            </w:r>
            <w:r>
              <w:rPr>
                <w:rFonts w:cs="Arial"/>
                <w:color w:val="262626"/>
              </w:rPr>
              <w:t xml:space="preserve"> studies</w:t>
            </w:r>
          </w:p>
          <w:p w14:paraId="1AE981FB" w14:textId="736AED19" w:rsidR="00625272" w:rsidRDefault="005F50BD" w:rsidP="00E0138B">
            <w:pPr>
              <w:pStyle w:val="Tablefont"/>
              <w:numPr>
                <w:ilvl w:val="0"/>
                <w:numId w:val="1"/>
              </w:numPr>
              <w:spacing w:before="60" w:after="60"/>
              <w:ind w:left="717"/>
              <w:rPr>
                <w:rFonts w:cs="Arial"/>
              </w:rPr>
            </w:pPr>
            <w:r>
              <w:rPr>
                <w:rFonts w:cs="Arial"/>
              </w:rPr>
              <w:t xml:space="preserve">Bladder tumours may be caused </w:t>
            </w:r>
            <w:r w:rsidRPr="005F50BD">
              <w:rPr>
                <w:rFonts w:cs="Arial"/>
              </w:rPr>
              <w:t>by direct cell damage leading to hyperplasia of the bladder epithelium</w:t>
            </w:r>
            <w:r>
              <w:rPr>
                <w:rFonts w:cs="Arial"/>
              </w:rPr>
              <w:t xml:space="preserve"> based on available chronic carcinogenicity studies and negative genotoxicity studies</w:t>
            </w:r>
            <w:r w:rsidR="001D6049">
              <w:rPr>
                <w:rFonts w:cs="Arial"/>
              </w:rPr>
              <w:t>:</w:t>
            </w:r>
          </w:p>
          <w:p w14:paraId="71331A5A" w14:textId="0A645CA0" w:rsidR="004966BF" w:rsidRDefault="006A3C6A" w:rsidP="00E0138B">
            <w:pPr>
              <w:pStyle w:val="Tablefont"/>
              <w:numPr>
                <w:ilvl w:val="1"/>
                <w:numId w:val="1"/>
              </w:numPr>
              <w:spacing w:before="60" w:after="60"/>
              <w:ind w:left="108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5F50BD" w:rsidRPr="005F50BD">
              <w:rPr>
                <w:rFonts w:cs="Arial"/>
              </w:rPr>
              <w:t>arcinogenic</w:t>
            </w:r>
            <w:r>
              <w:rPr>
                <w:rFonts w:cs="Arial"/>
              </w:rPr>
              <w:t>ity</w:t>
            </w:r>
            <w:r w:rsidR="005F50BD" w:rsidRPr="005F50BD">
              <w:rPr>
                <w:rFonts w:cs="Arial"/>
              </w:rPr>
              <w:t xml:space="preserve"> category 2 classification</w:t>
            </w:r>
            <w:r>
              <w:rPr>
                <w:rFonts w:cs="Arial"/>
              </w:rPr>
              <w:t xml:space="preserve"> therefore appropriate</w:t>
            </w:r>
          </w:p>
          <w:p w14:paraId="19277495" w14:textId="5C9117FC" w:rsidR="006A3C6A" w:rsidRPr="006A3C6A" w:rsidRDefault="006A3C6A" w:rsidP="00E0138B">
            <w:pPr>
              <w:pStyle w:val="Tablefont"/>
              <w:numPr>
                <w:ilvl w:val="0"/>
                <w:numId w:val="1"/>
              </w:numPr>
              <w:spacing w:before="60" w:after="60"/>
              <w:ind w:left="717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  <w:color w:val="262626"/>
              </w:rPr>
              <w:t>O</w:t>
            </w:r>
            <w:r w:rsidR="005F50BD">
              <w:rPr>
                <w:rFonts w:cs="Arial"/>
                <w:color w:val="262626"/>
              </w:rPr>
              <w:t xml:space="preserve">ther serious </w:t>
            </w:r>
            <w:r>
              <w:rPr>
                <w:rFonts w:cs="Arial"/>
                <w:color w:val="262626"/>
              </w:rPr>
              <w:t>health effects not expected in humans</w:t>
            </w:r>
            <w:r w:rsidR="003B2BDA">
              <w:rPr>
                <w:rFonts w:cs="Arial"/>
                <w:color w:val="262626"/>
              </w:rPr>
              <w:t>.</w:t>
            </w:r>
          </w:p>
        </w:tc>
      </w:tr>
      <w:tr w:rsidR="004966BF" w:rsidRPr="004C23F4" w14:paraId="109363AA" w14:textId="77777777" w:rsidTr="008264A3">
        <w:trPr>
          <w:cantSplit/>
        </w:trPr>
        <w:tc>
          <w:tcPr>
            <w:tcW w:w="1487" w:type="dxa"/>
          </w:tcPr>
          <w:p w14:paraId="44A7ECB7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1" w:type="dxa"/>
          </w:tcPr>
          <w:p w14:paraId="79310CE2" w14:textId="71742747" w:rsidR="004966BF" w:rsidRPr="00CE617F" w:rsidRDefault="008264A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6A3C6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9C82339" w14:textId="08EF602A" w:rsidR="004966BF" w:rsidRPr="004C23F4" w:rsidRDefault="006A3C6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2020</w:t>
            </w:r>
          </w:p>
        </w:tc>
        <w:tc>
          <w:tcPr>
            <w:tcW w:w="6457" w:type="dxa"/>
          </w:tcPr>
          <w:p w14:paraId="0B2C3814" w14:textId="6816CF12" w:rsidR="00625272" w:rsidRDefault="006A3C6A" w:rsidP="00E0138B">
            <w:pPr>
              <w:pStyle w:val="Tablefont"/>
              <w:numPr>
                <w:ilvl w:val="0"/>
                <w:numId w:val="1"/>
              </w:numPr>
              <w:spacing w:before="60" w:after="60"/>
              <w:ind w:left="71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NOAEL of 9 mg/kg/d for epithelial hyperplasia in bladder in chronically fed rats used as POD to calculate DNEL</w:t>
            </w:r>
            <w:r w:rsidR="001D6049">
              <w:rPr>
                <w:rStyle w:val="checkbox"/>
                <w:rFonts w:ascii="Arial" w:hAnsi="Arial" w:cs="Arial"/>
              </w:rPr>
              <w:t>:</w:t>
            </w:r>
          </w:p>
          <w:p w14:paraId="3DFC3BEA" w14:textId="455205B9" w:rsidR="006A3C6A" w:rsidRPr="004C23F4" w:rsidRDefault="006A3C6A" w:rsidP="00E0138B">
            <w:pPr>
              <w:pStyle w:val="Tablefont"/>
              <w:numPr>
                <w:ilvl w:val="1"/>
                <w:numId w:val="1"/>
              </w:numPr>
              <w:spacing w:before="60" w:after="60"/>
              <w:ind w:left="108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overall assessment factor of 20 applied to account for allometric scaling and intraspecies differences to arrive at DNEL of 3.13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3B2BDA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244B87DC" w14:textId="77777777" w:rsidTr="008264A3">
        <w:trPr>
          <w:cantSplit/>
        </w:trPr>
        <w:tc>
          <w:tcPr>
            <w:tcW w:w="1487" w:type="dxa"/>
          </w:tcPr>
          <w:p w14:paraId="01633A91" w14:textId="77777777" w:rsidR="004966BF" w:rsidRPr="004C23F4" w:rsidRDefault="004966BF" w:rsidP="00224EE2">
            <w:pPr>
              <w:pStyle w:val="Tablefont"/>
            </w:pPr>
            <w:r>
              <w:t>OECD</w:t>
            </w:r>
          </w:p>
        </w:tc>
        <w:tc>
          <w:tcPr>
            <w:tcW w:w="421" w:type="dxa"/>
          </w:tcPr>
          <w:p w14:paraId="56CA7CEE" w14:textId="7AC49B8C" w:rsidR="004966BF" w:rsidRPr="00CE617F" w:rsidRDefault="008264A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6A3C6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1278F67" w14:textId="17CDAE70" w:rsidR="004966BF" w:rsidRPr="004C23F4" w:rsidRDefault="006A3C6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2001</w:t>
            </w:r>
          </w:p>
        </w:tc>
        <w:tc>
          <w:tcPr>
            <w:tcW w:w="6457" w:type="dxa"/>
          </w:tcPr>
          <w:p w14:paraId="3626225E" w14:textId="21CEE615" w:rsidR="006A3C6A" w:rsidRDefault="00B755D0" w:rsidP="00E0138B">
            <w:pPr>
              <w:pStyle w:val="Tablefont"/>
              <w:numPr>
                <w:ilvl w:val="0"/>
                <w:numId w:val="1"/>
              </w:numPr>
              <w:spacing w:before="60" w:after="60"/>
              <w:ind w:left="717"/>
            </w:pPr>
            <w:r>
              <w:t>P</w:t>
            </w:r>
            <w:r w:rsidR="006A3C6A">
              <w:t>rimary exposure</w:t>
            </w:r>
            <w:r>
              <w:t xml:space="preserve"> path in occupational setting </w:t>
            </w:r>
            <w:r w:rsidR="006A3C6A">
              <w:t>is dermal contact</w:t>
            </w:r>
          </w:p>
          <w:p w14:paraId="55B538A9" w14:textId="76B2689D" w:rsidR="006A3C6A" w:rsidRPr="004C23F4" w:rsidRDefault="00B755D0" w:rsidP="00E0138B">
            <w:pPr>
              <w:pStyle w:val="Tablefont"/>
              <w:numPr>
                <w:ilvl w:val="0"/>
                <w:numId w:val="1"/>
              </w:numPr>
              <w:spacing w:before="60" w:after="60"/>
              <w:ind w:left="717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>M</w:t>
            </w:r>
            <w:r w:rsidR="006A3C6A" w:rsidRPr="006A3C6A">
              <w:rPr>
                <w:rFonts w:cs="Arial"/>
              </w:rPr>
              <w:t xml:space="preserve">ost likely effects of exposure are </w:t>
            </w:r>
            <w:r>
              <w:rPr>
                <w:rFonts w:cs="Arial"/>
              </w:rPr>
              <w:t>irritation of the skin and eyes</w:t>
            </w:r>
            <w:r w:rsidR="003B2BDA">
              <w:rPr>
                <w:rFonts w:cs="Arial"/>
              </w:rPr>
              <w:t>.</w:t>
            </w:r>
          </w:p>
        </w:tc>
      </w:tr>
      <w:tr w:rsidR="004966BF" w:rsidRPr="004C23F4" w14:paraId="1F994F7E" w14:textId="77777777" w:rsidTr="008264A3">
        <w:trPr>
          <w:cantSplit/>
        </w:trPr>
        <w:tc>
          <w:tcPr>
            <w:tcW w:w="1487" w:type="dxa"/>
          </w:tcPr>
          <w:p w14:paraId="00A7BBF2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1" w:type="dxa"/>
          </w:tcPr>
          <w:p w14:paraId="3DE1EF28" w14:textId="2D01009E" w:rsidR="004966BF" w:rsidRDefault="008264A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C6F3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FA0ACDF" w14:textId="5141E101" w:rsidR="004966BF" w:rsidRPr="004C23F4" w:rsidRDefault="00DC6F3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7" w:type="dxa"/>
          </w:tcPr>
          <w:p w14:paraId="7214B60F" w14:textId="2F2DE6AD" w:rsidR="004966BF" w:rsidRPr="004C23F4" w:rsidRDefault="00DC6F35" w:rsidP="00E0138B">
            <w:pPr>
              <w:pStyle w:val="Tablefont"/>
              <w:numPr>
                <w:ilvl w:val="0"/>
                <w:numId w:val="3"/>
              </w:numPr>
              <w:spacing w:before="60" w:after="60"/>
              <w:ind w:left="717"/>
              <w:rPr>
                <w:rStyle w:val="checkbox"/>
                <w:rFonts w:ascii="Arial" w:hAnsi="Arial" w:cs="Arial"/>
              </w:rPr>
            </w:pPr>
            <w:r w:rsidRPr="00DC6F35">
              <w:rPr>
                <w:rFonts w:cs="Arial"/>
              </w:rPr>
              <w:t>IDLH based on acute inhalation toxicity data in animals</w:t>
            </w:r>
            <w:r>
              <w:rPr>
                <w:rFonts w:cs="Arial"/>
              </w:rPr>
              <w:t>.</w:t>
            </w:r>
          </w:p>
        </w:tc>
      </w:tr>
    </w:tbl>
    <w:bookmarkEnd w:id="0"/>
    <w:p w14:paraId="1805F267" w14:textId="77777777" w:rsidR="007E2A4B" w:rsidRDefault="007E2A4B" w:rsidP="00E0138B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7629607" w14:textId="77777777" w:rsidTr="00A55AE3">
        <w:trPr>
          <w:trHeight w:val="454"/>
          <w:tblHeader/>
        </w:trPr>
        <w:tc>
          <w:tcPr>
            <w:tcW w:w="6603" w:type="dxa"/>
            <w:vAlign w:val="center"/>
          </w:tcPr>
          <w:p w14:paraId="37312552" w14:textId="77777777" w:rsidR="002E0D61" w:rsidRDefault="00B1422A" w:rsidP="00E0138B">
            <w:pPr>
              <w:pStyle w:val="Tablefont"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737194B3" w14:textId="2C6D05DC" w:rsidR="002E0D61" w:rsidRDefault="00A55AE3" w:rsidP="00E0138B">
                <w:pPr>
                  <w:pStyle w:val="Tablefont"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0C14FD72" w14:textId="77777777" w:rsidTr="00A55AE3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58C95D2A" w14:textId="0377E372" w:rsidR="008A36CF" w:rsidRPr="006901A2" w:rsidRDefault="00A55AE3" w:rsidP="00E0138B">
                <w:pPr>
                  <w:pStyle w:val="Tablefont"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4007F37E" w14:textId="77777777" w:rsidR="008A36CF" w:rsidRDefault="008A36CF" w:rsidP="00E0138B">
            <w:pPr>
              <w:pStyle w:val="Tablefont"/>
              <w:keepLines/>
              <w:spacing w:before="40" w:after="40"/>
            </w:pPr>
          </w:p>
        </w:tc>
      </w:tr>
    </w:tbl>
    <w:bookmarkEnd w:id="1"/>
    <w:p w14:paraId="6EA1950E" w14:textId="77777777" w:rsidR="00687890" w:rsidRPr="004C23F4" w:rsidRDefault="00B479A9" w:rsidP="00474E33">
      <w:pPr>
        <w:pStyle w:val="Heading2"/>
      </w:pPr>
      <w:r w:rsidRPr="004C23F4">
        <w:lastRenderedPageBreak/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84315B2" w14:textId="77777777" w:rsidTr="00826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7E0266F" w14:textId="77777777" w:rsidR="00687890" w:rsidRPr="004C23F4" w:rsidRDefault="00687890" w:rsidP="00263255">
            <w:pPr>
              <w:pStyle w:val="Tableheader"/>
            </w:pPr>
            <w:bookmarkStart w:id="2" w:name="Notations"/>
            <w:bookmarkStart w:id="3" w:name="_GoBack" w:colFirst="0" w:colLast="2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7D2F3CF9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bookmarkEnd w:id="3"/>
      <w:tr w:rsidR="00687890" w:rsidRPr="004C23F4" w14:paraId="72FF83D2" w14:textId="77777777" w:rsidTr="008264A3">
        <w:trPr>
          <w:cantSplit/>
        </w:trPr>
        <w:tc>
          <w:tcPr>
            <w:tcW w:w="3227" w:type="dxa"/>
          </w:tcPr>
          <w:p w14:paraId="60A3FD3E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E371A7A" w14:textId="10633376" w:rsidR="00687890" w:rsidRPr="00DD2F9B" w:rsidRDefault="00E164E2" w:rsidP="004E3F33">
            <w:pPr>
              <w:pStyle w:val="Tablefont"/>
            </w:pPr>
            <w:r>
              <w:t>—</w:t>
            </w:r>
          </w:p>
        </w:tc>
      </w:tr>
      <w:tr w:rsidR="007925F0" w:rsidRPr="004C23F4" w14:paraId="7BB9DC32" w14:textId="77777777" w:rsidTr="008264A3">
        <w:trPr>
          <w:cantSplit/>
        </w:trPr>
        <w:tc>
          <w:tcPr>
            <w:tcW w:w="3227" w:type="dxa"/>
          </w:tcPr>
          <w:p w14:paraId="4F7116C2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082F9E7" w14:textId="77777777" w:rsidR="007925F0" w:rsidRPr="00DD2F9B" w:rsidRDefault="008D4078" w:rsidP="00DD2F9B">
            <w:pPr>
              <w:pStyle w:val="Tablefont"/>
            </w:pPr>
            <w:r w:rsidRPr="008D4078">
              <w:t>Carcinogenicity – category 2</w:t>
            </w:r>
          </w:p>
        </w:tc>
      </w:tr>
      <w:tr w:rsidR="00AF483F" w:rsidRPr="004C23F4" w14:paraId="64CE0E72" w14:textId="77777777" w:rsidTr="008264A3">
        <w:trPr>
          <w:cantSplit/>
        </w:trPr>
        <w:tc>
          <w:tcPr>
            <w:tcW w:w="3227" w:type="dxa"/>
          </w:tcPr>
          <w:p w14:paraId="24415CBB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A8F416E" w14:textId="77777777" w:rsidR="00AF483F" w:rsidRPr="00DD2F9B" w:rsidRDefault="00930D4C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2FD9BC6D" w14:textId="77777777" w:rsidTr="008264A3">
        <w:trPr>
          <w:cantSplit/>
        </w:trPr>
        <w:tc>
          <w:tcPr>
            <w:tcW w:w="3227" w:type="dxa"/>
          </w:tcPr>
          <w:p w14:paraId="500D246C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33B2A7D" w14:textId="77777777" w:rsidR="00687890" w:rsidRPr="00DD2F9B" w:rsidRDefault="00840198" w:rsidP="00DD2F9B">
            <w:pPr>
              <w:pStyle w:val="Tablefont"/>
            </w:pPr>
            <w:r w:rsidRPr="00840198">
              <w:t>Carcinogenicity – category 2</w:t>
            </w:r>
          </w:p>
        </w:tc>
      </w:tr>
      <w:tr w:rsidR="00E41A26" w:rsidRPr="004C23F4" w14:paraId="42A04743" w14:textId="77777777" w:rsidTr="008264A3">
        <w:trPr>
          <w:cantSplit/>
        </w:trPr>
        <w:tc>
          <w:tcPr>
            <w:tcW w:w="3227" w:type="dxa"/>
          </w:tcPr>
          <w:p w14:paraId="4F1E7238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5E10B944" w14:textId="1300581E" w:rsidR="00E41A26" w:rsidRPr="00DD2F9B" w:rsidRDefault="00DC6F35" w:rsidP="000F1F5F">
            <w:pPr>
              <w:pStyle w:val="Tablefont"/>
            </w:pPr>
            <w:r w:rsidRPr="00DC6F35">
              <w:t>Carcinogenicity – category 2</w:t>
            </w:r>
          </w:p>
        </w:tc>
      </w:tr>
      <w:tr w:rsidR="002E0D61" w:rsidRPr="004C23F4" w14:paraId="0C385634" w14:textId="77777777" w:rsidTr="008264A3">
        <w:trPr>
          <w:cantSplit/>
        </w:trPr>
        <w:tc>
          <w:tcPr>
            <w:tcW w:w="3227" w:type="dxa"/>
          </w:tcPr>
          <w:p w14:paraId="19DA9BDA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299AABF" w14:textId="77777777" w:rsidR="002E0D61" w:rsidRPr="00DD2F9B" w:rsidRDefault="00986DB9" w:rsidP="00DD2F9B">
            <w:pPr>
              <w:pStyle w:val="Tablefont"/>
            </w:pPr>
            <w:r w:rsidRPr="00986DB9">
              <w:t>Carcinogenicity – A3</w:t>
            </w:r>
          </w:p>
        </w:tc>
      </w:tr>
      <w:tr w:rsidR="002E0D61" w:rsidRPr="004C23F4" w14:paraId="1BF0E69F" w14:textId="77777777" w:rsidTr="008264A3">
        <w:trPr>
          <w:cantSplit/>
        </w:trPr>
        <w:tc>
          <w:tcPr>
            <w:tcW w:w="3227" w:type="dxa"/>
          </w:tcPr>
          <w:p w14:paraId="684FC342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5702A7EC" w14:textId="77777777" w:rsidR="002E0D61" w:rsidRPr="00DD2F9B" w:rsidRDefault="00792AA3" w:rsidP="00DD2F9B">
            <w:pPr>
              <w:pStyle w:val="Tablefont"/>
            </w:pPr>
            <w:r w:rsidRPr="00792AA3">
              <w:t>Carcinogenicity – 4</w:t>
            </w:r>
            <w:r>
              <w:t>, H (skin)</w:t>
            </w:r>
          </w:p>
        </w:tc>
      </w:tr>
      <w:tr w:rsidR="002E0D61" w:rsidRPr="004C23F4" w14:paraId="68266B6B" w14:textId="77777777" w:rsidTr="008264A3">
        <w:trPr>
          <w:cantSplit/>
        </w:trPr>
        <w:tc>
          <w:tcPr>
            <w:tcW w:w="3227" w:type="dxa"/>
          </w:tcPr>
          <w:p w14:paraId="03CC2C18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AC44F63" w14:textId="77777777" w:rsidR="002E0D61" w:rsidRPr="00DD2F9B" w:rsidRDefault="00792AA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F3020F0" w14:textId="77777777" w:rsidTr="008264A3">
        <w:trPr>
          <w:cantSplit/>
        </w:trPr>
        <w:tc>
          <w:tcPr>
            <w:tcW w:w="3227" w:type="dxa"/>
          </w:tcPr>
          <w:p w14:paraId="24F3DBA3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A3DC80B" w14:textId="111F346F" w:rsidR="002E0D61" w:rsidRPr="00DD2F9B" w:rsidRDefault="00E164E2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4F381FDE" w14:textId="77777777" w:rsidTr="008264A3">
        <w:trPr>
          <w:cantSplit/>
        </w:trPr>
        <w:tc>
          <w:tcPr>
            <w:tcW w:w="3227" w:type="dxa"/>
          </w:tcPr>
          <w:p w14:paraId="246C9A50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568C41A" w14:textId="77777777" w:rsidR="00386093" w:rsidRPr="00DD2F9B" w:rsidRDefault="00AE3AA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06C4075" w14:textId="77777777" w:rsidTr="008264A3">
        <w:trPr>
          <w:cantSplit/>
        </w:trPr>
        <w:tc>
          <w:tcPr>
            <w:tcW w:w="3227" w:type="dxa"/>
          </w:tcPr>
          <w:p w14:paraId="372B5C65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58452E1" w14:textId="77777777" w:rsidR="00386093" w:rsidRPr="00DD2F9B" w:rsidRDefault="00AE3AA5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23F17D41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025EFBA9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EB312F3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0E93C18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CCEFA15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657"/>
              <w:gridCol w:w="1086"/>
              <w:gridCol w:w="1086"/>
              <w:gridCol w:w="2981"/>
            </w:tblGrid>
            <w:tr w:rsidR="00767B2A" w:rsidRPr="00767B2A" w14:paraId="4158808D" w14:textId="77777777" w:rsidTr="00767B2A">
              <w:trPr>
                <w:trHeight w:val="231"/>
              </w:trPr>
              <w:tc>
                <w:tcPr>
                  <w:tcW w:w="3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AADEED" w14:textId="77777777" w:rsidR="00767B2A" w:rsidRPr="00767B2A" w:rsidRDefault="00767B2A" w:rsidP="00767B2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371E4F" w14:textId="77777777" w:rsidR="00767B2A" w:rsidRPr="00767B2A" w:rsidRDefault="00767B2A" w:rsidP="00767B2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92B26A" w14:textId="77777777" w:rsidR="00767B2A" w:rsidRPr="00767B2A" w:rsidRDefault="00767B2A" w:rsidP="00767B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D34DB2" w14:textId="77777777" w:rsidR="00767B2A" w:rsidRPr="00767B2A" w:rsidRDefault="00767B2A" w:rsidP="00767B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67B2A" w:rsidRPr="00767B2A" w14:paraId="2878CE03" w14:textId="77777777" w:rsidTr="00767B2A">
              <w:trPr>
                <w:trHeight w:val="231"/>
              </w:trPr>
              <w:tc>
                <w:tcPr>
                  <w:tcW w:w="3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4887B9" w14:textId="77777777" w:rsidR="00767B2A" w:rsidRPr="00767B2A" w:rsidRDefault="00767B2A" w:rsidP="00767B2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8BB0A1" w14:textId="77777777" w:rsidR="00767B2A" w:rsidRPr="00767B2A" w:rsidRDefault="00767B2A" w:rsidP="00767B2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03E409" w14:textId="77777777" w:rsidR="00767B2A" w:rsidRPr="00767B2A" w:rsidRDefault="00767B2A" w:rsidP="00767B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4FF50D" w14:textId="77777777" w:rsidR="00767B2A" w:rsidRPr="00767B2A" w:rsidRDefault="00767B2A" w:rsidP="00767B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67B2A" w:rsidRPr="00767B2A" w14:paraId="066D94C2" w14:textId="77777777" w:rsidTr="00767B2A">
              <w:trPr>
                <w:trHeight w:val="231"/>
              </w:trPr>
              <w:tc>
                <w:tcPr>
                  <w:tcW w:w="3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841E35" w14:textId="77777777" w:rsidR="00767B2A" w:rsidRPr="00767B2A" w:rsidRDefault="00767B2A" w:rsidP="00767B2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87BE49" w14:textId="77777777" w:rsidR="00767B2A" w:rsidRPr="00767B2A" w:rsidRDefault="00767B2A" w:rsidP="00767B2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9BA0A1" w14:textId="77777777" w:rsidR="00767B2A" w:rsidRPr="00767B2A" w:rsidRDefault="00767B2A" w:rsidP="00767B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6E1D79" w14:textId="77777777" w:rsidR="00767B2A" w:rsidRPr="00767B2A" w:rsidRDefault="00767B2A" w:rsidP="00767B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67B2A" w:rsidRPr="00767B2A" w14:paraId="0A0360F1" w14:textId="77777777" w:rsidTr="00767B2A">
              <w:trPr>
                <w:trHeight w:val="231"/>
              </w:trPr>
              <w:tc>
                <w:tcPr>
                  <w:tcW w:w="3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F09C3C" w14:textId="77777777" w:rsidR="00767B2A" w:rsidRPr="00767B2A" w:rsidRDefault="00767B2A" w:rsidP="00767B2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A687C3" w14:textId="77777777" w:rsidR="00767B2A" w:rsidRPr="00767B2A" w:rsidRDefault="00767B2A" w:rsidP="00767B2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B2EEC6" w14:textId="77777777" w:rsidR="00767B2A" w:rsidRPr="00767B2A" w:rsidRDefault="00767B2A" w:rsidP="00767B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7EFED8" w14:textId="77777777" w:rsidR="00767B2A" w:rsidRPr="00767B2A" w:rsidRDefault="00767B2A" w:rsidP="00767B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67B2A" w:rsidRPr="00767B2A" w14:paraId="3F7574D1" w14:textId="77777777" w:rsidTr="00767B2A">
              <w:trPr>
                <w:trHeight w:val="231"/>
              </w:trPr>
              <w:tc>
                <w:tcPr>
                  <w:tcW w:w="3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AAA111" w14:textId="77777777" w:rsidR="00767B2A" w:rsidRPr="00767B2A" w:rsidRDefault="00767B2A" w:rsidP="00767B2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F1E6C3" w14:textId="77777777" w:rsidR="00767B2A" w:rsidRPr="00767B2A" w:rsidRDefault="00767B2A" w:rsidP="00767B2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2E9BAA" w14:textId="77777777" w:rsidR="00767B2A" w:rsidRPr="00767B2A" w:rsidRDefault="00767B2A" w:rsidP="00767B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166D8C" w14:textId="77777777" w:rsidR="00767B2A" w:rsidRPr="00767B2A" w:rsidRDefault="00767B2A" w:rsidP="00767B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67B2A" w:rsidRPr="00767B2A" w14:paraId="3A3ECBD5" w14:textId="77777777" w:rsidTr="00767B2A">
              <w:trPr>
                <w:trHeight w:val="231"/>
              </w:trPr>
              <w:tc>
                <w:tcPr>
                  <w:tcW w:w="3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0F516A" w14:textId="77777777" w:rsidR="00767B2A" w:rsidRPr="00767B2A" w:rsidRDefault="00767B2A" w:rsidP="00767B2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B32108" w14:textId="77777777" w:rsidR="00767B2A" w:rsidRPr="00767B2A" w:rsidRDefault="00767B2A" w:rsidP="00767B2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06FB5C" w14:textId="77777777" w:rsidR="00767B2A" w:rsidRPr="00767B2A" w:rsidRDefault="00767B2A" w:rsidP="00767B2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-2.00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E5CEE3" w14:textId="77777777" w:rsidR="00767B2A" w:rsidRPr="00767B2A" w:rsidRDefault="00767B2A" w:rsidP="00767B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67B2A" w:rsidRPr="00767B2A" w14:paraId="04E51136" w14:textId="77777777" w:rsidTr="00767B2A">
              <w:trPr>
                <w:trHeight w:val="231"/>
              </w:trPr>
              <w:tc>
                <w:tcPr>
                  <w:tcW w:w="3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1E7D7A" w14:textId="77777777" w:rsidR="00767B2A" w:rsidRPr="00767B2A" w:rsidRDefault="00767B2A" w:rsidP="00767B2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C075A8" w14:textId="77777777" w:rsidR="00767B2A" w:rsidRPr="00767B2A" w:rsidRDefault="00767B2A" w:rsidP="00767B2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6E7AAF" w14:textId="77777777" w:rsidR="00767B2A" w:rsidRPr="00767B2A" w:rsidRDefault="00767B2A" w:rsidP="00767B2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-2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655E73" w14:textId="77777777" w:rsidR="00767B2A" w:rsidRPr="00767B2A" w:rsidRDefault="00767B2A" w:rsidP="00767B2A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7B2A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16EAE7E5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3B5CD2D1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03E8B6AC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31077EF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9D60E20" w14:textId="77777777" w:rsidR="00EB3D1B" w:rsidRDefault="00AE3AA5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11B49E2F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1EEC643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9251F4E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02ECFF4" w14:textId="77777777" w:rsidR="001B79E5" w:rsidRDefault="00986DB9" w:rsidP="001B79E5">
                <w:pPr>
                  <w:pStyle w:val="Tablefont"/>
                </w:pPr>
                <w:r>
                  <w:t>266.31</w:t>
                </w:r>
              </w:p>
            </w:tc>
          </w:sdtContent>
        </w:sdt>
      </w:tr>
      <w:tr w:rsidR="00A31D99" w:rsidRPr="004C23F4" w14:paraId="069DF35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DCE2C29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9810B5F" w14:textId="4BA15FDF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DD6E40">
                  <w:t>10.89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DD6E40">
                  <w:t>0.092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FC9BA6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48CEA14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CFCF82D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EE387DB" w14:textId="77777777" w:rsidTr="00EA6243">
        <w:trPr>
          <w:cantSplit/>
        </w:trPr>
        <w:tc>
          <w:tcPr>
            <w:tcW w:w="4077" w:type="dxa"/>
            <w:vAlign w:val="center"/>
          </w:tcPr>
          <w:p w14:paraId="28FFE186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B7B93D7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B70D476" w14:textId="77777777" w:rsidTr="00EA6243">
        <w:trPr>
          <w:cantSplit/>
        </w:trPr>
        <w:tc>
          <w:tcPr>
            <w:tcW w:w="4077" w:type="dxa"/>
            <w:vAlign w:val="center"/>
          </w:tcPr>
          <w:p w14:paraId="09DFB401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6093CDD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DF65C6F" w14:textId="77777777" w:rsidTr="00EA6243">
        <w:trPr>
          <w:cantSplit/>
        </w:trPr>
        <w:tc>
          <w:tcPr>
            <w:tcW w:w="4077" w:type="dxa"/>
            <w:vAlign w:val="center"/>
          </w:tcPr>
          <w:p w14:paraId="0293751C" w14:textId="77777777" w:rsidR="00E06F40" w:rsidRPr="00263255" w:rsidRDefault="00E06F40" w:rsidP="00084513">
            <w:pPr>
              <w:pStyle w:val="Tablefont"/>
            </w:pPr>
            <w:r w:rsidRPr="00263255">
              <w:lastRenderedPageBreak/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E005629" w14:textId="676D446C" w:rsidR="00E06F40" w:rsidRPr="00A006A0" w:rsidRDefault="008264A3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92290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F44CA5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9DFE3B9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D135866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A33375E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1BF16DF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D2FEA21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235B721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ADD577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18710A4F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3A53444" w14:textId="6E7BFC6A" w:rsidR="008E4F1F" w:rsidRDefault="008E4F1F" w:rsidP="008E4F1F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C46126">
        <w:t>2012</w:t>
      </w:r>
      <w:r>
        <w:t xml:space="preserve">) </w:t>
      </w:r>
      <w:r w:rsidR="00C46126" w:rsidRPr="00C46126">
        <w:t>Tri-n-</w:t>
      </w:r>
      <w:proofErr w:type="spellStart"/>
      <w:r w:rsidR="00C46126" w:rsidRPr="00C46126">
        <w:t>butylphosphat</w:t>
      </w:r>
      <w:proofErr w:type="spellEnd"/>
      <w:r>
        <w:t xml:space="preserve"> – MAK value documentation</w:t>
      </w:r>
      <w:r w:rsidR="00767B2A">
        <w:t>, German language edition</w:t>
      </w:r>
      <w:r>
        <w:t>.</w:t>
      </w:r>
    </w:p>
    <w:p w14:paraId="6EBE65B1" w14:textId="4494CC24" w:rsidR="00767B2A" w:rsidRPr="007D7306" w:rsidRDefault="00767B2A" w:rsidP="008E4F1F">
      <w:pPr>
        <w:rPr>
          <w:b/>
          <w:bCs/>
        </w:rPr>
      </w:pPr>
      <w:r w:rsidRPr="002022B6">
        <w:t>Deutsche Forschungsgemeinschaft (DFG)</w:t>
      </w:r>
      <w:r>
        <w:t xml:space="preserve"> (2002) </w:t>
      </w:r>
      <w:r w:rsidR="007D7306" w:rsidRPr="007D7306">
        <w:rPr>
          <w:bCs/>
        </w:rPr>
        <w:t>Tributyl phosphate</w:t>
      </w:r>
      <w:r w:rsidR="007D7306">
        <w:rPr>
          <w:b/>
          <w:bCs/>
        </w:rPr>
        <w:t xml:space="preserve"> </w:t>
      </w:r>
      <w:r>
        <w:t>– MAK value documentation.</w:t>
      </w:r>
    </w:p>
    <w:p w14:paraId="33D2FE0E" w14:textId="77777777" w:rsidR="008E4F1F" w:rsidRDefault="008E4F1F" w:rsidP="008E4F1F">
      <w:pPr>
        <w:rPr>
          <w:b/>
        </w:rPr>
      </w:pPr>
      <w:r w:rsidRPr="002022B6">
        <w:t>Health Council of the Netherlands</w:t>
      </w:r>
      <w:r>
        <w:t xml:space="preserve"> (HCOTN) (</w:t>
      </w:r>
      <w:r w:rsidR="00C46126">
        <w:t>2005</w:t>
      </w:r>
      <w:r>
        <w:t xml:space="preserve">) </w:t>
      </w:r>
      <w:r w:rsidR="00C46126" w:rsidRPr="00C46126">
        <w:t>Tributyl phosphate</w:t>
      </w:r>
      <w:r w:rsidRPr="005F7416">
        <w:t xml:space="preserve">. </w:t>
      </w:r>
      <w:r w:rsidR="00C46126" w:rsidRPr="00C46126">
        <w:t>Health-based Reassessment of Administrative Occupational Exposure Limits</w:t>
      </w:r>
      <w:r w:rsidRPr="005F7416">
        <w:t xml:space="preserve">. The Hague: Health Council of the Netherlands; publication no. </w:t>
      </w:r>
      <w:r w:rsidR="00413414" w:rsidRPr="00413414">
        <w:t>2000/15OSH/158</w:t>
      </w:r>
      <w:r>
        <w:t>.</w:t>
      </w:r>
    </w:p>
    <w:p w14:paraId="2AC677F5" w14:textId="4B298B67" w:rsidR="007D7306" w:rsidRDefault="007D7306" w:rsidP="008E4F1F">
      <w:r w:rsidRPr="007D7306">
        <w:t>European Chemicals Agency (ECHA) (2020) Tributyl phosphate – REACH assessment.</w:t>
      </w:r>
    </w:p>
    <w:p w14:paraId="1C331661" w14:textId="77777777" w:rsidR="009141B0" w:rsidRDefault="009141B0" w:rsidP="008E4F1F">
      <w:r w:rsidRPr="002022B6">
        <w:t>National Industrial Chemicals Notification and Assessment Scheme (NICNAS)</w:t>
      </w:r>
      <w:r>
        <w:t xml:space="preserve"> (2019) </w:t>
      </w:r>
      <w:r w:rsidRPr="009141B0">
        <w:t>Phosphoric acid, tributyl ester</w:t>
      </w:r>
      <w:r w:rsidRPr="0071660C">
        <w:t xml:space="preserve">: Human health </w:t>
      </w:r>
      <w:sdt>
        <w:sdtPr>
          <w:id w:val="-1295753243"/>
          <w:placeholder>
            <w:docPart w:val="8B98D74669454F6CAF0B690949015417"/>
          </w:placeholder>
          <w:temporary/>
          <w:showingPlcHdr/>
        </w:sdtPr>
        <w:sdtEndPr/>
        <w:sdtContent>
          <w:r w:rsidRPr="009141B0">
            <w:t>tier II</w:t>
          </w:r>
        </w:sdtContent>
      </w:sdt>
      <w:r>
        <w:t xml:space="preserve"> </w:t>
      </w:r>
      <w:r w:rsidRPr="0071660C">
        <w:t>assessment</w:t>
      </w:r>
      <w:r>
        <w:t xml:space="preserve"> – IMAP report.</w:t>
      </w:r>
    </w:p>
    <w:p w14:paraId="5B6ED9EA" w14:textId="77777777" w:rsidR="003B2BDA" w:rsidRDefault="003B2BDA" w:rsidP="003B2BDA">
      <w:r w:rsidRPr="00F753A3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6EEE5649" w14:textId="4A1B86C5" w:rsidR="008E4F1F" w:rsidRDefault="008E4F1F" w:rsidP="008E4F1F">
      <w:r w:rsidRPr="00D86E03">
        <w:t>US National Institute for Occupational Safety and Health (NIOSH)</w:t>
      </w:r>
      <w:r>
        <w:t xml:space="preserve"> (</w:t>
      </w:r>
      <w:r w:rsidR="00F753A3">
        <w:t>1994</w:t>
      </w:r>
      <w:r>
        <w:t xml:space="preserve">) Immediately dangerous to life or health concentrations – </w:t>
      </w:r>
      <w:r w:rsidR="00F753A3" w:rsidRPr="00F753A3">
        <w:t>Tributyl phosphate</w:t>
      </w:r>
      <w:r>
        <w:t>.</w:t>
      </w:r>
    </w:p>
    <w:p w14:paraId="45A529E1" w14:textId="7C6E6D75" w:rsidR="007D7306" w:rsidRPr="007D7306" w:rsidRDefault="007D7306" w:rsidP="007D7306">
      <w:r w:rsidRPr="007D7306">
        <w:t>Organisation for Economic Cooperation and Development (OECD) (</w:t>
      </w:r>
      <w:r>
        <w:t>2001</w:t>
      </w:r>
      <w:r w:rsidRPr="007D7306">
        <w:t>) SIDS initial assessment profile – Tributyl phosphate.</w:t>
      </w:r>
    </w:p>
    <w:p w14:paraId="1D0E0DEF" w14:textId="77777777" w:rsidR="007D7306" w:rsidRDefault="007D7306" w:rsidP="008E4F1F">
      <w:pPr>
        <w:rPr>
          <w:b/>
        </w:rPr>
      </w:pPr>
    </w:p>
    <w:p w14:paraId="4871208F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0A28F" w14:textId="77777777" w:rsidR="00B4544E" w:rsidRDefault="00B4544E" w:rsidP="00F43AD5">
      <w:pPr>
        <w:spacing w:after="0" w:line="240" w:lineRule="auto"/>
      </w:pPr>
      <w:r>
        <w:separator/>
      </w:r>
    </w:p>
  </w:endnote>
  <w:endnote w:type="continuationSeparator" w:id="0">
    <w:p w14:paraId="369DEA8F" w14:textId="77777777" w:rsidR="00B4544E" w:rsidRDefault="00B4544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71FA9" w14:textId="77777777" w:rsidR="008264A3" w:rsidRDefault="00826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DCEC6B0" w14:textId="4557DA3F" w:rsidR="00061832" w:rsidRDefault="00061832" w:rsidP="0034744C">
        <w:pPr>
          <w:pStyle w:val="Footer"/>
          <w:rPr>
            <w:sz w:val="18"/>
            <w:szCs w:val="18"/>
          </w:rPr>
        </w:pPr>
        <w:r w:rsidRPr="004458F8">
          <w:rPr>
            <w:b/>
            <w:sz w:val="18"/>
            <w:szCs w:val="18"/>
          </w:rPr>
          <w:t>Tributyl phosphate</w:t>
        </w:r>
        <w:r>
          <w:rPr>
            <w:b/>
            <w:sz w:val="18"/>
            <w:szCs w:val="18"/>
          </w:rPr>
          <w:t xml:space="preserve"> (126-73-8)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>
          <w:rPr>
            <w:sz w:val="18"/>
            <w:szCs w:val="18"/>
          </w:rPr>
          <w:t>20</w:t>
        </w:r>
      </w:p>
      <w:p w14:paraId="20A90024" w14:textId="54CF68CB" w:rsidR="00061832" w:rsidRPr="00F43AD5" w:rsidRDefault="00061832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DD6E40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B6EE0" w14:textId="77777777" w:rsidR="008264A3" w:rsidRDefault="00826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B9691" w14:textId="77777777" w:rsidR="00B4544E" w:rsidRDefault="00B4544E" w:rsidP="00F43AD5">
      <w:pPr>
        <w:spacing w:after="0" w:line="240" w:lineRule="auto"/>
      </w:pPr>
      <w:r>
        <w:separator/>
      </w:r>
    </w:p>
  </w:footnote>
  <w:footnote w:type="continuationSeparator" w:id="0">
    <w:p w14:paraId="248613F1" w14:textId="77777777" w:rsidR="00B4544E" w:rsidRDefault="00B4544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94CBF" w14:textId="77777777" w:rsidR="008264A3" w:rsidRDefault="00826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558C0" w14:textId="77777777" w:rsidR="008264A3" w:rsidRDefault="008264A3" w:rsidP="008264A3">
    <w:pPr>
      <w:pStyle w:val="Header"/>
      <w:jc w:val="right"/>
    </w:pPr>
    <w:r>
      <w:pict w14:anchorId="768AE3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6CC3A957" wp14:editId="2944588E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3A9D22" w14:textId="77777777" w:rsidR="008264A3" w:rsidRDefault="008264A3" w:rsidP="008264A3">
    <w:pPr>
      <w:pStyle w:val="Header"/>
    </w:pPr>
  </w:p>
  <w:p w14:paraId="65AB03F5" w14:textId="77777777" w:rsidR="008264A3" w:rsidRPr="005B2E95" w:rsidRDefault="008264A3" w:rsidP="008264A3">
    <w:pPr>
      <w:pStyle w:val="Header"/>
    </w:pPr>
  </w:p>
  <w:p w14:paraId="20406894" w14:textId="613CDA2D" w:rsidR="00061832" w:rsidRPr="008264A3" w:rsidRDefault="00061832" w:rsidP="008264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93E2C" w14:textId="77777777" w:rsidR="008264A3" w:rsidRDefault="008264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6D282" w14:textId="77777777" w:rsidR="008264A3" w:rsidRDefault="008264A3" w:rsidP="008264A3">
    <w:pPr>
      <w:pStyle w:val="Header"/>
      <w:jc w:val="right"/>
    </w:pPr>
    <w:r>
      <w:pict w14:anchorId="2CB5E5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4A390789" wp14:editId="08E2DC81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669E2B" w14:textId="77777777" w:rsidR="008264A3" w:rsidRDefault="008264A3" w:rsidP="008264A3">
    <w:pPr>
      <w:pStyle w:val="Header"/>
    </w:pPr>
  </w:p>
  <w:p w14:paraId="18CEA267" w14:textId="77777777" w:rsidR="008264A3" w:rsidRPr="005B2E95" w:rsidRDefault="008264A3" w:rsidP="008264A3">
    <w:pPr>
      <w:pStyle w:val="Header"/>
    </w:pPr>
  </w:p>
  <w:p w14:paraId="0DFAE2F6" w14:textId="77777777" w:rsidR="00061832" w:rsidRDefault="00061832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62AE"/>
    <w:multiLevelType w:val="hybridMultilevel"/>
    <w:tmpl w:val="74DA6084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3235E1A"/>
    <w:multiLevelType w:val="hybridMultilevel"/>
    <w:tmpl w:val="48C64FBC"/>
    <w:lvl w:ilvl="0" w:tplc="50E61FC6">
      <w:start w:val="1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F63E4"/>
    <w:multiLevelType w:val="hybridMultilevel"/>
    <w:tmpl w:val="30D4BEBC"/>
    <w:lvl w:ilvl="0" w:tplc="7B68A540">
      <w:start w:val="1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60F17"/>
    <w:multiLevelType w:val="hybridMultilevel"/>
    <w:tmpl w:val="18E443D8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C291834"/>
    <w:multiLevelType w:val="hybridMultilevel"/>
    <w:tmpl w:val="586A41E0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5BB04772"/>
    <w:multiLevelType w:val="hybridMultilevel"/>
    <w:tmpl w:val="2C24C572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BBB6D77"/>
    <w:multiLevelType w:val="hybridMultilevel"/>
    <w:tmpl w:val="71403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6B1"/>
    <w:multiLevelType w:val="hybridMultilevel"/>
    <w:tmpl w:val="B5005DCC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2E30"/>
    <w:rsid w:val="00007B80"/>
    <w:rsid w:val="00013A22"/>
    <w:rsid w:val="00014C3F"/>
    <w:rsid w:val="00017C82"/>
    <w:rsid w:val="000272B5"/>
    <w:rsid w:val="00032B88"/>
    <w:rsid w:val="00037E52"/>
    <w:rsid w:val="00046DF5"/>
    <w:rsid w:val="00052060"/>
    <w:rsid w:val="0005574A"/>
    <w:rsid w:val="00055FE1"/>
    <w:rsid w:val="00056EC2"/>
    <w:rsid w:val="00060B48"/>
    <w:rsid w:val="00060D88"/>
    <w:rsid w:val="00061832"/>
    <w:rsid w:val="000648E9"/>
    <w:rsid w:val="00067F32"/>
    <w:rsid w:val="00071807"/>
    <w:rsid w:val="000803E1"/>
    <w:rsid w:val="00084513"/>
    <w:rsid w:val="00084859"/>
    <w:rsid w:val="00092D94"/>
    <w:rsid w:val="000A6FA1"/>
    <w:rsid w:val="000A7FAE"/>
    <w:rsid w:val="000B0868"/>
    <w:rsid w:val="000B2A38"/>
    <w:rsid w:val="000B3E12"/>
    <w:rsid w:val="000B3E78"/>
    <w:rsid w:val="000B7B48"/>
    <w:rsid w:val="000C096D"/>
    <w:rsid w:val="000C139A"/>
    <w:rsid w:val="000C2053"/>
    <w:rsid w:val="000C248C"/>
    <w:rsid w:val="000D291C"/>
    <w:rsid w:val="000D45DD"/>
    <w:rsid w:val="000E5A54"/>
    <w:rsid w:val="000E63D3"/>
    <w:rsid w:val="000E67CF"/>
    <w:rsid w:val="000F1F5F"/>
    <w:rsid w:val="0010461E"/>
    <w:rsid w:val="00106FAA"/>
    <w:rsid w:val="00113443"/>
    <w:rsid w:val="001269A7"/>
    <w:rsid w:val="00131092"/>
    <w:rsid w:val="001327B4"/>
    <w:rsid w:val="00137C9D"/>
    <w:rsid w:val="00140E6A"/>
    <w:rsid w:val="00146545"/>
    <w:rsid w:val="00146B75"/>
    <w:rsid w:val="00147047"/>
    <w:rsid w:val="0015266D"/>
    <w:rsid w:val="0015288A"/>
    <w:rsid w:val="00152A84"/>
    <w:rsid w:val="00155956"/>
    <w:rsid w:val="00155999"/>
    <w:rsid w:val="00160F47"/>
    <w:rsid w:val="00177CA1"/>
    <w:rsid w:val="00183823"/>
    <w:rsid w:val="00183942"/>
    <w:rsid w:val="001915F6"/>
    <w:rsid w:val="00193C04"/>
    <w:rsid w:val="001A009E"/>
    <w:rsid w:val="001A1287"/>
    <w:rsid w:val="001A3859"/>
    <w:rsid w:val="001A3C9D"/>
    <w:rsid w:val="001A43F8"/>
    <w:rsid w:val="001B79E5"/>
    <w:rsid w:val="001C20EF"/>
    <w:rsid w:val="001D352A"/>
    <w:rsid w:val="001D56F0"/>
    <w:rsid w:val="001D6049"/>
    <w:rsid w:val="001D663B"/>
    <w:rsid w:val="001D7B41"/>
    <w:rsid w:val="001E46DA"/>
    <w:rsid w:val="001E7D80"/>
    <w:rsid w:val="001F2054"/>
    <w:rsid w:val="001F2718"/>
    <w:rsid w:val="001F4B6C"/>
    <w:rsid w:val="001F5AD2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3E28"/>
    <w:rsid w:val="002554BB"/>
    <w:rsid w:val="0025734A"/>
    <w:rsid w:val="00263255"/>
    <w:rsid w:val="00274C7C"/>
    <w:rsid w:val="00276494"/>
    <w:rsid w:val="00277B0C"/>
    <w:rsid w:val="00283A26"/>
    <w:rsid w:val="00297352"/>
    <w:rsid w:val="002A1D18"/>
    <w:rsid w:val="002B1A2C"/>
    <w:rsid w:val="002C34F2"/>
    <w:rsid w:val="002C58FF"/>
    <w:rsid w:val="002C7AFE"/>
    <w:rsid w:val="002D05D2"/>
    <w:rsid w:val="002E0D61"/>
    <w:rsid w:val="002E279A"/>
    <w:rsid w:val="002E4C7B"/>
    <w:rsid w:val="0030024D"/>
    <w:rsid w:val="003033D4"/>
    <w:rsid w:val="0030740C"/>
    <w:rsid w:val="00315833"/>
    <w:rsid w:val="003215EE"/>
    <w:rsid w:val="003224BF"/>
    <w:rsid w:val="003241A8"/>
    <w:rsid w:val="003253F0"/>
    <w:rsid w:val="00327B76"/>
    <w:rsid w:val="003337DA"/>
    <w:rsid w:val="00334EFB"/>
    <w:rsid w:val="00335CDE"/>
    <w:rsid w:val="003365A5"/>
    <w:rsid w:val="003420E2"/>
    <w:rsid w:val="00347079"/>
    <w:rsid w:val="00347192"/>
    <w:rsid w:val="0034744C"/>
    <w:rsid w:val="00351FE0"/>
    <w:rsid w:val="00352615"/>
    <w:rsid w:val="0035412B"/>
    <w:rsid w:val="003567A8"/>
    <w:rsid w:val="00362895"/>
    <w:rsid w:val="00365116"/>
    <w:rsid w:val="00370DBF"/>
    <w:rsid w:val="00374904"/>
    <w:rsid w:val="00383EB6"/>
    <w:rsid w:val="00386093"/>
    <w:rsid w:val="003904A4"/>
    <w:rsid w:val="00391841"/>
    <w:rsid w:val="00391B6D"/>
    <w:rsid w:val="00394922"/>
    <w:rsid w:val="003A0E32"/>
    <w:rsid w:val="003A2B94"/>
    <w:rsid w:val="003B2BDA"/>
    <w:rsid w:val="003B387D"/>
    <w:rsid w:val="003B4172"/>
    <w:rsid w:val="003B524D"/>
    <w:rsid w:val="003C0D58"/>
    <w:rsid w:val="003C53E4"/>
    <w:rsid w:val="003D4FA3"/>
    <w:rsid w:val="003E0807"/>
    <w:rsid w:val="003E51FB"/>
    <w:rsid w:val="003E6B39"/>
    <w:rsid w:val="003F0761"/>
    <w:rsid w:val="003F07E1"/>
    <w:rsid w:val="00401D57"/>
    <w:rsid w:val="004030BC"/>
    <w:rsid w:val="00403F7D"/>
    <w:rsid w:val="00406785"/>
    <w:rsid w:val="004079B4"/>
    <w:rsid w:val="00413414"/>
    <w:rsid w:val="00417A56"/>
    <w:rsid w:val="00420957"/>
    <w:rsid w:val="00422A10"/>
    <w:rsid w:val="00430179"/>
    <w:rsid w:val="00431C9A"/>
    <w:rsid w:val="004414B5"/>
    <w:rsid w:val="00444482"/>
    <w:rsid w:val="00444B42"/>
    <w:rsid w:val="004458F8"/>
    <w:rsid w:val="00445E44"/>
    <w:rsid w:val="004509E2"/>
    <w:rsid w:val="004515EE"/>
    <w:rsid w:val="004529F0"/>
    <w:rsid w:val="004537C9"/>
    <w:rsid w:val="00460A03"/>
    <w:rsid w:val="00472A11"/>
    <w:rsid w:val="00472AAD"/>
    <w:rsid w:val="004744C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04C3"/>
    <w:rsid w:val="004D16A3"/>
    <w:rsid w:val="004D4AA1"/>
    <w:rsid w:val="004D6D68"/>
    <w:rsid w:val="004E316C"/>
    <w:rsid w:val="004E3F33"/>
    <w:rsid w:val="004E5EDD"/>
    <w:rsid w:val="004F41A7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3633A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21C7"/>
    <w:rsid w:val="005C5D16"/>
    <w:rsid w:val="005D3193"/>
    <w:rsid w:val="005D4A6E"/>
    <w:rsid w:val="005E6979"/>
    <w:rsid w:val="005E75CB"/>
    <w:rsid w:val="005F50BD"/>
    <w:rsid w:val="006013C1"/>
    <w:rsid w:val="0060669E"/>
    <w:rsid w:val="00610F2E"/>
    <w:rsid w:val="00611399"/>
    <w:rsid w:val="00624330"/>
    <w:rsid w:val="00624C4E"/>
    <w:rsid w:val="00624FD5"/>
    <w:rsid w:val="00625200"/>
    <w:rsid w:val="00625272"/>
    <w:rsid w:val="00626AB2"/>
    <w:rsid w:val="006363A8"/>
    <w:rsid w:val="00636DB7"/>
    <w:rsid w:val="00650905"/>
    <w:rsid w:val="006532ED"/>
    <w:rsid w:val="006549F2"/>
    <w:rsid w:val="006567B7"/>
    <w:rsid w:val="00656B11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3C6A"/>
    <w:rsid w:val="006B160A"/>
    <w:rsid w:val="006B1F1F"/>
    <w:rsid w:val="006B4E6C"/>
    <w:rsid w:val="006B50B6"/>
    <w:rsid w:val="006D79EA"/>
    <w:rsid w:val="006E4784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41579"/>
    <w:rsid w:val="00745F34"/>
    <w:rsid w:val="00750212"/>
    <w:rsid w:val="00753828"/>
    <w:rsid w:val="00754779"/>
    <w:rsid w:val="0075716D"/>
    <w:rsid w:val="00760A16"/>
    <w:rsid w:val="00762C62"/>
    <w:rsid w:val="00765F14"/>
    <w:rsid w:val="00767B2A"/>
    <w:rsid w:val="00770A32"/>
    <w:rsid w:val="00770E31"/>
    <w:rsid w:val="007770F1"/>
    <w:rsid w:val="00783FB1"/>
    <w:rsid w:val="00785CDD"/>
    <w:rsid w:val="00791847"/>
    <w:rsid w:val="00792290"/>
    <w:rsid w:val="007925F0"/>
    <w:rsid w:val="00792AA3"/>
    <w:rsid w:val="007939B3"/>
    <w:rsid w:val="0079509C"/>
    <w:rsid w:val="00796708"/>
    <w:rsid w:val="007B1B42"/>
    <w:rsid w:val="007C30EB"/>
    <w:rsid w:val="007D31F7"/>
    <w:rsid w:val="007D6C7E"/>
    <w:rsid w:val="007D7306"/>
    <w:rsid w:val="007E063C"/>
    <w:rsid w:val="007E2A4B"/>
    <w:rsid w:val="007E307D"/>
    <w:rsid w:val="007E6A4E"/>
    <w:rsid w:val="007E6C94"/>
    <w:rsid w:val="007F1005"/>
    <w:rsid w:val="007F25E0"/>
    <w:rsid w:val="007F5328"/>
    <w:rsid w:val="00802E6D"/>
    <w:rsid w:val="00804F5A"/>
    <w:rsid w:val="00810C6D"/>
    <w:rsid w:val="00812887"/>
    <w:rsid w:val="008213B3"/>
    <w:rsid w:val="0082433E"/>
    <w:rsid w:val="008264A3"/>
    <w:rsid w:val="00826F21"/>
    <w:rsid w:val="00827212"/>
    <w:rsid w:val="00834CC8"/>
    <w:rsid w:val="00835E00"/>
    <w:rsid w:val="00837113"/>
    <w:rsid w:val="00840198"/>
    <w:rsid w:val="008414E4"/>
    <w:rsid w:val="00843E21"/>
    <w:rsid w:val="0084508E"/>
    <w:rsid w:val="00857A8A"/>
    <w:rsid w:val="008630EE"/>
    <w:rsid w:val="00864D13"/>
    <w:rsid w:val="00867879"/>
    <w:rsid w:val="00871CD5"/>
    <w:rsid w:val="00871DB7"/>
    <w:rsid w:val="00872C1D"/>
    <w:rsid w:val="008745A2"/>
    <w:rsid w:val="008768A8"/>
    <w:rsid w:val="0088693D"/>
    <w:rsid w:val="0088798F"/>
    <w:rsid w:val="00887E4B"/>
    <w:rsid w:val="008915C8"/>
    <w:rsid w:val="008A36CF"/>
    <w:rsid w:val="008A3BC4"/>
    <w:rsid w:val="008B403C"/>
    <w:rsid w:val="008B651B"/>
    <w:rsid w:val="008B7983"/>
    <w:rsid w:val="008C2511"/>
    <w:rsid w:val="008D026D"/>
    <w:rsid w:val="008D23AB"/>
    <w:rsid w:val="008D4078"/>
    <w:rsid w:val="008D4B8B"/>
    <w:rsid w:val="008D5A78"/>
    <w:rsid w:val="008E3FF4"/>
    <w:rsid w:val="008E4F1F"/>
    <w:rsid w:val="008E7B64"/>
    <w:rsid w:val="008F5DCD"/>
    <w:rsid w:val="00900951"/>
    <w:rsid w:val="00901448"/>
    <w:rsid w:val="009118A6"/>
    <w:rsid w:val="009141B0"/>
    <w:rsid w:val="00916909"/>
    <w:rsid w:val="00916EC0"/>
    <w:rsid w:val="00920467"/>
    <w:rsid w:val="00921DE7"/>
    <w:rsid w:val="0092284D"/>
    <w:rsid w:val="0093041A"/>
    <w:rsid w:val="00930714"/>
    <w:rsid w:val="00930D4C"/>
    <w:rsid w:val="00931B03"/>
    <w:rsid w:val="009323B9"/>
    <w:rsid w:val="00932DCE"/>
    <w:rsid w:val="0093327E"/>
    <w:rsid w:val="00934028"/>
    <w:rsid w:val="00936A38"/>
    <w:rsid w:val="0093760E"/>
    <w:rsid w:val="00946044"/>
    <w:rsid w:val="0094660B"/>
    <w:rsid w:val="00946A33"/>
    <w:rsid w:val="00951EAE"/>
    <w:rsid w:val="0095260E"/>
    <w:rsid w:val="009578DD"/>
    <w:rsid w:val="00961124"/>
    <w:rsid w:val="009621B6"/>
    <w:rsid w:val="00974F2D"/>
    <w:rsid w:val="00977524"/>
    <w:rsid w:val="00977E88"/>
    <w:rsid w:val="00984920"/>
    <w:rsid w:val="00986DB9"/>
    <w:rsid w:val="0099303A"/>
    <w:rsid w:val="009971C2"/>
    <w:rsid w:val="009A1254"/>
    <w:rsid w:val="009B2FF2"/>
    <w:rsid w:val="009B380C"/>
    <w:rsid w:val="009B4843"/>
    <w:rsid w:val="009B5AE2"/>
    <w:rsid w:val="009B6543"/>
    <w:rsid w:val="009C199D"/>
    <w:rsid w:val="009C278F"/>
    <w:rsid w:val="009C2B94"/>
    <w:rsid w:val="009C318E"/>
    <w:rsid w:val="009C4165"/>
    <w:rsid w:val="009C5874"/>
    <w:rsid w:val="009C751F"/>
    <w:rsid w:val="009D3B5A"/>
    <w:rsid w:val="009E0C05"/>
    <w:rsid w:val="009E0D1C"/>
    <w:rsid w:val="009E2214"/>
    <w:rsid w:val="009E355A"/>
    <w:rsid w:val="009E63E2"/>
    <w:rsid w:val="009F0042"/>
    <w:rsid w:val="009F04D2"/>
    <w:rsid w:val="009F05CF"/>
    <w:rsid w:val="009F0F3A"/>
    <w:rsid w:val="009F704E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0C77"/>
    <w:rsid w:val="00A53681"/>
    <w:rsid w:val="00A55AE3"/>
    <w:rsid w:val="00A633D4"/>
    <w:rsid w:val="00A6461A"/>
    <w:rsid w:val="00A84504"/>
    <w:rsid w:val="00A8672F"/>
    <w:rsid w:val="00A93057"/>
    <w:rsid w:val="00A968B0"/>
    <w:rsid w:val="00AA060F"/>
    <w:rsid w:val="00AB2672"/>
    <w:rsid w:val="00AB2817"/>
    <w:rsid w:val="00AB43C4"/>
    <w:rsid w:val="00AC32E7"/>
    <w:rsid w:val="00AC3A9F"/>
    <w:rsid w:val="00AC6D2F"/>
    <w:rsid w:val="00AE0DDA"/>
    <w:rsid w:val="00AE0E47"/>
    <w:rsid w:val="00AE2745"/>
    <w:rsid w:val="00AE2F64"/>
    <w:rsid w:val="00AE3AA5"/>
    <w:rsid w:val="00AF42CB"/>
    <w:rsid w:val="00AF483F"/>
    <w:rsid w:val="00AF5E07"/>
    <w:rsid w:val="00AF5F06"/>
    <w:rsid w:val="00B00A25"/>
    <w:rsid w:val="00B06B61"/>
    <w:rsid w:val="00B1422A"/>
    <w:rsid w:val="00B1765C"/>
    <w:rsid w:val="00B213C4"/>
    <w:rsid w:val="00B40A6D"/>
    <w:rsid w:val="00B40C60"/>
    <w:rsid w:val="00B4544E"/>
    <w:rsid w:val="00B479A9"/>
    <w:rsid w:val="00B52EDF"/>
    <w:rsid w:val="00B62F43"/>
    <w:rsid w:val="00B71188"/>
    <w:rsid w:val="00B755D0"/>
    <w:rsid w:val="00B76A41"/>
    <w:rsid w:val="00B87D4C"/>
    <w:rsid w:val="00B93646"/>
    <w:rsid w:val="00BA0B38"/>
    <w:rsid w:val="00BA1DBB"/>
    <w:rsid w:val="00BA4510"/>
    <w:rsid w:val="00BA483E"/>
    <w:rsid w:val="00BA529A"/>
    <w:rsid w:val="00BB612A"/>
    <w:rsid w:val="00BC4EF2"/>
    <w:rsid w:val="00BD499F"/>
    <w:rsid w:val="00BD4DC3"/>
    <w:rsid w:val="00BD56DE"/>
    <w:rsid w:val="00BF2406"/>
    <w:rsid w:val="00BF3227"/>
    <w:rsid w:val="00BF575C"/>
    <w:rsid w:val="00C02587"/>
    <w:rsid w:val="00C06E43"/>
    <w:rsid w:val="00C16315"/>
    <w:rsid w:val="00C16F64"/>
    <w:rsid w:val="00C3091E"/>
    <w:rsid w:val="00C40FF1"/>
    <w:rsid w:val="00C419E2"/>
    <w:rsid w:val="00C46126"/>
    <w:rsid w:val="00C5020E"/>
    <w:rsid w:val="00C57452"/>
    <w:rsid w:val="00C61EDF"/>
    <w:rsid w:val="00C6239D"/>
    <w:rsid w:val="00C6594B"/>
    <w:rsid w:val="00C66A1A"/>
    <w:rsid w:val="00C67FFB"/>
    <w:rsid w:val="00C7054C"/>
    <w:rsid w:val="00C7155E"/>
    <w:rsid w:val="00C71D1E"/>
    <w:rsid w:val="00C71D7D"/>
    <w:rsid w:val="00C74833"/>
    <w:rsid w:val="00C754BD"/>
    <w:rsid w:val="00C850A0"/>
    <w:rsid w:val="00C85A86"/>
    <w:rsid w:val="00C91C7C"/>
    <w:rsid w:val="00C978F0"/>
    <w:rsid w:val="00CA58FE"/>
    <w:rsid w:val="00CA7136"/>
    <w:rsid w:val="00CB1CB1"/>
    <w:rsid w:val="00CB1D5B"/>
    <w:rsid w:val="00CB6BC1"/>
    <w:rsid w:val="00CB6CB8"/>
    <w:rsid w:val="00CC1A68"/>
    <w:rsid w:val="00CC2123"/>
    <w:rsid w:val="00CD2BFD"/>
    <w:rsid w:val="00CD5DBB"/>
    <w:rsid w:val="00CE1BC6"/>
    <w:rsid w:val="00CE5AD6"/>
    <w:rsid w:val="00CE617F"/>
    <w:rsid w:val="00CE78EF"/>
    <w:rsid w:val="00D048F7"/>
    <w:rsid w:val="00D0517E"/>
    <w:rsid w:val="00D12D0B"/>
    <w:rsid w:val="00D140FC"/>
    <w:rsid w:val="00D21D8C"/>
    <w:rsid w:val="00D31357"/>
    <w:rsid w:val="00D33220"/>
    <w:rsid w:val="00D334D1"/>
    <w:rsid w:val="00D44C89"/>
    <w:rsid w:val="00D51501"/>
    <w:rsid w:val="00D516CD"/>
    <w:rsid w:val="00D668E6"/>
    <w:rsid w:val="00D6704B"/>
    <w:rsid w:val="00D70670"/>
    <w:rsid w:val="00D74D80"/>
    <w:rsid w:val="00D761E8"/>
    <w:rsid w:val="00D76624"/>
    <w:rsid w:val="00D87570"/>
    <w:rsid w:val="00D91CB9"/>
    <w:rsid w:val="00D97989"/>
    <w:rsid w:val="00D97D8D"/>
    <w:rsid w:val="00DA352E"/>
    <w:rsid w:val="00DC6F35"/>
    <w:rsid w:val="00DC7694"/>
    <w:rsid w:val="00DD1BF6"/>
    <w:rsid w:val="00DD208D"/>
    <w:rsid w:val="00DD2F9B"/>
    <w:rsid w:val="00DD6E40"/>
    <w:rsid w:val="00DE2513"/>
    <w:rsid w:val="00DE26E8"/>
    <w:rsid w:val="00DE6976"/>
    <w:rsid w:val="00DF6F36"/>
    <w:rsid w:val="00E0084C"/>
    <w:rsid w:val="00E0138B"/>
    <w:rsid w:val="00E025AB"/>
    <w:rsid w:val="00E02B23"/>
    <w:rsid w:val="00E06F40"/>
    <w:rsid w:val="00E07CE8"/>
    <w:rsid w:val="00E164E2"/>
    <w:rsid w:val="00E178E5"/>
    <w:rsid w:val="00E26A07"/>
    <w:rsid w:val="00E32595"/>
    <w:rsid w:val="00E34477"/>
    <w:rsid w:val="00E37CFD"/>
    <w:rsid w:val="00E41A26"/>
    <w:rsid w:val="00E46BCB"/>
    <w:rsid w:val="00E51CAF"/>
    <w:rsid w:val="00E60F04"/>
    <w:rsid w:val="00E62AAC"/>
    <w:rsid w:val="00E65C95"/>
    <w:rsid w:val="00E67C2F"/>
    <w:rsid w:val="00E67EF5"/>
    <w:rsid w:val="00E804EA"/>
    <w:rsid w:val="00E80A71"/>
    <w:rsid w:val="00E82337"/>
    <w:rsid w:val="00E876A0"/>
    <w:rsid w:val="00E92499"/>
    <w:rsid w:val="00E949AF"/>
    <w:rsid w:val="00E96077"/>
    <w:rsid w:val="00EA0A06"/>
    <w:rsid w:val="00EA6243"/>
    <w:rsid w:val="00EA74AB"/>
    <w:rsid w:val="00EB3D1B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429E"/>
    <w:rsid w:val="00F56DD0"/>
    <w:rsid w:val="00F6491C"/>
    <w:rsid w:val="00F67BBB"/>
    <w:rsid w:val="00F753A3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4DCD7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92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29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29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29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053818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8B98D74669454F6CAF0B690949015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66D46-49DF-4827-82C4-2513920D865F}"/>
      </w:docPartPr>
      <w:docPartBody>
        <w:p w:rsidR="000433DC" w:rsidRDefault="00A93FBF" w:rsidP="00A93FBF">
          <w:pPr>
            <w:pStyle w:val="8B98D74669454F6CAF0B690949015417"/>
          </w:pPr>
          <w:r>
            <w:rPr>
              <w:color w:val="00B050"/>
            </w:rPr>
            <w:t>tier </w:t>
          </w:r>
          <w:r w:rsidRPr="0071660C">
            <w:rPr>
              <w:color w:val="00B050"/>
            </w:rPr>
            <w:t>II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433DC"/>
    <w:rsid w:val="00053818"/>
    <w:rsid w:val="000F1D3E"/>
    <w:rsid w:val="003169E5"/>
    <w:rsid w:val="00347D16"/>
    <w:rsid w:val="003E0149"/>
    <w:rsid w:val="004D4159"/>
    <w:rsid w:val="00755FBF"/>
    <w:rsid w:val="00A93FBF"/>
    <w:rsid w:val="00AF40AC"/>
    <w:rsid w:val="00C212B4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2B4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DD6CDB017CF441CA8CB74E73B5C74077">
    <w:name w:val="DD6CDB017CF441CA8CB74E73B5C74077"/>
    <w:rsid w:val="00A93FBF"/>
    <w:rPr>
      <w:lang w:val="en-US" w:eastAsia="en-US"/>
    </w:rPr>
  </w:style>
  <w:style w:type="paragraph" w:customStyle="1" w:styleId="36B3340DACB7460B9338C95B15015395">
    <w:name w:val="36B3340DACB7460B9338C95B15015395"/>
    <w:rsid w:val="00A93FBF"/>
    <w:rPr>
      <w:lang w:val="en-US" w:eastAsia="en-US"/>
    </w:rPr>
  </w:style>
  <w:style w:type="paragraph" w:customStyle="1" w:styleId="8B98D74669454F6CAF0B690949015417">
    <w:name w:val="8B98D74669454F6CAF0B690949015417"/>
    <w:rsid w:val="00A93FBF"/>
    <w:rPr>
      <w:lang w:val="en-US" w:eastAsia="en-US"/>
    </w:rPr>
  </w:style>
  <w:style w:type="paragraph" w:customStyle="1" w:styleId="F2B187F8DD764492B3643506C3B1BEDF">
    <w:name w:val="F2B187F8DD764492B3643506C3B1BEDF"/>
    <w:rsid w:val="00AF40AC"/>
  </w:style>
  <w:style w:type="paragraph" w:customStyle="1" w:styleId="87BC95F394524FFF9233D8EA2C0AD9D8">
    <w:name w:val="87BC95F394524FFF9233D8EA2C0AD9D8"/>
    <w:rsid w:val="00AF40AC"/>
  </w:style>
  <w:style w:type="paragraph" w:customStyle="1" w:styleId="F0E413DB93624F44A33BCDAD94F2078B">
    <w:name w:val="F0E413DB93624F44A33BCDAD94F2078B"/>
    <w:rsid w:val="00AF40AC"/>
  </w:style>
  <w:style w:type="paragraph" w:customStyle="1" w:styleId="E95A8087ADAD4AF38A322B840B7994D5">
    <w:name w:val="E95A8087ADAD4AF38A322B840B7994D5"/>
    <w:rsid w:val="00C21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56B7-1530-4443-A0C1-7EADFD4030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C65A8-9663-414D-8E3E-B2355774C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F4EEC-6162-4EFE-9134-E895D9B0A3DF}">
  <ds:schemaRefs>
    <ds:schemaRef ds:uri="http://schemas.microsoft.com/office/infopath/2007/PartnerControls"/>
    <ds:schemaRef ds:uri="bf54d604-3e62-4e70-ba33-9e9084b96a66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D3ED26-0BEC-4DB5-A7C9-2242318A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2020-05-13T05:00:00Z</dcterms:created>
  <dcterms:modified xsi:type="dcterms:W3CDTF">2020-07-21T01:47:00Z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