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4DC249E0" w14:textId="77777777" w:rsidR="00BD499F" w:rsidRPr="004C23F4" w:rsidRDefault="00104BF8" w:rsidP="00B40C60">
          <w:pPr>
            <w:pStyle w:val="Heading1"/>
            <w:jc w:val="center"/>
            <w:rPr>
              <w:rFonts w:ascii="Arial" w:hAnsi="Arial" w:cs="Arial"/>
            </w:rPr>
          </w:pPr>
          <w:r w:rsidRPr="00104BF8">
            <w:rPr>
              <w:rFonts w:ascii="Arial" w:hAnsi="Arial" w:cs="Arial"/>
            </w:rPr>
            <w:t>Trichloroethylene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0"/>
        <w:gridCol w:w="5046"/>
      </w:tblGrid>
      <w:tr w:rsidR="00F43AD5" w:rsidRPr="004C23F4" w14:paraId="0462C7BF" w14:textId="77777777" w:rsidTr="00BA2058">
        <w:trPr>
          <w:cantSplit/>
          <w:tblHeader/>
        </w:trPr>
        <w:tc>
          <w:tcPr>
            <w:tcW w:w="3980" w:type="dxa"/>
          </w:tcPr>
          <w:p w14:paraId="3198E786" w14:textId="77777777" w:rsidR="00F43AD5" w:rsidRPr="00921DE7" w:rsidRDefault="00CB1CB1" w:rsidP="00B76A41">
            <w:pPr>
              <w:pStyle w:val="Tablerowright"/>
            </w:pPr>
            <w:r w:rsidRPr="00921DE7">
              <w:t>CAS number:</w:t>
            </w:r>
          </w:p>
        </w:tc>
        <w:tc>
          <w:tcPr>
            <w:tcW w:w="5046" w:type="dxa"/>
          </w:tcPr>
          <w:p w14:paraId="51F6CEA7" w14:textId="77777777" w:rsidR="00F43AD5" w:rsidRPr="00717D45" w:rsidRDefault="00104BF8" w:rsidP="00B76A41">
            <w:pPr>
              <w:pStyle w:val="Tablefont"/>
            </w:pPr>
            <w:r>
              <w:t>79-01-6</w:t>
            </w:r>
          </w:p>
        </w:tc>
      </w:tr>
      <w:tr w:rsidR="00F43AD5" w:rsidRPr="0095725F" w14:paraId="06666AC8" w14:textId="77777777" w:rsidTr="00BA2058">
        <w:trPr>
          <w:cantSplit/>
        </w:trPr>
        <w:tc>
          <w:tcPr>
            <w:tcW w:w="3980" w:type="dxa"/>
          </w:tcPr>
          <w:p w14:paraId="5C958D27" w14:textId="77777777" w:rsidR="00F43AD5" w:rsidRPr="00921DE7" w:rsidRDefault="00CB1CB1" w:rsidP="00B76A41">
            <w:pPr>
              <w:pStyle w:val="Tablerowright"/>
            </w:pPr>
            <w:r w:rsidRPr="00921DE7">
              <w:t>Synonyms:</w:t>
            </w:r>
          </w:p>
        </w:tc>
        <w:tc>
          <w:tcPr>
            <w:tcW w:w="5046" w:type="dxa"/>
          </w:tcPr>
          <w:p w14:paraId="7054F5CB" w14:textId="77777777" w:rsidR="00F43AD5" w:rsidRPr="00FC52D8" w:rsidRDefault="00104BF8" w:rsidP="00B76A41">
            <w:pPr>
              <w:pStyle w:val="Tablefont"/>
              <w:rPr>
                <w:lang w:val="it-IT"/>
              </w:rPr>
            </w:pPr>
            <w:r w:rsidRPr="00FC52D8">
              <w:rPr>
                <w:lang w:val="it-IT"/>
              </w:rPr>
              <w:t>1-Chloro-2, 2-dichloroethylene, ethylene trichloride, TCE, 1,1,2-TCE, tri</w:t>
            </w:r>
            <w:r w:rsidR="00697B82" w:rsidRPr="00FC52D8">
              <w:rPr>
                <w:lang w:val="it-IT"/>
              </w:rPr>
              <w:t>, acetylene trichloride, trilene</w:t>
            </w:r>
          </w:p>
        </w:tc>
      </w:tr>
      <w:tr w:rsidR="00F43AD5" w:rsidRPr="004C23F4" w14:paraId="287BF240" w14:textId="77777777" w:rsidTr="00BA2058">
        <w:trPr>
          <w:cantSplit/>
        </w:trPr>
        <w:tc>
          <w:tcPr>
            <w:tcW w:w="3980" w:type="dxa"/>
          </w:tcPr>
          <w:p w14:paraId="221B1BDA" w14:textId="77777777" w:rsidR="00F43AD5" w:rsidRPr="00921DE7" w:rsidRDefault="00CB1CB1" w:rsidP="00B76A41">
            <w:pPr>
              <w:pStyle w:val="Tablerowright"/>
            </w:pPr>
            <w:r w:rsidRPr="00921DE7">
              <w:t>Chemical formula:</w:t>
            </w:r>
          </w:p>
        </w:tc>
        <w:tc>
          <w:tcPr>
            <w:tcW w:w="5046" w:type="dxa"/>
          </w:tcPr>
          <w:p w14:paraId="05083F95" w14:textId="77777777" w:rsidR="00F43AD5" w:rsidRPr="00717D45" w:rsidRDefault="003B7D92" w:rsidP="00B76A41">
            <w:pPr>
              <w:pStyle w:val="Tablefont"/>
            </w:pPr>
            <w:r>
              <w:t>C</w:t>
            </w:r>
            <w:r w:rsidRPr="003B7D92">
              <w:rPr>
                <w:vertAlign w:val="subscript"/>
              </w:rPr>
              <w:t>2</w:t>
            </w:r>
            <w:r>
              <w:t>HCl</w:t>
            </w:r>
            <w:r w:rsidRPr="003B7D92">
              <w:rPr>
                <w:vertAlign w:val="subscript"/>
              </w:rPr>
              <w:t>3</w:t>
            </w:r>
          </w:p>
        </w:tc>
      </w:tr>
    </w:tbl>
    <w:p w14:paraId="360940CA"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8B583A">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55D903E1" w14:textId="77777777" w:rsidTr="00037E52">
        <w:trPr>
          <w:cantSplit/>
          <w:tblHeader/>
        </w:trPr>
        <w:tc>
          <w:tcPr>
            <w:tcW w:w="4010" w:type="dxa"/>
            <w:vAlign w:val="center"/>
          </w:tcPr>
          <w:p w14:paraId="1C07606C" w14:textId="77777777" w:rsidR="002C7AFE" w:rsidRPr="002C58FF" w:rsidRDefault="00921DE7" w:rsidP="00921DE7">
            <w:pPr>
              <w:pStyle w:val="Tablerowright"/>
            </w:pPr>
            <w:r>
              <w:t>TWA:</w:t>
            </w:r>
          </w:p>
        </w:tc>
        <w:tc>
          <w:tcPr>
            <w:tcW w:w="5016" w:type="dxa"/>
          </w:tcPr>
          <w:p w14:paraId="620ADD4F" w14:textId="77777777" w:rsidR="002C7AFE" w:rsidRPr="00EB3D1B" w:rsidRDefault="00193B91" w:rsidP="00017C82">
            <w:pPr>
              <w:pStyle w:val="Tablefont"/>
              <w:rPr>
                <w:b/>
              </w:rPr>
            </w:pPr>
            <w:r>
              <w:rPr>
                <w:b/>
              </w:rPr>
              <w:t>10 ppm</w:t>
            </w:r>
          </w:p>
        </w:tc>
      </w:tr>
      <w:tr w:rsidR="00037E52" w:rsidRPr="004C23F4" w14:paraId="723F2747" w14:textId="77777777" w:rsidTr="00037E52">
        <w:trPr>
          <w:cantSplit/>
        </w:trPr>
        <w:tc>
          <w:tcPr>
            <w:tcW w:w="4010" w:type="dxa"/>
            <w:vAlign w:val="center"/>
          </w:tcPr>
          <w:p w14:paraId="0176A2F6" w14:textId="77777777" w:rsidR="00037E52" w:rsidRPr="002C58FF" w:rsidRDefault="00037E52" w:rsidP="00037E52">
            <w:pPr>
              <w:pStyle w:val="Tablerowright"/>
            </w:pPr>
            <w:r w:rsidRPr="002C58FF">
              <w:t>STEL</w:t>
            </w:r>
            <w:r>
              <w:t>:</w:t>
            </w:r>
          </w:p>
        </w:tc>
        <w:tc>
          <w:tcPr>
            <w:tcW w:w="5016" w:type="dxa"/>
          </w:tcPr>
          <w:p w14:paraId="3F567123" w14:textId="77777777" w:rsidR="00037E52" w:rsidRPr="00EB3D1B" w:rsidRDefault="00193B91" w:rsidP="00037E52">
            <w:pPr>
              <w:pStyle w:val="Tablefont"/>
              <w:rPr>
                <w:b/>
              </w:rPr>
            </w:pPr>
            <w:r>
              <w:rPr>
                <w:b/>
              </w:rPr>
              <w:t>40 ppm</w:t>
            </w:r>
          </w:p>
        </w:tc>
      </w:tr>
      <w:tr w:rsidR="00037E52" w:rsidRPr="004C23F4" w14:paraId="36C02520" w14:textId="77777777" w:rsidTr="00037E52">
        <w:trPr>
          <w:cantSplit/>
        </w:trPr>
        <w:tc>
          <w:tcPr>
            <w:tcW w:w="4010" w:type="dxa"/>
            <w:vAlign w:val="center"/>
          </w:tcPr>
          <w:p w14:paraId="7BD2B2BE" w14:textId="77777777" w:rsidR="00037E52" w:rsidRPr="002C58FF" w:rsidRDefault="00037E52" w:rsidP="00037E52">
            <w:pPr>
              <w:pStyle w:val="Tablerowright"/>
            </w:pPr>
            <w:r>
              <w:t>Peak limitation:</w:t>
            </w:r>
          </w:p>
        </w:tc>
        <w:tc>
          <w:tcPr>
            <w:tcW w:w="5016" w:type="dxa"/>
          </w:tcPr>
          <w:p w14:paraId="5D202F36" w14:textId="77777777" w:rsidR="00037E52" w:rsidRPr="00EB3D1B" w:rsidRDefault="00037E52" w:rsidP="00037E52">
            <w:pPr>
              <w:pStyle w:val="Tablefont"/>
              <w:rPr>
                <w:b/>
              </w:rPr>
            </w:pPr>
            <w:r>
              <w:rPr>
                <w:b/>
              </w:rPr>
              <w:t>—</w:t>
            </w:r>
          </w:p>
        </w:tc>
      </w:tr>
      <w:tr w:rsidR="00037E52" w:rsidRPr="004C23F4" w14:paraId="31D0524B" w14:textId="77777777" w:rsidTr="00037E52">
        <w:trPr>
          <w:cantSplit/>
        </w:trPr>
        <w:tc>
          <w:tcPr>
            <w:tcW w:w="4010" w:type="dxa"/>
          </w:tcPr>
          <w:p w14:paraId="045D15CB"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0219C612" w14:textId="77777777" w:rsidR="00037E52" w:rsidRPr="00EB3D1B" w:rsidRDefault="00193B91" w:rsidP="00037E52">
            <w:pPr>
              <w:pStyle w:val="Tablefont"/>
              <w:rPr>
                <w:b/>
              </w:rPr>
            </w:pPr>
            <w:proofErr w:type="spellStart"/>
            <w:r>
              <w:rPr>
                <w:b/>
              </w:rPr>
              <w:t>Carc</w:t>
            </w:r>
            <w:proofErr w:type="spellEnd"/>
            <w:r>
              <w:rPr>
                <w:b/>
              </w:rPr>
              <w:t>. 1B</w:t>
            </w:r>
          </w:p>
        </w:tc>
      </w:tr>
      <w:tr w:rsidR="00037E52" w:rsidRPr="004C23F4" w14:paraId="37C54350" w14:textId="77777777" w:rsidTr="00037E52">
        <w:trPr>
          <w:cantSplit/>
        </w:trPr>
        <w:tc>
          <w:tcPr>
            <w:tcW w:w="4010" w:type="dxa"/>
            <w:vAlign w:val="center"/>
          </w:tcPr>
          <w:p w14:paraId="1FF1D21B" w14:textId="77777777" w:rsidR="00037E52" w:rsidRPr="002C58FF" w:rsidRDefault="00037E52" w:rsidP="00037E52">
            <w:pPr>
              <w:pStyle w:val="Tablerowright"/>
            </w:pPr>
            <w:r>
              <w:t>IDLH:</w:t>
            </w:r>
          </w:p>
        </w:tc>
        <w:tc>
          <w:tcPr>
            <w:tcW w:w="5016" w:type="dxa"/>
          </w:tcPr>
          <w:p w14:paraId="1B160B89" w14:textId="77777777" w:rsidR="00037E52" w:rsidRPr="00EB3D1B" w:rsidRDefault="002F364F" w:rsidP="00037E52">
            <w:pPr>
              <w:pStyle w:val="Tablefont"/>
              <w:rPr>
                <w:b/>
              </w:rPr>
            </w:pPr>
            <w:r>
              <w:rPr>
                <w:b/>
              </w:rPr>
              <w:t>1,000 ppm</w:t>
            </w:r>
          </w:p>
        </w:tc>
      </w:tr>
      <w:tr w:rsidR="00155999" w:rsidRPr="004C23F4" w14:paraId="0AF8D81D" w14:textId="77777777" w:rsidTr="00385E54">
        <w:trPr>
          <w:cantSplit/>
        </w:trPr>
        <w:tc>
          <w:tcPr>
            <w:tcW w:w="9026" w:type="dxa"/>
            <w:gridSpan w:val="2"/>
            <w:vAlign w:val="center"/>
          </w:tcPr>
          <w:p w14:paraId="25B424E9" w14:textId="77777777" w:rsidR="00155999" w:rsidRPr="00EB3D1B" w:rsidRDefault="00155999" w:rsidP="00037E52">
            <w:pPr>
              <w:pStyle w:val="Tablefont"/>
              <w:rPr>
                <w:b/>
              </w:rPr>
            </w:pPr>
            <w:r w:rsidRPr="00376A11">
              <w:rPr>
                <w:b/>
                <w:bCs/>
              </w:rPr>
              <w:t>Sampling and analysis:</w:t>
            </w:r>
            <w:r w:rsidRPr="00EC521E">
              <w:rPr>
                <w:rStyle w:val="WESstatus"/>
                <w:color w:val="auto"/>
              </w:rPr>
              <w:t xml:space="preserve"> </w:t>
            </w:r>
            <w:sdt>
              <w:sdtPr>
                <w:rPr>
                  <w:rStyle w:val="WESstatus"/>
                  <w:bC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1415E9" w:rsidRPr="00376A11">
                  <w:rPr>
                    <w:rStyle w:val="WESstatus"/>
                    <w:bCs/>
                    <w:color w:val="auto"/>
                  </w:rPr>
                  <w:t xml:space="preserve">The recommended value is quantifiable through available sampling and analysis techniques. </w:t>
                </w:r>
              </w:sdtContent>
            </w:sdt>
          </w:p>
        </w:tc>
      </w:tr>
    </w:tbl>
    <w:p w14:paraId="07877F5E" w14:textId="77777777" w:rsidR="00CB1CB1" w:rsidRPr="003365A5" w:rsidRDefault="00F10C97" w:rsidP="003365A5">
      <w:pPr>
        <w:pStyle w:val="Heading2"/>
      </w:pPr>
      <w:r>
        <w:t>Recommendation and basis for workplace exposure standard</w:t>
      </w:r>
    </w:p>
    <w:p w14:paraId="742E00C7" w14:textId="77777777" w:rsidR="006639B4" w:rsidRDefault="00193B91" w:rsidP="000C139A">
      <w:pPr>
        <w:rPr>
          <w:rFonts w:cs="Arial"/>
        </w:rPr>
      </w:pPr>
      <w:r>
        <w:rPr>
          <w:rFonts w:cs="Arial"/>
        </w:rPr>
        <w:t xml:space="preserve">A TWA of 10 ppm is recommended to protect for effects on the </w:t>
      </w:r>
      <w:r w:rsidR="00FF3CF5">
        <w:rPr>
          <w:rFonts w:cs="Arial"/>
        </w:rPr>
        <w:t>c</w:t>
      </w:r>
      <w:r>
        <w:rPr>
          <w:rFonts w:cs="Arial"/>
        </w:rPr>
        <w:t xml:space="preserve">entral </w:t>
      </w:r>
      <w:r w:rsidR="00FF3CF5">
        <w:rPr>
          <w:rFonts w:cs="Arial"/>
        </w:rPr>
        <w:t>n</w:t>
      </w:r>
      <w:r>
        <w:rPr>
          <w:rFonts w:cs="Arial"/>
        </w:rPr>
        <w:t xml:space="preserve">ervous </w:t>
      </w:r>
      <w:r w:rsidR="00FF3CF5">
        <w:rPr>
          <w:rFonts w:cs="Arial"/>
        </w:rPr>
        <w:t>s</w:t>
      </w:r>
      <w:r>
        <w:rPr>
          <w:rFonts w:cs="Arial"/>
        </w:rPr>
        <w:t xml:space="preserve">ystem (CNS), renal </w:t>
      </w:r>
      <w:r w:rsidR="00FF3CF5">
        <w:rPr>
          <w:rFonts w:cs="Arial"/>
        </w:rPr>
        <w:t xml:space="preserve">(kidney) </w:t>
      </w:r>
      <w:r>
        <w:rPr>
          <w:rFonts w:cs="Arial"/>
        </w:rPr>
        <w:t>toxicity and cancer</w:t>
      </w:r>
      <w:r w:rsidR="00FF3CF5">
        <w:rPr>
          <w:rFonts w:cs="Arial"/>
        </w:rPr>
        <w:t xml:space="preserve"> in exposed workers</w:t>
      </w:r>
      <w:r>
        <w:rPr>
          <w:rFonts w:cs="Arial"/>
        </w:rPr>
        <w:t>.</w:t>
      </w:r>
    </w:p>
    <w:p w14:paraId="23E0C503" w14:textId="77777777" w:rsidR="00193B91" w:rsidRDefault="00193B91" w:rsidP="000C139A">
      <w:pPr>
        <w:rPr>
          <w:rFonts w:cs="Arial"/>
        </w:rPr>
      </w:pPr>
      <w:r>
        <w:rPr>
          <w:rFonts w:cs="Arial"/>
        </w:rPr>
        <w:t>A STEL of 40 ppm is recommended to protect for acute effects on the CNS</w:t>
      </w:r>
      <w:r w:rsidR="00FF3CF5">
        <w:rPr>
          <w:rFonts w:cs="Arial"/>
        </w:rPr>
        <w:t xml:space="preserve"> in exposed workers</w:t>
      </w:r>
      <w:r>
        <w:rPr>
          <w:rFonts w:cs="Arial"/>
        </w:rPr>
        <w:t>.</w:t>
      </w:r>
    </w:p>
    <w:p w14:paraId="00F2BB2B" w14:textId="7D9AC127" w:rsidR="00193B91" w:rsidRPr="004C23F4" w:rsidRDefault="008B583A" w:rsidP="000C139A">
      <w:pPr>
        <w:rPr>
          <w:rFonts w:cs="Arial"/>
        </w:rPr>
      </w:pPr>
      <w:r w:rsidRPr="008B583A">
        <w:rPr>
          <w:rFonts w:cs="Arial"/>
        </w:rPr>
        <w:t xml:space="preserve">Given the </w:t>
      </w:r>
      <w:r>
        <w:rPr>
          <w:rFonts w:cs="Arial"/>
        </w:rPr>
        <w:t>conflicting</w:t>
      </w:r>
      <w:r w:rsidRPr="008B583A">
        <w:rPr>
          <w:rFonts w:cs="Arial"/>
        </w:rPr>
        <w:t xml:space="preserve"> data a</w:t>
      </w:r>
      <w:r>
        <w:rPr>
          <w:rFonts w:cs="Arial"/>
        </w:rPr>
        <w:t>bout carcinogenicity and the mechanism of action for carcinogenicity a</w:t>
      </w:r>
      <w:r w:rsidRPr="008B583A">
        <w:rPr>
          <w:rFonts w:cs="Arial"/>
        </w:rPr>
        <w:t>vailable from the primary sources, it is recommended that a review of additional sources be conducted at the next scheduled review</w:t>
      </w:r>
      <w:r w:rsidR="00193B91">
        <w:rPr>
          <w:rFonts w:cs="Arial"/>
        </w:rPr>
        <w:t xml:space="preserve">. </w:t>
      </w:r>
    </w:p>
    <w:p w14:paraId="7B030123" w14:textId="77777777" w:rsidR="00C7155E" w:rsidRPr="004C23F4" w:rsidRDefault="00F10C97" w:rsidP="003365A5">
      <w:pPr>
        <w:pStyle w:val="Heading2"/>
      </w:pPr>
      <w:r>
        <w:t>Discussion and conclusions</w:t>
      </w:r>
    </w:p>
    <w:p w14:paraId="3D4F957A" w14:textId="77777777" w:rsidR="00F83077" w:rsidRDefault="00193B02" w:rsidP="006639B4">
      <w:r>
        <w:t xml:space="preserve">Trichloroethylene (TCE) </w:t>
      </w:r>
      <w:r w:rsidR="005277FA">
        <w:t xml:space="preserve">is mainly used for vapour degreasing and cleaning of metal parts, in adhesives, as a solvent and for synthesis in the chemical industry. </w:t>
      </w:r>
    </w:p>
    <w:p w14:paraId="01153BC7" w14:textId="77777777" w:rsidR="00FC52D8" w:rsidRDefault="00F83077" w:rsidP="005E4C79">
      <w:r>
        <w:t>The c</w:t>
      </w:r>
      <w:r w:rsidR="005277FA">
        <w:t xml:space="preserve">ritical effects </w:t>
      </w:r>
      <w:r w:rsidR="00A34D78">
        <w:t>of</w:t>
      </w:r>
      <w:r w:rsidR="005277FA">
        <w:t xml:space="preserve"> exposure are CNS effects, renal toxicity and cancer.</w:t>
      </w:r>
      <w:r>
        <w:t xml:space="preserve"> </w:t>
      </w:r>
    </w:p>
    <w:p w14:paraId="31262EC8" w14:textId="5EA1F42C" w:rsidR="0053768F" w:rsidRDefault="00E330C4" w:rsidP="005E4C79">
      <w:r>
        <w:t xml:space="preserve">Results of epidemiological studies, including those with occupational studies, </w:t>
      </w:r>
      <w:r w:rsidR="00FF3CF5">
        <w:t>a</w:t>
      </w:r>
      <w:r>
        <w:t>re mixed</w:t>
      </w:r>
      <w:r w:rsidR="00FF3CF5">
        <w:t>.</w:t>
      </w:r>
      <w:r w:rsidR="00902752">
        <w:t xml:space="preserve"> </w:t>
      </w:r>
      <w:r w:rsidR="00FF3CF5">
        <w:t>H</w:t>
      </w:r>
      <w:r w:rsidR="00902752">
        <w:t>owever</w:t>
      </w:r>
      <w:r w:rsidR="00FF3CF5">
        <w:t>,</w:t>
      </w:r>
      <w:r w:rsidR="00902752">
        <w:t xml:space="preserve"> </w:t>
      </w:r>
      <w:r w:rsidR="00FC52D8">
        <w:t xml:space="preserve">there </w:t>
      </w:r>
      <w:r w:rsidR="00902752">
        <w:t xml:space="preserve">is </w:t>
      </w:r>
      <w:r w:rsidR="00FC52D8">
        <w:t>a</w:t>
      </w:r>
      <w:r w:rsidR="00902752">
        <w:t xml:space="preserve"> positive association between </w:t>
      </w:r>
      <w:r w:rsidR="007769B3">
        <w:t xml:space="preserve">TCE </w:t>
      </w:r>
      <w:r w:rsidR="00FF3CF5">
        <w:t xml:space="preserve">exposure </w:t>
      </w:r>
      <w:r w:rsidR="00902752">
        <w:t>and cancer of the kidney</w:t>
      </w:r>
      <w:r w:rsidR="0053768F">
        <w:t>,</w:t>
      </w:r>
      <w:r w:rsidR="00902752">
        <w:t xml:space="preserve"> non-Hodgkin lymphoma and cancer of the liver in humans. The evidence for cancer of the kidney </w:t>
      </w:r>
      <w:r w:rsidR="00FF3CF5">
        <w:t>i</w:t>
      </w:r>
      <w:r w:rsidR="00902752">
        <w:t xml:space="preserve">s stronger than for other cancers (ACGIH, 2018; </w:t>
      </w:r>
      <w:r w:rsidR="00E744E3">
        <w:t xml:space="preserve">IARC, 2014; </w:t>
      </w:r>
      <w:r w:rsidR="00902752">
        <w:t xml:space="preserve">SCOEL, 2009). </w:t>
      </w:r>
    </w:p>
    <w:p w14:paraId="20DD70BF" w14:textId="1322DCCE" w:rsidR="0053768F" w:rsidRDefault="00902752" w:rsidP="005E4C79">
      <w:r>
        <w:t xml:space="preserve">Chronic </w:t>
      </w:r>
      <w:r w:rsidR="008B583A">
        <w:t>inhalation</w:t>
      </w:r>
      <w:r w:rsidR="007941E0">
        <w:t xml:space="preserve"> is</w:t>
      </w:r>
      <w:r>
        <w:t xml:space="preserve"> reported to </w:t>
      </w:r>
      <w:r w:rsidR="00FC52D8">
        <w:t xml:space="preserve">cause </w:t>
      </w:r>
      <w:r>
        <w:t xml:space="preserve">renal toxicity and tumours in rats and liver and lung tumours in mice. A dose-related increase in the incidence of malignant lymphomas </w:t>
      </w:r>
      <w:r w:rsidR="00FF3CF5">
        <w:t>i</w:t>
      </w:r>
      <w:r>
        <w:t>s observed in female mice at 100 ppm for 18 months (ACGIH, 2018). Mechanistic data is inconclusive</w:t>
      </w:r>
      <w:r w:rsidR="00652742">
        <w:t xml:space="preserve">. </w:t>
      </w:r>
      <w:r>
        <w:t>TCE and its metabolites</w:t>
      </w:r>
      <w:r w:rsidR="00652742">
        <w:t xml:space="preserve"> are</w:t>
      </w:r>
      <w:r>
        <w:t xml:space="preserve"> regarded as being weak genotoxic and require high doses to induce a response</w:t>
      </w:r>
      <w:r w:rsidR="00652742">
        <w:t xml:space="preserve"> (ACGIH, 2018). SCOEL (2009) conclude a threshold exists and that </w:t>
      </w:r>
      <w:r w:rsidR="007769B3">
        <w:t xml:space="preserve">preventing </w:t>
      </w:r>
      <w:r w:rsidR="00652742">
        <w:t xml:space="preserve">renal toxicity is </w:t>
      </w:r>
      <w:proofErr w:type="gramStart"/>
      <w:r w:rsidR="00652742">
        <w:t>sufficient</w:t>
      </w:r>
      <w:proofErr w:type="gramEnd"/>
      <w:r w:rsidR="00652742">
        <w:t xml:space="preserve"> to prevent renal cancer</w:t>
      </w:r>
      <w:r w:rsidR="007769B3">
        <w:t xml:space="preserve">. Based on this SCOEL (2009) </w:t>
      </w:r>
      <w:r w:rsidR="00FC52D8">
        <w:t xml:space="preserve">recommend </w:t>
      </w:r>
      <w:r w:rsidR="00652742">
        <w:t>a NOAE</w:t>
      </w:r>
      <w:r w:rsidR="00BA2058">
        <w:t>C</w:t>
      </w:r>
      <w:r w:rsidR="00652742">
        <w:t xml:space="preserve"> of 10 ppm in humans </w:t>
      </w:r>
      <w:r w:rsidR="007769B3">
        <w:t>to derive</w:t>
      </w:r>
      <w:r w:rsidR="00652742">
        <w:t xml:space="preserve"> TWA. Noting there are inconsistent decisions about the carcinogenicity potential and mechanism of </w:t>
      </w:r>
      <w:r w:rsidR="00652742">
        <w:lastRenderedPageBreak/>
        <w:t>TCE in humans, it is recommended that an investigation of additional data sources is undertaken at the next scheduled review.</w:t>
      </w:r>
      <w:r w:rsidR="005E4C79">
        <w:t xml:space="preserve"> </w:t>
      </w:r>
    </w:p>
    <w:p w14:paraId="6A3B0ACD" w14:textId="77777777" w:rsidR="005E4C79" w:rsidRDefault="005E4C79" w:rsidP="005E4C79">
      <w:r>
        <w:t>Neurotoxic effects</w:t>
      </w:r>
      <w:r w:rsidR="008B583A">
        <w:t xml:space="preserve"> including</w:t>
      </w:r>
      <w:r>
        <w:t xml:space="preserve"> dizziness, headache, sleepiness, nausea, confusion, blurred vision and weakness, are reported to occur in humans at approximately 100 ppm. These acute neurological effects are associated with peak concentrations (ACGIH, 2018).</w:t>
      </w:r>
    </w:p>
    <w:p w14:paraId="761A5C3F" w14:textId="708EC48E" w:rsidR="005E4C79" w:rsidRDefault="007941E0" w:rsidP="005E4C79">
      <w:pPr>
        <w:rPr>
          <w:rFonts w:cs="Arial"/>
        </w:rPr>
      </w:pPr>
      <w:r>
        <w:rPr>
          <w:rFonts w:cs="Arial"/>
        </w:rPr>
        <w:t xml:space="preserve">A TWA of 10 ppm is recommended to be retained. </w:t>
      </w:r>
      <w:r w:rsidR="005E4C79">
        <w:rPr>
          <w:rFonts w:cs="Arial"/>
        </w:rPr>
        <w:t>Th</w:t>
      </w:r>
      <w:r>
        <w:rPr>
          <w:rFonts w:cs="Arial"/>
        </w:rPr>
        <w:t>is</w:t>
      </w:r>
      <w:r w:rsidR="005E4C79">
        <w:rPr>
          <w:rFonts w:cs="Arial"/>
        </w:rPr>
        <w:t xml:space="preserve"> TWA is consistent across primary sources and is </w:t>
      </w:r>
      <w:r w:rsidR="00193B91">
        <w:rPr>
          <w:rFonts w:cs="Arial"/>
        </w:rPr>
        <w:t>cited to</w:t>
      </w:r>
      <w:r w:rsidR="005E4C79">
        <w:rPr>
          <w:rFonts w:cs="Arial"/>
        </w:rPr>
        <w:t xml:space="preserve"> be protective of effects on t</w:t>
      </w:r>
      <w:r w:rsidR="00193B91">
        <w:rPr>
          <w:rFonts w:cs="Arial"/>
        </w:rPr>
        <w:t>he CNS</w:t>
      </w:r>
      <w:r w:rsidR="008B583A">
        <w:rPr>
          <w:rFonts w:cs="Arial"/>
        </w:rPr>
        <w:t>,</w:t>
      </w:r>
      <w:r w:rsidR="00193B91">
        <w:rPr>
          <w:rFonts w:cs="Arial"/>
        </w:rPr>
        <w:t xml:space="preserve"> renal toxicity and carcinogenicity. An </w:t>
      </w:r>
      <w:r w:rsidR="005E4C79">
        <w:rPr>
          <w:rFonts w:cs="Arial"/>
        </w:rPr>
        <w:t>adverse effect</w:t>
      </w:r>
      <w:r w:rsidR="00193B91">
        <w:rPr>
          <w:rFonts w:cs="Arial"/>
        </w:rPr>
        <w:t xml:space="preserve"> on the CNS</w:t>
      </w:r>
      <w:r w:rsidR="005E4C79">
        <w:rPr>
          <w:rFonts w:cs="Arial"/>
        </w:rPr>
        <w:t xml:space="preserve"> is</w:t>
      </w:r>
      <w:r w:rsidR="00193B91">
        <w:rPr>
          <w:rFonts w:cs="Arial"/>
        </w:rPr>
        <w:t xml:space="preserve"> evident at ten times the TWA (10</w:t>
      </w:r>
      <w:r w:rsidR="005E4C79">
        <w:rPr>
          <w:rFonts w:cs="Arial"/>
        </w:rPr>
        <w:t xml:space="preserve">0 ppm) in </w:t>
      </w:r>
      <w:r w:rsidR="00193B91">
        <w:rPr>
          <w:rFonts w:cs="Arial"/>
        </w:rPr>
        <w:t>human studies (ACGIH, 2018). Therefore, a STEL of 4</w:t>
      </w:r>
      <w:r w:rsidR="005E4C79">
        <w:rPr>
          <w:rFonts w:cs="Arial"/>
        </w:rPr>
        <w:t xml:space="preserve">0 ppm is </w:t>
      </w:r>
      <w:r w:rsidR="007769B3">
        <w:rPr>
          <w:rFonts w:cs="Arial"/>
        </w:rPr>
        <w:t xml:space="preserve">also </w:t>
      </w:r>
      <w:r w:rsidR="005E4C79">
        <w:rPr>
          <w:rFonts w:cs="Arial"/>
        </w:rPr>
        <w:t xml:space="preserve">recommended </w:t>
      </w:r>
      <w:r w:rsidR="00193B91">
        <w:rPr>
          <w:rFonts w:cs="Arial"/>
        </w:rPr>
        <w:t>to be retained.</w:t>
      </w:r>
    </w:p>
    <w:p w14:paraId="6C51CDCD" w14:textId="77777777" w:rsidR="004529F0" w:rsidRPr="004C23F4" w:rsidRDefault="004529F0" w:rsidP="004529F0">
      <w:pPr>
        <w:pStyle w:val="Heading2"/>
      </w:pPr>
      <w:r>
        <w:t>Recommendation for notations</w:t>
      </w:r>
    </w:p>
    <w:p w14:paraId="1951277D" w14:textId="77777777" w:rsidR="008E4F1F" w:rsidRPr="00193B91" w:rsidRDefault="00193B91" w:rsidP="008E4F1F">
      <w:pPr>
        <w:rPr>
          <w:rFonts w:cs="Arial"/>
        </w:rPr>
      </w:pPr>
      <w:r>
        <w:rPr>
          <w:rFonts w:cs="Arial"/>
        </w:rPr>
        <w:t>C</w:t>
      </w:r>
      <w:r w:rsidR="008E4F1F" w:rsidRPr="00193B91">
        <w:rPr>
          <w:rFonts w:cs="Arial"/>
        </w:rPr>
        <w:t xml:space="preserve">lassified as a </w:t>
      </w:r>
      <w:r w:rsidR="0053768F">
        <w:rPr>
          <w:rFonts w:cs="Arial"/>
        </w:rPr>
        <w:t>Category 1B</w:t>
      </w:r>
      <w:r w:rsidR="0053768F" w:rsidRPr="00193B91">
        <w:rPr>
          <w:rFonts w:cs="Arial"/>
        </w:rPr>
        <w:t xml:space="preserve"> </w:t>
      </w:r>
      <w:r w:rsidR="008E4F1F" w:rsidRPr="00193B91">
        <w:rPr>
          <w:rFonts w:cs="Arial"/>
        </w:rPr>
        <w:t>carcinogen</w:t>
      </w:r>
      <w:r>
        <w:rPr>
          <w:rFonts w:cs="Arial"/>
        </w:rPr>
        <w:t xml:space="preserve"> </w:t>
      </w:r>
      <w:r w:rsidR="008E4F1F" w:rsidRPr="00193B91">
        <w:rPr>
          <w:rFonts w:cs="Arial"/>
        </w:rPr>
        <w:t>according to the Globally Harmonized System of</w:t>
      </w:r>
      <w:r w:rsidR="00155999" w:rsidRPr="00193B91">
        <w:rPr>
          <w:rFonts w:cs="Arial"/>
        </w:rPr>
        <w:t xml:space="preserve"> Classification and Labelling of</w:t>
      </w:r>
      <w:r w:rsidR="008E4F1F" w:rsidRPr="00193B91">
        <w:rPr>
          <w:rFonts w:cs="Arial"/>
        </w:rPr>
        <w:t xml:space="preserve"> Chemicals (GHS). </w:t>
      </w:r>
    </w:p>
    <w:p w14:paraId="59649D2E" w14:textId="77777777" w:rsidR="008E4F1F" w:rsidRPr="00193B91" w:rsidRDefault="008E4F1F" w:rsidP="008E4F1F">
      <w:pPr>
        <w:rPr>
          <w:rFonts w:cs="Arial"/>
        </w:rPr>
      </w:pPr>
      <w:r w:rsidRPr="00193B91">
        <w:rPr>
          <w:rFonts w:cs="Arial"/>
        </w:rPr>
        <w:t xml:space="preserve">Not classified as a skin </w:t>
      </w:r>
      <w:r w:rsidR="00155999" w:rsidRPr="00193B91">
        <w:rPr>
          <w:rFonts w:cs="Arial"/>
        </w:rPr>
        <w:t xml:space="preserve">sensitiser </w:t>
      </w:r>
      <w:r w:rsidRPr="00193B91">
        <w:rPr>
          <w:rFonts w:cs="Arial"/>
        </w:rPr>
        <w:t>or respiratory sensitiser according to the GHS.</w:t>
      </w:r>
    </w:p>
    <w:p w14:paraId="03EEE573" w14:textId="4EAD3036" w:rsidR="004529F0" w:rsidRPr="004C23F4" w:rsidRDefault="0053768F" w:rsidP="008E4F1F">
      <w:pPr>
        <w:rPr>
          <w:rFonts w:cs="Arial"/>
        </w:rPr>
      </w:pPr>
      <w:r>
        <w:rPr>
          <w:rFonts w:cs="Arial"/>
        </w:rPr>
        <w:t>There are i</w:t>
      </w:r>
      <w:r w:rsidR="008E4F1F" w:rsidRPr="00193B91">
        <w:rPr>
          <w:rFonts w:cs="Arial"/>
        </w:rPr>
        <w:t xml:space="preserve">nsufficient </w:t>
      </w:r>
      <w:r>
        <w:rPr>
          <w:rFonts w:cs="Arial"/>
        </w:rPr>
        <w:t>data</w:t>
      </w:r>
      <w:r w:rsidR="008E4F1F" w:rsidRPr="00193B91">
        <w:rPr>
          <w:rFonts w:cs="Arial"/>
        </w:rPr>
        <w:t xml:space="preserve"> to recommend a skin notation</w:t>
      </w:r>
      <w:r w:rsidR="008B583A">
        <w:rPr>
          <w:rFonts w:cs="Arial"/>
        </w:rPr>
        <w:t>.</w:t>
      </w:r>
      <w:r w:rsidR="0021026C">
        <w:rPr>
          <w:rFonts w:cs="Arial"/>
        </w:rPr>
        <w:t xml:space="preserve"> </w:t>
      </w:r>
      <w:r w:rsidR="008B583A">
        <w:rPr>
          <w:rFonts w:cs="Arial"/>
        </w:rPr>
        <w:t>H</w:t>
      </w:r>
      <w:r w:rsidR="0021026C">
        <w:rPr>
          <w:rFonts w:cs="Arial"/>
        </w:rPr>
        <w:t>owever</w:t>
      </w:r>
      <w:r w:rsidR="00A9237C">
        <w:rPr>
          <w:rFonts w:cs="Arial"/>
        </w:rPr>
        <w:t>,</w:t>
      </w:r>
      <w:r w:rsidR="0021026C">
        <w:rPr>
          <w:rFonts w:cs="Arial"/>
        </w:rPr>
        <w:t xml:space="preserve"> there is conflicting information between primary sources</w:t>
      </w:r>
      <w:r w:rsidR="007769B3">
        <w:rPr>
          <w:rFonts w:cs="Arial"/>
        </w:rPr>
        <w:t>. A</w:t>
      </w:r>
      <w:r w:rsidR="0021026C">
        <w:rPr>
          <w:rFonts w:cs="Arial"/>
        </w:rPr>
        <w:t xml:space="preserve"> review of additional dermal exposure data is recommended at the next scheduled review.</w:t>
      </w:r>
    </w:p>
    <w:p w14:paraId="7EE52A4A" w14:textId="77777777" w:rsidR="0025734A" w:rsidRPr="004C23F4" w:rsidRDefault="0025734A">
      <w:pPr>
        <w:rPr>
          <w:rFonts w:cs="Arial"/>
        </w:rPr>
      </w:pPr>
    </w:p>
    <w:p w14:paraId="38945DF5"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2EE54A42"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2D5EA00B"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6DDF92A4" w14:textId="77777777" w:rsidTr="00C57D00">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222E8636"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4B646582" w14:textId="77777777" w:rsidTr="00C57D00">
        <w:tc>
          <w:tcPr>
            <w:tcW w:w="5000" w:type="pct"/>
            <w:gridSpan w:val="2"/>
            <w:shd w:val="clear" w:color="auto" w:fill="F2F2F2" w:themeFill="background1" w:themeFillShade="F2"/>
          </w:tcPr>
          <w:p w14:paraId="3509934B"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6F529B">
                  <w:t>1995</w:t>
                </w:r>
              </w:sdtContent>
            </w:sdt>
            <w:r w:rsidRPr="003365A5">
              <w:tab/>
            </w:r>
            <w:r>
              <w:tab/>
            </w:r>
            <w:sdt>
              <w:sdtPr>
                <w:alias w:val="SWA WES"/>
                <w:tag w:val="SWA WES"/>
                <w:id w:val="857077202"/>
                <w:placeholder>
                  <w:docPart w:val="81CFEC2FDBC5451289F394E66D92D1A0"/>
                </w:placeholder>
              </w:sdtPr>
              <w:sdtEndPr/>
              <w:sdtContent>
                <w:r w:rsidR="006F529B">
                  <w:t>TWA: 10 ppm (54 mg/m</w:t>
                </w:r>
                <w:r w:rsidR="006F529B" w:rsidRPr="006F529B">
                  <w:rPr>
                    <w:vertAlign w:val="superscript"/>
                  </w:rPr>
                  <w:t>3</w:t>
                </w:r>
                <w:r w:rsidR="006F529B">
                  <w:t>); STEL: 40 ppm (216 mg/m</w:t>
                </w:r>
                <w:r w:rsidR="006F529B" w:rsidRPr="006F529B">
                  <w:rPr>
                    <w:vertAlign w:val="superscript"/>
                  </w:rPr>
                  <w:t>3</w:t>
                </w:r>
                <w:r w:rsidR="006F529B">
                  <w:t>)</w:t>
                </w:r>
              </w:sdtContent>
            </w:sdt>
          </w:p>
        </w:tc>
      </w:tr>
      <w:tr w:rsidR="00C978F0" w:rsidRPr="00DA352E" w14:paraId="6F041E02" w14:textId="77777777" w:rsidTr="00C57D00">
        <w:trPr>
          <w:gridAfter w:val="1"/>
          <w:wAfter w:w="8" w:type="pct"/>
        </w:trPr>
        <w:tc>
          <w:tcPr>
            <w:tcW w:w="4992" w:type="pct"/>
          </w:tcPr>
          <w:p w14:paraId="65970E15" w14:textId="77777777" w:rsidR="00C978F0" w:rsidRPr="00DA352E" w:rsidRDefault="00C978F0" w:rsidP="003365A5">
            <w:pPr>
              <w:pStyle w:val="Tabletextprimarysource"/>
            </w:pPr>
          </w:p>
        </w:tc>
      </w:tr>
      <w:tr w:rsidR="00C978F0" w:rsidRPr="00DA352E" w14:paraId="7BC627A0" w14:textId="77777777" w:rsidTr="00C57D00">
        <w:trPr>
          <w:gridAfter w:val="1"/>
          <w:wAfter w:w="8" w:type="pct"/>
        </w:trPr>
        <w:tc>
          <w:tcPr>
            <w:tcW w:w="4992" w:type="pct"/>
            <w:shd w:val="clear" w:color="auto" w:fill="F2F2F2" w:themeFill="background1" w:themeFillShade="F2"/>
          </w:tcPr>
          <w:p w14:paraId="0C001F87" w14:textId="77777777" w:rsidR="00C978F0" w:rsidRPr="00DA352E" w:rsidRDefault="00DA352E" w:rsidP="006F529B">
            <w:pPr>
              <w:pStyle w:val="Tablerowheadingitalic"/>
              <w:tabs>
                <w:tab w:val="clear" w:pos="2268"/>
                <w:tab w:val="clear" w:pos="5670"/>
                <w:tab w:val="left" w:pos="1418"/>
                <w:tab w:val="left" w:pos="2552"/>
              </w:tabs>
              <w:ind w:left="2857" w:hanging="2857"/>
            </w:pPr>
            <w:r w:rsidRPr="00DA352E">
              <w:t>ACGIH</w:t>
            </w:r>
            <w:r w:rsidR="00916EC0">
              <w:t xml:space="preserve"> </w:t>
            </w:r>
            <w:r w:rsidR="00916EC0" w:rsidRPr="003365A5">
              <w:tab/>
            </w:r>
            <w:sdt>
              <w:sdtPr>
                <w:id w:val="444816450"/>
                <w:placeholder>
                  <w:docPart w:val="C8FBF9621EB94FE084F687C8955AF85F"/>
                </w:placeholder>
                <w:text/>
              </w:sdtPr>
              <w:sdtEndPr/>
              <w:sdtContent>
                <w:r w:rsidR="006F529B">
                  <w:t>2007</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6F529B">
                  <w:t>TLV-</w:t>
                </w:r>
                <w:r w:rsidR="006F529B" w:rsidRPr="006F529B">
                  <w:t>TWA: 10 ppm (54 mg/m</w:t>
                </w:r>
                <w:r w:rsidR="006F529B" w:rsidRPr="006F529B">
                  <w:rPr>
                    <w:vertAlign w:val="superscript"/>
                  </w:rPr>
                  <w:t>3</w:t>
                </w:r>
                <w:r w:rsidR="006F529B" w:rsidRPr="006F529B">
                  <w:t xml:space="preserve">); </w:t>
                </w:r>
                <w:r w:rsidR="006F529B">
                  <w:t>TLV-</w:t>
                </w:r>
                <w:r w:rsidR="006F529B" w:rsidRPr="006F529B">
                  <w:t xml:space="preserve">STEL: </w:t>
                </w:r>
                <w:r w:rsidR="006F529B">
                  <w:t>25</w:t>
                </w:r>
                <w:r w:rsidR="006F529B" w:rsidRPr="006F529B">
                  <w:t xml:space="preserve"> ppm (1</w:t>
                </w:r>
                <w:r w:rsidR="006F529B">
                  <w:t>35</w:t>
                </w:r>
                <w:r w:rsidR="006F529B" w:rsidRPr="006F529B">
                  <w:t xml:space="preserve"> mg/m</w:t>
                </w:r>
                <w:r w:rsidR="006F529B" w:rsidRPr="006F529B">
                  <w:rPr>
                    <w:vertAlign w:val="superscript"/>
                  </w:rPr>
                  <w:t>3</w:t>
                </w:r>
                <w:r w:rsidR="006F529B" w:rsidRPr="006F529B">
                  <w:t>)</w:t>
                </w:r>
              </w:sdtContent>
            </w:sdt>
          </w:p>
        </w:tc>
      </w:tr>
      <w:tr w:rsidR="00C978F0" w:rsidRPr="00DA352E" w14:paraId="60DE5895" w14:textId="77777777" w:rsidTr="00C57D00">
        <w:trPr>
          <w:gridAfter w:val="1"/>
          <w:wAfter w:w="8" w:type="pct"/>
        </w:trPr>
        <w:tc>
          <w:tcPr>
            <w:tcW w:w="4992" w:type="pct"/>
          </w:tcPr>
          <w:p w14:paraId="7BEB1E0E" w14:textId="77777777" w:rsidR="00C978F0" w:rsidRDefault="00193B02" w:rsidP="003365A5">
            <w:pPr>
              <w:pStyle w:val="Tabletextprimarysource"/>
            </w:pPr>
            <w:r>
              <w:t>TLV-TWA recommended to protect against CNS effects and the potential for other effects including renal toxicity and cancer.</w:t>
            </w:r>
          </w:p>
          <w:p w14:paraId="05ED05E3" w14:textId="77777777" w:rsidR="00193B02" w:rsidRDefault="00193B02" w:rsidP="003365A5">
            <w:pPr>
              <w:pStyle w:val="Tabletextprimarysource"/>
            </w:pPr>
            <w:r>
              <w:t>TLV-STEL recommended to minimise CNS effects related to peak exposures.</w:t>
            </w:r>
          </w:p>
          <w:p w14:paraId="7107803F" w14:textId="120F4AB9" w:rsidR="00193B02" w:rsidRDefault="00193B02" w:rsidP="003365A5">
            <w:pPr>
              <w:pStyle w:val="Tabletextprimarysource"/>
            </w:pPr>
            <w:r>
              <w:t>Summary of data:</w:t>
            </w:r>
          </w:p>
          <w:p w14:paraId="47CFE639" w14:textId="77777777" w:rsidR="008B583A" w:rsidRDefault="00193B02" w:rsidP="00FF3CF5">
            <w:pPr>
              <w:pStyle w:val="ListBullet"/>
              <w:spacing w:after="80"/>
              <w:ind w:left="1080" w:hanging="357"/>
              <w:contextualSpacing w:val="0"/>
            </w:pPr>
            <w:r>
              <w:t>No derivation of TWA or STEL provided</w:t>
            </w:r>
          </w:p>
          <w:p w14:paraId="0DC003EF" w14:textId="6FB24A09" w:rsidR="00193B02" w:rsidRDefault="008B583A" w:rsidP="00BA2058">
            <w:pPr>
              <w:pStyle w:val="ListBullet"/>
              <w:spacing w:after="80"/>
              <w:ind w:left="1080" w:hanging="357"/>
              <w:contextualSpacing w:val="0"/>
            </w:pPr>
            <w:r>
              <w:t>P</w:t>
            </w:r>
            <w:r w:rsidR="00E76949">
              <w:t>rimary evidence for recommendation:</w:t>
            </w:r>
          </w:p>
          <w:p w14:paraId="1A639888" w14:textId="77777777" w:rsidR="005C2491" w:rsidRDefault="0053768F" w:rsidP="00BA2058">
            <w:pPr>
              <w:pStyle w:val="ListBullet"/>
              <w:numPr>
                <w:ilvl w:val="0"/>
                <w:numId w:val="2"/>
              </w:numPr>
              <w:spacing w:after="80"/>
              <w:ind w:hanging="357"/>
              <w:contextualSpacing w:val="0"/>
            </w:pPr>
            <w:r>
              <w:t>h</w:t>
            </w:r>
            <w:r w:rsidR="005C2491">
              <w:t xml:space="preserve">uman exposure produces reversible CNS effects at concentrations </w:t>
            </w:r>
            <w:r w:rsidR="003F29CE">
              <w:t>&gt;</w:t>
            </w:r>
            <w:r w:rsidR="005C2491">
              <w:t>100 ppm</w:t>
            </w:r>
          </w:p>
          <w:p w14:paraId="79DF4F6D" w14:textId="77777777" w:rsidR="005C2491" w:rsidRDefault="0053768F" w:rsidP="00BA2058">
            <w:pPr>
              <w:pStyle w:val="ListBullet"/>
              <w:numPr>
                <w:ilvl w:val="0"/>
                <w:numId w:val="2"/>
              </w:numPr>
              <w:spacing w:after="80"/>
              <w:ind w:hanging="357"/>
              <w:contextualSpacing w:val="0"/>
            </w:pPr>
            <w:r>
              <w:t>c</w:t>
            </w:r>
            <w:r w:rsidR="005C2491">
              <w:t>ohort studies of exposed workers do not indicate significant increases in cancer incidence</w:t>
            </w:r>
          </w:p>
          <w:p w14:paraId="06F70761" w14:textId="77777777" w:rsidR="005C2491" w:rsidRDefault="0053768F" w:rsidP="00BA2058">
            <w:pPr>
              <w:pStyle w:val="ListBullet"/>
              <w:numPr>
                <w:ilvl w:val="0"/>
                <w:numId w:val="2"/>
              </w:numPr>
              <w:spacing w:after="80"/>
              <w:ind w:hanging="357"/>
              <w:contextualSpacing w:val="0"/>
            </w:pPr>
            <w:r>
              <w:t>c</w:t>
            </w:r>
            <w:r w:rsidR="005C2491">
              <w:t>ase-control studies suggest prolonged exposure to high concentrations (</w:t>
            </w:r>
            <w:r>
              <w:t>100,000+</w:t>
            </w:r>
            <w:r w:rsidR="00061B8A">
              <w:t> </w:t>
            </w:r>
            <w:r w:rsidR="005C2491">
              <w:t>ppm) can increase incidence of renal cancer</w:t>
            </w:r>
          </w:p>
          <w:p w14:paraId="4DE2D49A" w14:textId="77777777" w:rsidR="00193B02" w:rsidRDefault="0053768F" w:rsidP="00BA2058">
            <w:pPr>
              <w:pStyle w:val="ListBullet"/>
              <w:numPr>
                <w:ilvl w:val="0"/>
                <w:numId w:val="2"/>
              </w:numPr>
              <w:spacing w:after="80"/>
              <w:ind w:hanging="357"/>
              <w:contextualSpacing w:val="0"/>
            </w:pPr>
            <w:r>
              <w:t>v</w:t>
            </w:r>
            <w:r w:rsidR="005C2491">
              <w:t>ery</w:t>
            </w:r>
            <w:r w:rsidR="00193B02">
              <w:t xml:space="preserve"> low acute toxicity by all exposure routes</w:t>
            </w:r>
          </w:p>
          <w:p w14:paraId="1202F2E9" w14:textId="77777777" w:rsidR="00193B02" w:rsidRDefault="0053768F" w:rsidP="00BA2058">
            <w:pPr>
              <w:pStyle w:val="ListBullet"/>
              <w:numPr>
                <w:ilvl w:val="0"/>
                <w:numId w:val="2"/>
              </w:numPr>
              <w:spacing w:after="80"/>
              <w:ind w:hanging="357"/>
              <w:contextualSpacing w:val="0"/>
            </w:pPr>
            <w:r>
              <w:t>c</w:t>
            </w:r>
            <w:r w:rsidR="00193B02">
              <w:t xml:space="preserve">hronic exposure to TCE produces renal toxicity and tumours in rats and liver and lung tumours in mice </w:t>
            </w:r>
          </w:p>
          <w:p w14:paraId="162D9BC1" w14:textId="77777777" w:rsidR="00193B02" w:rsidRDefault="0053768F" w:rsidP="00BA2058">
            <w:pPr>
              <w:pStyle w:val="ListBullet"/>
              <w:numPr>
                <w:ilvl w:val="0"/>
                <w:numId w:val="2"/>
              </w:numPr>
              <w:spacing w:after="80"/>
              <w:ind w:hanging="357"/>
              <w:contextualSpacing w:val="0"/>
            </w:pPr>
            <w:r>
              <w:t>w</w:t>
            </w:r>
            <w:r w:rsidR="00193B02">
              <w:t xml:space="preserve">eakly mutagenic </w:t>
            </w:r>
            <w:r w:rsidR="00193B02" w:rsidRPr="00193B02">
              <w:rPr>
                <w:i/>
              </w:rPr>
              <w:t>in vitro</w:t>
            </w:r>
            <w:r w:rsidR="00193B02">
              <w:t xml:space="preserve"> following bioactivation</w:t>
            </w:r>
            <w:r>
              <w:t>.</w:t>
            </w:r>
          </w:p>
          <w:p w14:paraId="6EBCFD0C" w14:textId="7B128F45" w:rsidR="00E76949" w:rsidRDefault="00E76949" w:rsidP="00E76949">
            <w:pPr>
              <w:pStyle w:val="Tabletextprimarysource"/>
            </w:pPr>
            <w:r>
              <w:t>Human data:</w:t>
            </w:r>
          </w:p>
          <w:p w14:paraId="6344AF91" w14:textId="2D8A2B46" w:rsidR="008B583A" w:rsidRDefault="0053768F" w:rsidP="00FF3CF5">
            <w:pPr>
              <w:pStyle w:val="ListBullet"/>
              <w:spacing w:after="80"/>
              <w:ind w:left="1077" w:hanging="357"/>
              <w:contextualSpacing w:val="0"/>
            </w:pPr>
            <w:r>
              <w:t>U</w:t>
            </w:r>
            <w:r w:rsidR="00CB2C03">
              <w:t xml:space="preserve">se as an anaesthetic associated with cardiac arrhythmia in humans exposed </w:t>
            </w:r>
            <w:r w:rsidR="008B583A">
              <w:t>at</w:t>
            </w:r>
            <w:r w:rsidR="00CB2C03">
              <w:t xml:space="preserve"> concentrations &gt;15,000 ppm</w:t>
            </w:r>
            <w:r w:rsidR="00590CDC">
              <w:t>:</w:t>
            </w:r>
            <w:r w:rsidR="00D80D7C">
              <w:t xml:space="preserve"> </w:t>
            </w:r>
          </w:p>
          <w:p w14:paraId="5D103167" w14:textId="77777777" w:rsidR="00E76949" w:rsidRDefault="00D80D7C" w:rsidP="00BA2058">
            <w:pPr>
              <w:pStyle w:val="ListBullet"/>
              <w:numPr>
                <w:ilvl w:val="0"/>
                <w:numId w:val="9"/>
              </w:numPr>
              <w:spacing w:after="80"/>
              <w:contextualSpacing w:val="0"/>
            </w:pPr>
            <w:r>
              <w:t>death occurred at 10,000 ppm and associated with cardiac arrhythmia and massive liver damage</w:t>
            </w:r>
          </w:p>
          <w:p w14:paraId="5144338E" w14:textId="77777777" w:rsidR="00CB2C03" w:rsidRDefault="00CB2C03" w:rsidP="00BA2058">
            <w:pPr>
              <w:pStyle w:val="ListBullet"/>
              <w:spacing w:after="80"/>
              <w:ind w:left="1077" w:hanging="357"/>
              <w:contextualSpacing w:val="0"/>
            </w:pPr>
            <w:r>
              <w:t xml:space="preserve">Neurotoxic effects, </w:t>
            </w:r>
            <w:r w:rsidR="008B583A">
              <w:t>including</w:t>
            </w:r>
            <w:r>
              <w:t xml:space="preserve"> dizziness, headache, sleepiness, nausea, confusion, blurred vision and weakness, occur at </w:t>
            </w:r>
            <w:r w:rsidR="00061B8A">
              <w:rPr>
                <w:rFonts w:cs="Arial"/>
              </w:rPr>
              <w:t>≈</w:t>
            </w:r>
            <w:r>
              <w:t>100 ppm</w:t>
            </w:r>
          </w:p>
          <w:p w14:paraId="407AA115" w14:textId="77777777" w:rsidR="00394E27" w:rsidRDefault="00394E27" w:rsidP="00BA2058">
            <w:pPr>
              <w:pStyle w:val="ListBullet"/>
              <w:spacing w:after="80"/>
              <w:ind w:left="1077" w:hanging="357"/>
              <w:contextualSpacing w:val="0"/>
            </w:pPr>
            <w:r>
              <w:t>Acute neurological effects in humans and animals associated with peak concentrations rather than ‘area-under-the-curve’ exposure</w:t>
            </w:r>
          </w:p>
          <w:p w14:paraId="3B827BF2" w14:textId="3CE27E59" w:rsidR="008B583A" w:rsidRDefault="00AB3376" w:rsidP="00FF3CF5">
            <w:pPr>
              <w:pStyle w:val="ListBullet"/>
              <w:spacing w:after="80"/>
              <w:ind w:left="1077" w:hanging="357"/>
              <w:contextualSpacing w:val="0"/>
            </w:pPr>
            <w:r>
              <w:t>V</w:t>
            </w:r>
            <w:r w:rsidR="00CB2C03">
              <w:t>olunteers exposed at 1</w:t>
            </w:r>
            <w:r>
              <w:t>,</w:t>
            </w:r>
            <w:r w:rsidR="00CB2C03">
              <w:t>000 ppm for 2 h resulted in adverse effects on visual perception and motor skills</w:t>
            </w:r>
            <w:r w:rsidR="00590CDC">
              <w:t>:</w:t>
            </w:r>
            <w:r w:rsidR="00CB2C03">
              <w:t xml:space="preserve"> </w:t>
            </w:r>
          </w:p>
          <w:p w14:paraId="17D9BA2C" w14:textId="77777777" w:rsidR="00CB2C03" w:rsidRDefault="00CB2C03" w:rsidP="00BA2058">
            <w:pPr>
              <w:pStyle w:val="ListBullet"/>
              <w:numPr>
                <w:ilvl w:val="0"/>
                <w:numId w:val="9"/>
              </w:numPr>
              <w:spacing w:after="80"/>
              <w:contextualSpacing w:val="0"/>
            </w:pPr>
            <w:r>
              <w:t>similar exposure at 100 or 300 ppm without any adverse effects</w:t>
            </w:r>
          </w:p>
          <w:p w14:paraId="16C7F9DC" w14:textId="77777777" w:rsidR="00CB2C03" w:rsidRDefault="00CB2C03" w:rsidP="00BA2058">
            <w:pPr>
              <w:pStyle w:val="ListBullet"/>
              <w:spacing w:after="80"/>
              <w:ind w:left="1077" w:hanging="357"/>
              <w:contextualSpacing w:val="0"/>
            </w:pPr>
            <w:r>
              <w:t>No adverse effects observed in volunteers exposed at 200 ppm for 7.5 h/d for 5 d</w:t>
            </w:r>
          </w:p>
          <w:p w14:paraId="10C93887" w14:textId="5DF35F5C" w:rsidR="00CB2C03" w:rsidRDefault="00CB2C03" w:rsidP="00BA2058">
            <w:pPr>
              <w:pStyle w:val="ListBullet"/>
              <w:spacing w:after="80"/>
              <w:ind w:left="1077" w:hanging="357"/>
              <w:contextualSpacing w:val="0"/>
            </w:pPr>
            <w:r>
              <w:t xml:space="preserve">Investigators report subjective effects such as lassitude and headache at 100 ppm </w:t>
            </w:r>
            <w:r w:rsidR="00A9237C">
              <w:t>(</w:t>
            </w:r>
            <w:r>
              <w:t>no</w:t>
            </w:r>
            <w:r w:rsidR="00A9237C">
              <w:t> </w:t>
            </w:r>
            <w:r>
              <w:t>exposure frequency or duration provided</w:t>
            </w:r>
            <w:r w:rsidR="00A9237C">
              <w:t>)</w:t>
            </w:r>
            <w:r w:rsidR="00590CDC">
              <w:t>.</w:t>
            </w:r>
          </w:p>
          <w:p w14:paraId="128A5116" w14:textId="6E4B8345" w:rsidR="00FF79D6" w:rsidRDefault="00FF79D6" w:rsidP="00FF79D6">
            <w:pPr>
              <w:pStyle w:val="Tabletextprimarysource"/>
            </w:pPr>
            <w:r>
              <w:t>Cancer epidemiology</w:t>
            </w:r>
            <w:r w:rsidR="00DB32C4">
              <w:t>:</w:t>
            </w:r>
          </w:p>
          <w:p w14:paraId="5F557BC0" w14:textId="5C5CF36D" w:rsidR="008B583A" w:rsidRDefault="00FF79D6" w:rsidP="00FF3CF5">
            <w:pPr>
              <w:pStyle w:val="ListBullet"/>
              <w:spacing w:after="80"/>
              <w:ind w:left="1077" w:hanging="357"/>
              <w:contextualSpacing w:val="0"/>
            </w:pPr>
            <w:r>
              <w:t>Over 60 cancer epidemiology studies of TCE</w:t>
            </w:r>
            <w:r w:rsidR="00DB32C4">
              <w:t>:</w:t>
            </w:r>
            <w:r>
              <w:t xml:space="preserve"> </w:t>
            </w:r>
          </w:p>
          <w:p w14:paraId="6D796EE1" w14:textId="77777777" w:rsidR="00CB2C03" w:rsidRDefault="00FF79D6" w:rsidP="00BA2058">
            <w:pPr>
              <w:pStyle w:val="ListBullet"/>
              <w:numPr>
                <w:ilvl w:val="0"/>
                <w:numId w:val="9"/>
              </w:numPr>
              <w:spacing w:after="80"/>
              <w:contextualSpacing w:val="0"/>
            </w:pPr>
            <w:r>
              <w:t xml:space="preserve">a key review of studies was restricted to the key epidemiologic studies and those published in 2000 or later with </w:t>
            </w:r>
            <w:r w:rsidR="008E35D0">
              <w:t>attention</w:t>
            </w:r>
            <w:r>
              <w:t xml:space="preserve"> to evidence regarding cancers of the kidney, liver, lung and testes and lymphomas</w:t>
            </w:r>
          </w:p>
          <w:p w14:paraId="669FB0C9" w14:textId="77777777" w:rsidR="007E4B35" w:rsidRDefault="007E4B35" w:rsidP="00BA2058">
            <w:pPr>
              <w:pStyle w:val="ListBullet"/>
              <w:spacing w:after="80"/>
              <w:ind w:left="1077" w:hanging="357"/>
              <w:contextualSpacing w:val="0"/>
            </w:pPr>
            <w:r>
              <w:t>No further specific details for the following data are provided</w:t>
            </w:r>
          </w:p>
          <w:p w14:paraId="174E0363" w14:textId="3DBCB9B6" w:rsidR="00963927" w:rsidRDefault="008E35D0" w:rsidP="00FF3CF5">
            <w:pPr>
              <w:pStyle w:val="ListBullet"/>
              <w:spacing w:after="80"/>
              <w:ind w:left="1077" w:hanging="357"/>
              <w:contextualSpacing w:val="0"/>
            </w:pPr>
            <w:r>
              <w:lastRenderedPageBreak/>
              <w:t>In cancer incidence cohort studies, TCE exposure was associated with an increased risk of kidney cancer, when data on men and women from several studies were combined</w:t>
            </w:r>
            <w:r w:rsidR="00DB32C4">
              <w:t>:</w:t>
            </w:r>
            <w:r>
              <w:t xml:space="preserve"> </w:t>
            </w:r>
          </w:p>
          <w:p w14:paraId="26E4A3D0" w14:textId="77777777" w:rsidR="00FF79D6" w:rsidRDefault="00AB3376" w:rsidP="00BA2058">
            <w:pPr>
              <w:pStyle w:val="ListBullet"/>
              <w:numPr>
                <w:ilvl w:val="0"/>
                <w:numId w:val="9"/>
              </w:numPr>
              <w:spacing w:after="80"/>
              <w:contextualSpacing w:val="0"/>
            </w:pPr>
            <w:r>
              <w:t>RR</w:t>
            </w:r>
            <w:r w:rsidR="008E35D0">
              <w:t xml:space="preserve"> of 1.7 and 95% confidence interval 1.1-2.7; (N=21)</w:t>
            </w:r>
          </w:p>
          <w:p w14:paraId="2C6D3AE8" w14:textId="77777777" w:rsidR="008E35D0" w:rsidRDefault="00436447" w:rsidP="00BA2058">
            <w:pPr>
              <w:pStyle w:val="ListBullet"/>
              <w:spacing w:after="80"/>
              <w:ind w:left="1077" w:hanging="357"/>
              <w:contextualSpacing w:val="0"/>
            </w:pPr>
            <w:r>
              <w:t xml:space="preserve">In cancer mortality studies, the combined </w:t>
            </w:r>
            <w:r w:rsidR="00AB3376">
              <w:t>RR</w:t>
            </w:r>
            <w:r>
              <w:t xml:space="preserve"> was not significantly elevated (1.2; 95% CI, 0.8-1.7; N=37)</w:t>
            </w:r>
          </w:p>
          <w:p w14:paraId="75798FAC" w14:textId="77777777" w:rsidR="00D33200" w:rsidRDefault="00D33200" w:rsidP="00BA2058">
            <w:pPr>
              <w:pStyle w:val="ListBullet"/>
              <w:spacing w:after="80"/>
              <w:ind w:left="1077" w:hanging="357"/>
              <w:contextualSpacing w:val="0"/>
            </w:pPr>
            <w:r>
              <w:t>Results from case-control studies were mixed with most designed to identify exposure to dry-cleaning chemicals or solvents, without further specificity</w:t>
            </w:r>
          </w:p>
          <w:p w14:paraId="5389BEEE" w14:textId="3F6F2BB7" w:rsidR="00963927" w:rsidRDefault="00D33200" w:rsidP="00FF3CF5">
            <w:pPr>
              <w:pStyle w:val="ListBullet"/>
              <w:spacing w:after="80"/>
              <w:ind w:left="1077" w:hanging="357"/>
              <w:contextualSpacing w:val="0"/>
            </w:pPr>
            <w:r>
              <w:t>The largest and most specific case-control study was derived from a proportional mortality ratio study of a large transformer manufacturing plant</w:t>
            </w:r>
            <w:r w:rsidR="00DB32C4">
              <w:t>:</w:t>
            </w:r>
            <w:r>
              <w:t xml:space="preserve"> </w:t>
            </w:r>
          </w:p>
          <w:p w14:paraId="666E9DA1" w14:textId="77777777" w:rsidR="00963927" w:rsidRDefault="00D33200" w:rsidP="00963927">
            <w:pPr>
              <w:pStyle w:val="ListBullet"/>
              <w:numPr>
                <w:ilvl w:val="0"/>
                <w:numId w:val="9"/>
              </w:numPr>
              <w:spacing w:after="80"/>
              <w:contextualSpacing w:val="0"/>
            </w:pPr>
            <w:r>
              <w:t>classified exposure to TCE as a degreaser</w:t>
            </w:r>
          </w:p>
          <w:p w14:paraId="3CA21C47" w14:textId="77777777" w:rsidR="00D33200" w:rsidRDefault="00D33200" w:rsidP="00BA2058">
            <w:pPr>
              <w:pStyle w:val="ListBullet"/>
              <w:numPr>
                <w:ilvl w:val="0"/>
                <w:numId w:val="9"/>
              </w:numPr>
              <w:spacing w:after="80"/>
              <w:contextualSpacing w:val="0"/>
            </w:pPr>
            <w:r>
              <w:t xml:space="preserve">results, based on logistic regression analysis, reported as </w:t>
            </w:r>
            <w:r w:rsidR="00963927">
              <w:t>OR</w:t>
            </w:r>
            <w:r>
              <w:t xml:space="preserve"> for exposure among deaths classified as cancers of the biliary passages and liver (OR, 0.54; 95% CI, 0.30-3.32)</w:t>
            </w:r>
          </w:p>
          <w:p w14:paraId="3223B420" w14:textId="1C7AF304" w:rsidR="00436447" w:rsidRDefault="00436447" w:rsidP="00BA2058">
            <w:pPr>
              <w:pStyle w:val="ListBullet"/>
              <w:spacing w:after="80"/>
              <w:ind w:left="1080" w:hanging="357"/>
              <w:contextualSpacing w:val="0"/>
            </w:pPr>
            <w:r>
              <w:t>Results from various case-control studies of kidney cancer and occupational exposure</w:t>
            </w:r>
            <w:r w:rsidR="00D84045">
              <w:t xml:space="preserve"> (no further information provided)</w:t>
            </w:r>
            <w:r>
              <w:t>:</w:t>
            </w:r>
          </w:p>
          <w:p w14:paraId="1EC1EB6C" w14:textId="77777777" w:rsidR="00436447" w:rsidRDefault="00D84045" w:rsidP="00BA2058">
            <w:pPr>
              <w:pStyle w:val="ListBullet"/>
              <w:numPr>
                <w:ilvl w:val="0"/>
                <w:numId w:val="3"/>
              </w:numPr>
              <w:spacing w:after="80"/>
              <w:ind w:hanging="357"/>
              <w:contextualSpacing w:val="0"/>
            </w:pPr>
            <w:r>
              <w:t>OR</w:t>
            </w:r>
            <w:r w:rsidR="00436447">
              <w:t>, 10.8; 95% CI, 3.4</w:t>
            </w:r>
            <w:r w:rsidR="00686C8A">
              <w:t>–</w:t>
            </w:r>
            <w:r>
              <w:t>34.8</w:t>
            </w:r>
          </w:p>
          <w:p w14:paraId="10713FC4" w14:textId="77777777" w:rsidR="00436447" w:rsidRDefault="00436447" w:rsidP="00BA2058">
            <w:pPr>
              <w:pStyle w:val="ListBullet"/>
              <w:numPr>
                <w:ilvl w:val="0"/>
                <w:numId w:val="3"/>
              </w:numPr>
              <w:spacing w:after="80"/>
              <w:ind w:hanging="357"/>
              <w:contextualSpacing w:val="0"/>
            </w:pPr>
            <w:r>
              <w:t>OR, 2.16; 95% CI, 1.0</w:t>
            </w:r>
            <w:r w:rsidR="00686C8A">
              <w:t>–</w:t>
            </w:r>
            <w:r>
              <w:t>4.6</w:t>
            </w:r>
          </w:p>
          <w:p w14:paraId="63A7F826" w14:textId="77777777" w:rsidR="00436447" w:rsidRDefault="00436447" w:rsidP="00BA2058">
            <w:pPr>
              <w:pStyle w:val="ListBullet"/>
              <w:numPr>
                <w:ilvl w:val="0"/>
                <w:numId w:val="3"/>
              </w:numPr>
              <w:spacing w:after="80"/>
              <w:ind w:hanging="357"/>
              <w:contextualSpacing w:val="0"/>
            </w:pPr>
            <w:r>
              <w:t>OR, 1.3; 95% CI, 0.9</w:t>
            </w:r>
            <w:r w:rsidR="00686C8A">
              <w:t>–</w:t>
            </w:r>
            <w:r>
              <w:t>1.9</w:t>
            </w:r>
          </w:p>
          <w:p w14:paraId="3DE7C19E" w14:textId="77777777" w:rsidR="00436447" w:rsidRDefault="00436447" w:rsidP="00BA2058">
            <w:pPr>
              <w:pStyle w:val="ListBullet"/>
              <w:numPr>
                <w:ilvl w:val="0"/>
                <w:numId w:val="3"/>
              </w:numPr>
              <w:spacing w:after="80"/>
              <w:ind w:hanging="357"/>
              <w:contextualSpacing w:val="0"/>
            </w:pPr>
            <w:r>
              <w:t>OR, 1.0; 95% CI, 0.3</w:t>
            </w:r>
            <w:r w:rsidR="00686C8A">
              <w:t>–</w:t>
            </w:r>
            <w:r>
              <w:t>3.3</w:t>
            </w:r>
          </w:p>
          <w:p w14:paraId="7EFB8EE1" w14:textId="77777777" w:rsidR="00436447" w:rsidRDefault="00436447" w:rsidP="00BA2058">
            <w:pPr>
              <w:pStyle w:val="ListBullet"/>
              <w:numPr>
                <w:ilvl w:val="0"/>
                <w:numId w:val="3"/>
              </w:numPr>
              <w:spacing w:after="80"/>
              <w:ind w:hanging="357"/>
              <w:contextualSpacing w:val="0"/>
            </w:pPr>
            <w:r>
              <w:t>OR, 0.8; 95% CI, 0.4</w:t>
            </w:r>
            <w:r w:rsidR="00686C8A">
              <w:t>–</w:t>
            </w:r>
            <w:r>
              <w:t>2.0</w:t>
            </w:r>
          </w:p>
          <w:p w14:paraId="13A54EB1" w14:textId="77777777" w:rsidR="00436447" w:rsidRDefault="00D84045" w:rsidP="00BA2058">
            <w:pPr>
              <w:pStyle w:val="ListBullet"/>
              <w:spacing w:after="80"/>
              <w:ind w:left="1080" w:hanging="357"/>
              <w:contextualSpacing w:val="0"/>
            </w:pPr>
            <w:r>
              <w:t>No overall significant association with TCE exposure and renal cell cancer in a population-based case-control study with 935 renal cell carcinoma cases and 4</w:t>
            </w:r>
            <w:r w:rsidR="003018D8">
              <w:t>,</w:t>
            </w:r>
            <w:r>
              <w:t>298 controls; questionnaires and two job-exposure matrices to get lifetime agent-specific measures of exposure for each study subject; no dose-response relationship found</w:t>
            </w:r>
          </w:p>
          <w:p w14:paraId="47C8A701" w14:textId="73BB4715" w:rsidR="00963927" w:rsidRDefault="00FC4DB7" w:rsidP="00FF3CF5">
            <w:pPr>
              <w:pStyle w:val="ListBullet"/>
              <w:spacing w:after="80"/>
              <w:ind w:left="1080" w:hanging="357"/>
              <w:contextualSpacing w:val="0"/>
            </w:pPr>
            <w:r>
              <w:t>Liver cancer incidence elevated in most of the cancer incidence studies</w:t>
            </w:r>
            <w:r w:rsidR="00DB32C4">
              <w:t>:</w:t>
            </w:r>
          </w:p>
          <w:p w14:paraId="77BBAEDF" w14:textId="77777777" w:rsidR="00BA1F46" w:rsidRDefault="00FC4DB7" w:rsidP="00BA2058">
            <w:pPr>
              <w:pStyle w:val="ListBullet"/>
              <w:numPr>
                <w:ilvl w:val="0"/>
                <w:numId w:val="10"/>
              </w:numPr>
              <w:spacing w:after="80"/>
              <w:contextualSpacing w:val="0"/>
            </w:pPr>
            <w:r>
              <w:t xml:space="preserve">the overall average SIR </w:t>
            </w:r>
            <w:r w:rsidR="00963927">
              <w:t>of</w:t>
            </w:r>
            <w:r>
              <w:t xml:space="preserve"> 1.9 (95% CI, 1.0</w:t>
            </w:r>
            <w:r w:rsidR="00686C8A">
              <w:t>–</w:t>
            </w:r>
            <w:r>
              <w:t xml:space="preserve">3.4) </w:t>
            </w:r>
          </w:p>
          <w:p w14:paraId="36B70F58" w14:textId="77777777" w:rsidR="00DB32C4" w:rsidRDefault="00DB32C4" w:rsidP="00DB32C4">
            <w:pPr>
              <w:pStyle w:val="ListBullet"/>
              <w:spacing w:after="80"/>
              <w:ind w:left="1080" w:hanging="357"/>
              <w:contextualSpacing w:val="0"/>
            </w:pPr>
            <w:r>
              <w:t>One liver cancer mortality study; SMR of 1.7; 95% CI, 0.2–16.2</w:t>
            </w:r>
          </w:p>
          <w:p w14:paraId="40D9A16B" w14:textId="50422C0D" w:rsidR="00FC4DB7" w:rsidRDefault="00A9237C" w:rsidP="00BA2058">
            <w:pPr>
              <w:pStyle w:val="ListBullet"/>
              <w:spacing w:after="80"/>
              <w:ind w:left="1080" w:hanging="357"/>
              <w:contextualSpacing w:val="0"/>
            </w:pPr>
            <w:r>
              <w:t xml:space="preserve">A combined SMR from 3 studies is reported 1.1 (95% CI, 0–1.7) resulting from analysis </w:t>
            </w:r>
            <w:r w:rsidR="00622EB2">
              <w:t xml:space="preserve">of mortality and </w:t>
            </w:r>
            <w:r w:rsidR="00CD70E4">
              <w:t>cancers of the biliary tract and liver</w:t>
            </w:r>
            <w:r>
              <w:t xml:space="preserve"> </w:t>
            </w:r>
          </w:p>
          <w:p w14:paraId="78126D7E" w14:textId="77777777" w:rsidR="00FC4DB7" w:rsidRDefault="003018D8" w:rsidP="00BA2058">
            <w:pPr>
              <w:pStyle w:val="ListBullet"/>
              <w:spacing w:after="80"/>
              <w:ind w:left="1080" w:hanging="357"/>
              <w:contextualSpacing w:val="0"/>
            </w:pPr>
            <w:r>
              <w:t>C</w:t>
            </w:r>
            <w:r w:rsidR="00F06D88">
              <w:t xml:space="preserve">ombined SIR for studies of NHL </w:t>
            </w:r>
            <w:r w:rsidR="00963927">
              <w:t>of</w:t>
            </w:r>
            <w:r w:rsidR="00F06D88">
              <w:t xml:space="preserve"> 1.5 (95% CI, 0.9</w:t>
            </w:r>
            <w:r w:rsidR="00686C8A">
              <w:t>–</w:t>
            </w:r>
            <w:r w:rsidR="00F06D88">
              <w:t>2.3)</w:t>
            </w:r>
          </w:p>
          <w:p w14:paraId="75FF82FD" w14:textId="4D3B286C" w:rsidR="00F06D88" w:rsidRDefault="00622EB2" w:rsidP="00BA2058">
            <w:pPr>
              <w:pStyle w:val="ListBullet"/>
              <w:spacing w:after="80"/>
              <w:ind w:left="1080" w:hanging="357"/>
              <w:contextualSpacing w:val="0"/>
            </w:pPr>
            <w:r>
              <w:t xml:space="preserve">Combined SMR of 1.2 (95% CI, 0.9–1.7) from </w:t>
            </w:r>
            <w:r w:rsidR="00E315AE">
              <w:t xml:space="preserve">NHL cohort mortality studies </w:t>
            </w:r>
          </w:p>
          <w:p w14:paraId="66512CCD" w14:textId="77777777" w:rsidR="00E315AE" w:rsidRDefault="003018D8" w:rsidP="00BA2058">
            <w:pPr>
              <w:pStyle w:val="ListBullet"/>
              <w:spacing w:after="80"/>
              <w:ind w:left="1080" w:hanging="357"/>
              <w:contextualSpacing w:val="0"/>
            </w:pPr>
            <w:r>
              <w:t>C</w:t>
            </w:r>
            <w:r w:rsidR="00E315AE">
              <w:t xml:space="preserve">ombined lung cancer SIR </w:t>
            </w:r>
            <w:r w:rsidR="00963927">
              <w:t>of</w:t>
            </w:r>
            <w:r w:rsidR="00E315AE">
              <w:t xml:space="preserve"> 0.8 (95% CI, 0.6</w:t>
            </w:r>
            <w:r w:rsidR="00686C8A">
              <w:t>–</w:t>
            </w:r>
            <w:r w:rsidR="00E315AE">
              <w:t>1.1) for cohort incidence studies</w:t>
            </w:r>
          </w:p>
          <w:p w14:paraId="5330AF47" w14:textId="77777777" w:rsidR="00E315AE" w:rsidRDefault="003018D8" w:rsidP="00BA2058">
            <w:pPr>
              <w:pStyle w:val="ListBullet"/>
              <w:spacing w:after="80"/>
              <w:ind w:left="1080" w:hanging="357"/>
              <w:contextualSpacing w:val="0"/>
            </w:pPr>
            <w:r>
              <w:t>C</w:t>
            </w:r>
            <w:r w:rsidR="00E315AE">
              <w:t xml:space="preserve">ombined lung cancer SMR </w:t>
            </w:r>
            <w:r w:rsidR="00963927">
              <w:t>of</w:t>
            </w:r>
            <w:r w:rsidR="00E315AE">
              <w:t xml:space="preserve"> 1.0 (95% CI, 0.9</w:t>
            </w:r>
            <w:r w:rsidR="00686C8A">
              <w:t>–</w:t>
            </w:r>
            <w:r w:rsidR="00E315AE">
              <w:t>1.1) for cohort mortality studies</w:t>
            </w:r>
          </w:p>
          <w:p w14:paraId="0DC12BD6" w14:textId="77777777" w:rsidR="00E315AE" w:rsidRDefault="00E315AE" w:rsidP="00BA2058">
            <w:pPr>
              <w:pStyle w:val="ListBullet"/>
              <w:spacing w:after="80"/>
              <w:ind w:left="1080" w:hanging="357"/>
              <w:contextualSpacing w:val="0"/>
            </w:pPr>
            <w:r>
              <w:t>Case-control studies of lung cancer and TCE exposure were not found</w:t>
            </w:r>
          </w:p>
          <w:p w14:paraId="46BB5994" w14:textId="77777777" w:rsidR="00E315AE" w:rsidRDefault="00E315AE" w:rsidP="00BA2058">
            <w:pPr>
              <w:pStyle w:val="ListBullet"/>
              <w:spacing w:after="80"/>
              <w:ind w:left="1080" w:hanging="357"/>
              <w:contextualSpacing w:val="0"/>
            </w:pPr>
            <w:r>
              <w:t>Epidemiologic studies of testes cancer and TCE exposure were not found</w:t>
            </w:r>
            <w:r w:rsidR="003018D8">
              <w:t>.</w:t>
            </w:r>
          </w:p>
          <w:p w14:paraId="1C685C62" w14:textId="2C624B8F" w:rsidR="00E315AE" w:rsidRDefault="008E5103" w:rsidP="008E5103">
            <w:pPr>
              <w:pStyle w:val="Tabletextprimarysource"/>
            </w:pPr>
            <w:r>
              <w:t>Animal data:</w:t>
            </w:r>
          </w:p>
          <w:p w14:paraId="6AACD85E" w14:textId="77777777" w:rsidR="008E5103" w:rsidRDefault="00471839" w:rsidP="00BA2058">
            <w:pPr>
              <w:pStyle w:val="ListBullet"/>
              <w:spacing w:after="80"/>
              <w:ind w:left="1080" w:hanging="357"/>
              <w:contextualSpacing w:val="0"/>
            </w:pPr>
            <w:r>
              <w:t>Very low dermal toxicity, LD</w:t>
            </w:r>
            <w:r w:rsidRPr="00471839">
              <w:rPr>
                <w:vertAlign w:val="subscript"/>
              </w:rPr>
              <w:t>50</w:t>
            </w:r>
            <w:r w:rsidR="00A34D78">
              <w:t>:</w:t>
            </w:r>
            <w:r>
              <w:t xml:space="preserve"> &gt;20 m</w:t>
            </w:r>
            <w:r w:rsidR="003018D8">
              <w:t>L</w:t>
            </w:r>
            <w:r>
              <w:t>/kg</w:t>
            </w:r>
            <w:r w:rsidR="00A34D78">
              <w:t xml:space="preserve"> (rabbits)</w:t>
            </w:r>
          </w:p>
          <w:p w14:paraId="03F573E8" w14:textId="77777777" w:rsidR="00471839" w:rsidRDefault="00471839" w:rsidP="00BA2058">
            <w:pPr>
              <w:pStyle w:val="ListBullet"/>
              <w:spacing w:after="80"/>
              <w:ind w:left="1080" w:hanging="357"/>
              <w:contextualSpacing w:val="0"/>
            </w:pPr>
            <w:r>
              <w:t>Very low acute inhalation toxicity with a 4</w:t>
            </w:r>
            <w:r w:rsidR="00963927">
              <w:t xml:space="preserve"> </w:t>
            </w:r>
            <w:r>
              <w:t>h LC</w:t>
            </w:r>
            <w:r w:rsidRPr="00471839">
              <w:rPr>
                <w:vertAlign w:val="subscript"/>
              </w:rPr>
              <w:t>50</w:t>
            </w:r>
            <w:r w:rsidR="003018D8">
              <w:rPr>
                <w:vertAlign w:val="subscript"/>
              </w:rPr>
              <w:t>:</w:t>
            </w:r>
            <w:r w:rsidRPr="00471839">
              <w:rPr>
                <w:vertAlign w:val="subscript"/>
              </w:rPr>
              <w:t xml:space="preserve"> </w:t>
            </w:r>
            <w:r>
              <w:t>&gt;6,400 ppm and &lt;20,000 ppm in rats</w:t>
            </w:r>
          </w:p>
          <w:p w14:paraId="7A6C3204" w14:textId="503D539C" w:rsidR="00471839" w:rsidRDefault="00471839" w:rsidP="00BA2058">
            <w:pPr>
              <w:pStyle w:val="ListBullet"/>
              <w:spacing w:after="80"/>
              <w:ind w:left="1080" w:hanging="357"/>
              <w:contextualSpacing w:val="0"/>
            </w:pPr>
            <w:r>
              <w:t xml:space="preserve">Slight growth retardation </w:t>
            </w:r>
            <w:r w:rsidR="00622EB2">
              <w:t xml:space="preserve">was </w:t>
            </w:r>
            <w:r>
              <w:t>the only effect observed in rats, guinea pigs, dogs, rabbits and monkeys continuously exposed for 90 d at 35 ppm</w:t>
            </w:r>
          </w:p>
          <w:p w14:paraId="23C7C023" w14:textId="144174D3" w:rsidR="00471839" w:rsidRDefault="00622EB2" w:rsidP="00BA2058">
            <w:pPr>
              <w:pStyle w:val="ListBullet"/>
              <w:spacing w:after="80"/>
              <w:ind w:left="1080" w:hanging="357"/>
              <w:contextualSpacing w:val="0"/>
            </w:pPr>
            <w:r>
              <w:t xml:space="preserve">No adverse effects reported in </w:t>
            </w:r>
            <w:r w:rsidR="001F530F">
              <w:t xml:space="preserve">a </w:t>
            </w:r>
            <w:r w:rsidR="003018D8">
              <w:t>‘</w:t>
            </w:r>
            <w:r w:rsidR="001F530F">
              <w:t>group of animals</w:t>
            </w:r>
            <w:r w:rsidR="003018D8">
              <w:t>’</w:t>
            </w:r>
            <w:r w:rsidR="001F530F">
              <w:t xml:space="preserve"> </w:t>
            </w:r>
            <w:r>
              <w:t xml:space="preserve">exposed </w:t>
            </w:r>
            <w:r w:rsidR="001F530F">
              <w:t xml:space="preserve">8 h/d for 90 d at 700 ppm </w:t>
            </w:r>
          </w:p>
          <w:p w14:paraId="4122BBC8" w14:textId="2E2B7FB8" w:rsidR="00D34AE7" w:rsidRDefault="00D34AE7" w:rsidP="00BA2058">
            <w:pPr>
              <w:pStyle w:val="ListBullet"/>
              <w:spacing w:after="80"/>
              <w:ind w:left="1080" w:hanging="357"/>
              <w:contextualSpacing w:val="0"/>
            </w:pPr>
            <w:r>
              <w:t>Groups of pigmented rats exposed by inhalation at 2</w:t>
            </w:r>
            <w:r w:rsidR="0021026C">
              <w:t>,</w:t>
            </w:r>
            <w:r>
              <w:t>700, 4</w:t>
            </w:r>
            <w:r w:rsidR="0021026C">
              <w:t>,</w:t>
            </w:r>
            <w:r>
              <w:t>200, 6</w:t>
            </w:r>
            <w:r w:rsidR="0021026C">
              <w:t>,</w:t>
            </w:r>
            <w:r>
              <w:t>000 or 7</w:t>
            </w:r>
            <w:r w:rsidR="0021026C">
              <w:t>,</w:t>
            </w:r>
            <w:r>
              <w:t>200 ppm</w:t>
            </w:r>
            <w:r w:rsidR="00622EB2">
              <w:t xml:space="preserve"> and</w:t>
            </w:r>
            <w:r>
              <w:t xml:space="preserve"> effects analysed by recording eye movements upon different stimuli: </w:t>
            </w:r>
          </w:p>
          <w:p w14:paraId="6C8AC2EB" w14:textId="77777777" w:rsidR="00D34AE7" w:rsidRDefault="00D34AE7" w:rsidP="00BA2058">
            <w:pPr>
              <w:pStyle w:val="ListBullet"/>
              <w:numPr>
                <w:ilvl w:val="0"/>
                <w:numId w:val="4"/>
              </w:numPr>
              <w:spacing w:after="80"/>
              <w:ind w:hanging="357"/>
              <w:contextualSpacing w:val="0"/>
            </w:pPr>
            <w:r>
              <w:lastRenderedPageBreak/>
              <w:t>decrease in the eye movements</w:t>
            </w:r>
          </w:p>
          <w:p w14:paraId="2264945A" w14:textId="77777777" w:rsidR="00D34AE7" w:rsidRDefault="00D34AE7" w:rsidP="00BA2058">
            <w:pPr>
              <w:pStyle w:val="ListBullet"/>
              <w:numPr>
                <w:ilvl w:val="0"/>
                <w:numId w:val="4"/>
              </w:numPr>
              <w:spacing w:after="80"/>
              <w:ind w:hanging="357"/>
              <w:contextualSpacing w:val="0"/>
            </w:pPr>
            <w:r>
              <w:t xml:space="preserve">prolonged the duration of nystagmus </w:t>
            </w:r>
          </w:p>
          <w:p w14:paraId="079C1897" w14:textId="16FE9BCB" w:rsidR="001F530F" w:rsidRDefault="003018D8" w:rsidP="00BA2058">
            <w:pPr>
              <w:pStyle w:val="ListBullet"/>
              <w:numPr>
                <w:ilvl w:val="0"/>
                <w:numId w:val="4"/>
              </w:numPr>
              <w:spacing w:after="80"/>
              <w:ind w:hanging="357"/>
              <w:contextualSpacing w:val="0"/>
            </w:pPr>
            <w:r>
              <w:t>d</w:t>
            </w:r>
            <w:r w:rsidR="00D34AE7">
              <w:t>ecrease in ability to cancel nystagmus elicited by vestibular stimulation in conflict with a visual input</w:t>
            </w:r>
          </w:p>
          <w:p w14:paraId="0A680ECF" w14:textId="77777777" w:rsidR="00D34AE7" w:rsidRDefault="003018D8" w:rsidP="00BA2058">
            <w:pPr>
              <w:pStyle w:val="ListBullet"/>
              <w:numPr>
                <w:ilvl w:val="0"/>
                <w:numId w:val="4"/>
              </w:numPr>
              <w:spacing w:after="80"/>
              <w:ind w:hanging="357"/>
              <w:contextualSpacing w:val="0"/>
            </w:pPr>
            <w:r>
              <w:t>n</w:t>
            </w:r>
            <w:r w:rsidR="00D34AE7">
              <w:t>o further information</w:t>
            </w:r>
            <w:r>
              <w:t xml:space="preserve"> on concentrations and effects</w:t>
            </w:r>
          </w:p>
          <w:p w14:paraId="550CC648" w14:textId="40AB6C33" w:rsidR="00963927" w:rsidRDefault="00C923B7" w:rsidP="00FF3CF5">
            <w:pPr>
              <w:pStyle w:val="ListBullet"/>
              <w:spacing w:after="80"/>
              <w:ind w:left="1080" w:hanging="357"/>
              <w:contextualSpacing w:val="0"/>
            </w:pPr>
            <w:r>
              <w:t xml:space="preserve">Groups of rats, mice and hamsters exposed 6 h/d, 5 d/w for 18 </w:t>
            </w:r>
            <w:proofErr w:type="spellStart"/>
            <w:r>
              <w:t>mo</w:t>
            </w:r>
            <w:proofErr w:type="spellEnd"/>
            <w:r>
              <w:t xml:space="preserve"> at 100 or 500 ppm</w:t>
            </w:r>
            <w:r w:rsidR="00DB32C4">
              <w:t>:</w:t>
            </w:r>
            <w:r>
              <w:t xml:space="preserve"> </w:t>
            </w:r>
          </w:p>
          <w:p w14:paraId="661FA301" w14:textId="77777777" w:rsidR="00963927" w:rsidRDefault="00C923B7" w:rsidP="00963927">
            <w:pPr>
              <w:pStyle w:val="ListBullet"/>
              <w:numPr>
                <w:ilvl w:val="0"/>
                <w:numId w:val="10"/>
              </w:numPr>
              <w:spacing w:after="80"/>
              <w:contextualSpacing w:val="0"/>
            </w:pPr>
            <w:r>
              <w:t xml:space="preserve">a dose-related increase in the incidence of malignant lymphomas observed in female mice </w:t>
            </w:r>
          </w:p>
          <w:p w14:paraId="66BD37F3" w14:textId="77777777" w:rsidR="00D34AE7" w:rsidRDefault="00C923B7" w:rsidP="00BA2058">
            <w:pPr>
              <w:pStyle w:val="ListBullet"/>
              <w:numPr>
                <w:ilvl w:val="0"/>
                <w:numId w:val="10"/>
              </w:numPr>
              <w:spacing w:after="80"/>
              <w:contextualSpacing w:val="0"/>
            </w:pPr>
            <w:r>
              <w:t>17/30 at 100 ppm and 18/28 at 500 ppm versus 9/29 in controls</w:t>
            </w:r>
          </w:p>
          <w:p w14:paraId="04185646" w14:textId="77777777" w:rsidR="00154DB3" w:rsidRDefault="00FF73D8" w:rsidP="00BA2058">
            <w:pPr>
              <w:pStyle w:val="ListBullet"/>
              <w:numPr>
                <w:ilvl w:val="0"/>
                <w:numId w:val="5"/>
              </w:numPr>
              <w:spacing w:after="80"/>
              <w:ind w:hanging="357"/>
              <w:contextualSpacing w:val="0"/>
            </w:pPr>
            <w:r>
              <w:t>o</w:t>
            </w:r>
            <w:r w:rsidR="00154DB3">
              <w:t>bservation believed to be a nonspecific activation of a virus infestation</w:t>
            </w:r>
          </w:p>
          <w:p w14:paraId="34B26B9C" w14:textId="77777777" w:rsidR="00154DB3" w:rsidRDefault="00FF73D8" w:rsidP="00BA2058">
            <w:pPr>
              <w:pStyle w:val="ListBullet"/>
              <w:numPr>
                <w:ilvl w:val="0"/>
                <w:numId w:val="5"/>
              </w:numPr>
              <w:spacing w:after="80"/>
              <w:ind w:hanging="357"/>
              <w:contextualSpacing w:val="0"/>
            </w:pPr>
            <w:r>
              <w:t>n</w:t>
            </w:r>
            <w:r w:rsidR="00154DB3">
              <w:t>o statistically significant increase in tumour formation observed in any of the other groups</w:t>
            </w:r>
          </w:p>
          <w:p w14:paraId="3BD711A5" w14:textId="0A036B3F" w:rsidR="00C923B7" w:rsidRDefault="00154DB3" w:rsidP="00BA2058">
            <w:pPr>
              <w:pStyle w:val="ListBullet"/>
              <w:spacing w:after="80"/>
              <w:ind w:left="1080"/>
              <w:contextualSpacing w:val="0"/>
            </w:pPr>
            <w:r>
              <w:t>Groups of rats and mice exposed 7 h/d, 5 d/</w:t>
            </w:r>
            <w:proofErr w:type="spellStart"/>
            <w:r>
              <w:t>wk</w:t>
            </w:r>
            <w:proofErr w:type="spellEnd"/>
            <w:r>
              <w:t xml:space="preserve"> for 104 </w:t>
            </w:r>
            <w:proofErr w:type="spellStart"/>
            <w:r>
              <w:t>wk</w:t>
            </w:r>
            <w:proofErr w:type="spellEnd"/>
            <w:r>
              <w:t xml:space="preserve"> at 50, 150 or 450 ppm of reagent grade TCE</w:t>
            </w:r>
            <w:r w:rsidR="003018D8">
              <w:t>:</w:t>
            </w:r>
          </w:p>
          <w:p w14:paraId="44CCB5D7" w14:textId="77777777" w:rsidR="00154DB3" w:rsidRDefault="00FF73D8" w:rsidP="00BA2058">
            <w:pPr>
              <w:pStyle w:val="ListBullet"/>
              <w:numPr>
                <w:ilvl w:val="0"/>
                <w:numId w:val="6"/>
              </w:numPr>
              <w:spacing w:after="80"/>
              <w:contextualSpacing w:val="0"/>
            </w:pPr>
            <w:r>
              <w:t>t</w:t>
            </w:r>
            <w:r w:rsidR="00154DB3">
              <w:t>umours found mainly in the hematopoietic system, lungs and mammary glands of mice and in pituitary and mammary glands of rats</w:t>
            </w:r>
          </w:p>
          <w:p w14:paraId="7C68DD35" w14:textId="77777777" w:rsidR="00FF73D8" w:rsidRDefault="00FF73D8" w:rsidP="00BA2058">
            <w:pPr>
              <w:pStyle w:val="ListBullet"/>
              <w:numPr>
                <w:ilvl w:val="0"/>
                <w:numId w:val="6"/>
              </w:numPr>
              <w:spacing w:after="80"/>
              <w:contextualSpacing w:val="0"/>
            </w:pPr>
            <w:r>
              <w:t>average number of lung tumours</w:t>
            </w:r>
            <w:r w:rsidR="00963927">
              <w:t>/</w:t>
            </w:r>
            <w:r>
              <w:t>mouse in groups exposed at 150 and 450 ppm more than threefold the control incidence</w:t>
            </w:r>
          </w:p>
          <w:p w14:paraId="5DFB2DDE" w14:textId="77777777" w:rsidR="00FF73D8" w:rsidRDefault="00FF73D8" w:rsidP="00BA2058">
            <w:pPr>
              <w:pStyle w:val="ListBullet"/>
              <w:numPr>
                <w:ilvl w:val="0"/>
                <w:numId w:val="6"/>
              </w:numPr>
              <w:spacing w:after="80"/>
              <w:contextualSpacing w:val="0"/>
            </w:pPr>
            <w:r>
              <w:t>incidences of pulmonary adenocarcinomas in mice exposed at 150 and 450 ppm were 16% and 15%, respectively; significantly higher than the controls (2%)</w:t>
            </w:r>
          </w:p>
          <w:p w14:paraId="081B81FB" w14:textId="77777777" w:rsidR="00FF73D8" w:rsidRDefault="00FF73D8" w:rsidP="00BA2058">
            <w:pPr>
              <w:pStyle w:val="ListBullet"/>
              <w:numPr>
                <w:ilvl w:val="0"/>
                <w:numId w:val="6"/>
              </w:numPr>
              <w:spacing w:after="80"/>
              <w:contextualSpacing w:val="0"/>
            </w:pPr>
            <w:r>
              <w:t>incidences of other types of tumours not significantly different</w:t>
            </w:r>
          </w:p>
          <w:p w14:paraId="225635FA" w14:textId="77777777" w:rsidR="00FF73D8" w:rsidRDefault="00FF73D8" w:rsidP="00BA2058">
            <w:pPr>
              <w:pStyle w:val="ListBullet"/>
              <w:numPr>
                <w:ilvl w:val="0"/>
                <w:numId w:val="6"/>
              </w:numPr>
              <w:spacing w:after="80"/>
              <w:contextualSpacing w:val="0"/>
            </w:pPr>
            <w:r>
              <w:t>incidence of tumours in rats and mice exposed at 50 ppm not significantly different</w:t>
            </w:r>
          </w:p>
          <w:p w14:paraId="60618FB6" w14:textId="77777777" w:rsidR="00FF73D8" w:rsidRDefault="003F29CE" w:rsidP="00BA2058">
            <w:pPr>
              <w:pStyle w:val="ListBullet"/>
              <w:spacing w:after="80"/>
              <w:ind w:left="1080"/>
              <w:contextualSpacing w:val="0"/>
            </w:pPr>
            <w:r>
              <w:t>Male and female rats and mice exposed at 7 h/d, 5 d/</w:t>
            </w:r>
            <w:proofErr w:type="spellStart"/>
            <w:r>
              <w:t>wk</w:t>
            </w:r>
            <w:proofErr w:type="spellEnd"/>
            <w:r>
              <w:t xml:space="preserve"> for 8 </w:t>
            </w:r>
            <w:proofErr w:type="spellStart"/>
            <w:r>
              <w:t>wk</w:t>
            </w:r>
            <w:proofErr w:type="spellEnd"/>
            <w:r>
              <w:t xml:space="preserve"> at 100 or 600 ppm and for 104 </w:t>
            </w:r>
            <w:proofErr w:type="spellStart"/>
            <w:r>
              <w:t>wk</w:t>
            </w:r>
            <w:proofErr w:type="spellEnd"/>
            <w:r>
              <w:t xml:space="preserve"> (rats) and 78 </w:t>
            </w:r>
            <w:proofErr w:type="spellStart"/>
            <w:r>
              <w:t>wk</w:t>
            </w:r>
            <w:proofErr w:type="spellEnd"/>
            <w:r>
              <w:t xml:space="preserve"> (mice) at 100, 300 and 600 ppm</w:t>
            </w:r>
            <w:r w:rsidR="003018D8">
              <w:t>:</w:t>
            </w:r>
          </w:p>
          <w:p w14:paraId="19D3156E" w14:textId="77777777" w:rsidR="003F29CE" w:rsidRDefault="003018D8" w:rsidP="00BA2058">
            <w:pPr>
              <w:pStyle w:val="ListBullet"/>
              <w:numPr>
                <w:ilvl w:val="0"/>
                <w:numId w:val="7"/>
              </w:numPr>
              <w:spacing w:after="80"/>
              <w:contextualSpacing w:val="0"/>
            </w:pPr>
            <w:r>
              <w:t xml:space="preserve">8 </w:t>
            </w:r>
            <w:proofErr w:type="spellStart"/>
            <w:r>
              <w:t>wk</w:t>
            </w:r>
            <w:proofErr w:type="spellEnd"/>
            <w:r>
              <w:t xml:space="preserve"> </w:t>
            </w:r>
            <w:r w:rsidR="00BD6098">
              <w:t xml:space="preserve">exposure </w:t>
            </w:r>
            <w:r w:rsidR="00BA2058">
              <w:t>in</w:t>
            </w:r>
            <w:r w:rsidR="00BD6098">
              <w:t xml:space="preserve"> rats did not result in increased tumour incidences observed at 164 </w:t>
            </w:r>
            <w:proofErr w:type="spellStart"/>
            <w:r w:rsidR="00BD6098">
              <w:t>wk</w:t>
            </w:r>
            <w:proofErr w:type="spellEnd"/>
          </w:p>
          <w:p w14:paraId="51E9EE68" w14:textId="77777777" w:rsidR="00BD6098" w:rsidRDefault="00BD6098" w:rsidP="00BA2058">
            <w:pPr>
              <w:pStyle w:val="ListBullet"/>
              <w:numPr>
                <w:ilvl w:val="0"/>
                <w:numId w:val="7"/>
              </w:numPr>
              <w:spacing w:after="80"/>
              <w:contextualSpacing w:val="0"/>
            </w:pPr>
            <w:r>
              <w:t xml:space="preserve">slight increases noted in leukaemia and renal adenocarcinomas in male </w:t>
            </w:r>
            <w:r w:rsidR="00BA2058">
              <w:t>and</w:t>
            </w:r>
            <w:r>
              <w:t xml:space="preserve"> not female rats exposed at 600 ppm</w:t>
            </w:r>
          </w:p>
          <w:p w14:paraId="166BF6A2" w14:textId="77777777" w:rsidR="00BD6098" w:rsidRDefault="00BD6098" w:rsidP="00BA2058">
            <w:pPr>
              <w:pStyle w:val="ListBullet"/>
              <w:numPr>
                <w:ilvl w:val="0"/>
                <w:numId w:val="7"/>
              </w:numPr>
              <w:spacing w:after="80"/>
              <w:contextualSpacing w:val="0"/>
            </w:pPr>
            <w:r>
              <w:t>lung tumours and hepatomas increased in male mice exposed at 300 and 600 ppm and for hepatomas at 600 ppm</w:t>
            </w:r>
          </w:p>
          <w:p w14:paraId="46E15914" w14:textId="77777777" w:rsidR="00BD6098" w:rsidRDefault="00BD6098" w:rsidP="00BA2058">
            <w:pPr>
              <w:pStyle w:val="ListBullet"/>
              <w:numPr>
                <w:ilvl w:val="0"/>
                <w:numId w:val="7"/>
              </w:numPr>
              <w:spacing w:after="80"/>
              <w:contextualSpacing w:val="0"/>
            </w:pPr>
            <w:r>
              <w:t>increases seen in female mice with the increase in lung tumours at 600 ppm statistically significant</w:t>
            </w:r>
          </w:p>
          <w:p w14:paraId="4E231EE5" w14:textId="77777777" w:rsidR="00BD6098" w:rsidRDefault="00BD6098" w:rsidP="00BA2058">
            <w:pPr>
              <w:pStyle w:val="ListBullet"/>
              <w:spacing w:after="80"/>
              <w:ind w:left="1080"/>
              <w:contextualSpacing w:val="0"/>
            </w:pPr>
            <w:r>
              <w:t>Groups of 50 male and 50 female rats and mice administered epichlorohydrin-free TCE by gavage, 5/</w:t>
            </w:r>
            <w:proofErr w:type="spellStart"/>
            <w:r>
              <w:t>wk</w:t>
            </w:r>
            <w:proofErr w:type="spellEnd"/>
            <w:r>
              <w:t xml:space="preserve"> for 103 </w:t>
            </w:r>
            <w:proofErr w:type="spellStart"/>
            <w:r>
              <w:t>wk</w:t>
            </w:r>
            <w:proofErr w:type="spellEnd"/>
            <w:r>
              <w:t>; doses 500 or 1</w:t>
            </w:r>
            <w:r w:rsidR="008441C9">
              <w:t>,</w:t>
            </w:r>
            <w:r>
              <w:t>000 mg/kg/d for rats and 1</w:t>
            </w:r>
            <w:r w:rsidR="008441C9">
              <w:t>,</w:t>
            </w:r>
            <w:r>
              <w:t>000 mg/kg/d for mice</w:t>
            </w:r>
            <w:r w:rsidR="003018D8">
              <w:t>:</w:t>
            </w:r>
          </w:p>
          <w:p w14:paraId="34650DBC" w14:textId="77777777" w:rsidR="00BD6098" w:rsidRDefault="00BD6098" w:rsidP="00BA2058">
            <w:pPr>
              <w:pStyle w:val="ListBullet"/>
              <w:numPr>
                <w:ilvl w:val="0"/>
                <w:numId w:val="8"/>
              </w:numPr>
              <w:spacing w:after="80"/>
              <w:contextualSpacing w:val="0"/>
            </w:pPr>
            <w:r>
              <w:t>incidence of renal tubular adenocarcinomas in male rats increased (low dose</w:t>
            </w:r>
            <w:r w:rsidR="00BA2058">
              <w:t xml:space="preserve">: 0/49 </w:t>
            </w:r>
            <w:r>
              <w:t>and high dose</w:t>
            </w:r>
            <w:r w:rsidR="00BA2058">
              <w:t>: 3/49</w:t>
            </w:r>
            <w:r>
              <w:t xml:space="preserve"> </w:t>
            </w:r>
            <w:r w:rsidR="008441C9">
              <w:t>vs</w:t>
            </w:r>
            <w:r>
              <w:t xml:space="preserve"> </w:t>
            </w:r>
            <w:r w:rsidR="00BA2058">
              <w:t xml:space="preserve">controls: </w:t>
            </w:r>
            <w:r>
              <w:t>0/48</w:t>
            </w:r>
            <w:r w:rsidR="00BA2058">
              <w:t>)</w:t>
            </w:r>
          </w:p>
          <w:p w14:paraId="23CCB745" w14:textId="77777777" w:rsidR="00BD6098" w:rsidRDefault="00BD6098" w:rsidP="00BA2058">
            <w:pPr>
              <w:pStyle w:val="ListBullet"/>
              <w:numPr>
                <w:ilvl w:val="0"/>
                <w:numId w:val="8"/>
              </w:numPr>
              <w:spacing w:after="80"/>
              <w:contextualSpacing w:val="0"/>
            </w:pPr>
            <w:r>
              <w:t xml:space="preserve">combination of renal tubular adenomas and adenocarcinomas occurred with a positive trend (2/49 </w:t>
            </w:r>
            <w:r w:rsidR="00BA2058">
              <w:t xml:space="preserve">for low dose </w:t>
            </w:r>
            <w:r>
              <w:t xml:space="preserve">and 3/49 </w:t>
            </w:r>
            <w:r w:rsidR="00BA2058">
              <w:t xml:space="preserve">for high dose </w:t>
            </w:r>
            <w:r w:rsidR="008441C9">
              <w:t>vs</w:t>
            </w:r>
            <w:r>
              <w:t xml:space="preserve"> 0/48</w:t>
            </w:r>
            <w:r w:rsidR="00BA2058">
              <w:t xml:space="preserve"> for control</w:t>
            </w:r>
            <w:r>
              <w:t>)</w:t>
            </w:r>
          </w:p>
          <w:p w14:paraId="7F9FA0F6" w14:textId="64E80194" w:rsidR="00BD6098" w:rsidRDefault="000D6AEB" w:rsidP="00BA2058">
            <w:pPr>
              <w:pStyle w:val="ListBullet"/>
              <w:numPr>
                <w:ilvl w:val="0"/>
                <w:numId w:val="8"/>
              </w:numPr>
              <w:spacing w:after="80"/>
              <w:contextualSpacing w:val="0"/>
            </w:pPr>
            <w:r>
              <w:t xml:space="preserve">one </w:t>
            </w:r>
            <w:r w:rsidR="00BD6098">
              <w:t>high-dose female rat had a renal tubular adenocarcinoma</w:t>
            </w:r>
          </w:p>
          <w:p w14:paraId="29EF07D6" w14:textId="77777777" w:rsidR="00BD6098" w:rsidRDefault="00BD6098" w:rsidP="00BA2058">
            <w:pPr>
              <w:pStyle w:val="ListBullet"/>
              <w:numPr>
                <w:ilvl w:val="0"/>
                <w:numId w:val="8"/>
              </w:numPr>
              <w:spacing w:after="80"/>
              <w:contextualSpacing w:val="0"/>
            </w:pPr>
            <w:r>
              <w:t xml:space="preserve">combined incidence of renal tubular and renal pelvis tumours in male rats (3/49 </w:t>
            </w:r>
            <w:r w:rsidR="00BA2058">
              <w:t xml:space="preserve">for low dose </w:t>
            </w:r>
            <w:r>
              <w:t xml:space="preserve">and 4/49 </w:t>
            </w:r>
            <w:r w:rsidR="00BA2058">
              <w:t xml:space="preserve">for high dose </w:t>
            </w:r>
            <w:r>
              <w:t>vs 0/48</w:t>
            </w:r>
            <w:r w:rsidR="00BA2058">
              <w:t xml:space="preserve"> for control</w:t>
            </w:r>
            <w:r>
              <w:t>) occurred with a positive trend</w:t>
            </w:r>
          </w:p>
          <w:p w14:paraId="520C69FE" w14:textId="7A6119F4" w:rsidR="00BD6098" w:rsidRDefault="00BD6098" w:rsidP="00BA2058">
            <w:pPr>
              <w:pStyle w:val="ListBullet"/>
              <w:numPr>
                <w:ilvl w:val="0"/>
                <w:numId w:val="8"/>
              </w:numPr>
              <w:spacing w:after="80"/>
              <w:contextualSpacing w:val="0"/>
            </w:pPr>
            <w:r>
              <w:t xml:space="preserve">in mice, a statistically significant increase in incidence of hepatocellular carcinomas </w:t>
            </w:r>
            <w:r w:rsidR="000D6AEB">
              <w:t xml:space="preserve">was </w:t>
            </w:r>
            <w:r>
              <w:t>observed: 8/48</w:t>
            </w:r>
            <w:r w:rsidR="00BA2058">
              <w:t xml:space="preserve"> for low dose</w:t>
            </w:r>
            <w:r>
              <w:t>, 30/50</w:t>
            </w:r>
            <w:r w:rsidR="00BA2058">
              <w:t xml:space="preserve"> for high dose</w:t>
            </w:r>
            <w:r>
              <w:t xml:space="preserve"> in males and 2/48 </w:t>
            </w:r>
            <w:r w:rsidR="00BA2058">
              <w:t xml:space="preserve">for low dose </w:t>
            </w:r>
            <w:r>
              <w:t>and 13/49</w:t>
            </w:r>
            <w:r w:rsidR="00BA2058">
              <w:t xml:space="preserve"> for high dose</w:t>
            </w:r>
            <w:r>
              <w:t xml:space="preserve"> in females</w:t>
            </w:r>
          </w:p>
          <w:p w14:paraId="414B1987" w14:textId="77777777" w:rsidR="00BD6098" w:rsidRDefault="001924DA" w:rsidP="00BA2058">
            <w:pPr>
              <w:pStyle w:val="ListBullet"/>
              <w:numPr>
                <w:ilvl w:val="0"/>
                <w:numId w:val="8"/>
              </w:numPr>
              <w:spacing w:after="80"/>
              <w:contextualSpacing w:val="0"/>
            </w:pPr>
            <w:r>
              <w:t xml:space="preserve">incidence of hepatocellular adenomas significantly increased in females (2/48 </w:t>
            </w:r>
            <w:r w:rsidR="00BA2058">
              <w:t xml:space="preserve">for low dose </w:t>
            </w:r>
            <w:r>
              <w:t>and 8/49</w:t>
            </w:r>
            <w:r w:rsidR="00BA2058">
              <w:t xml:space="preserve"> for high dose</w:t>
            </w:r>
            <w:r>
              <w:t>)</w:t>
            </w:r>
          </w:p>
          <w:p w14:paraId="791F2B3A" w14:textId="77777777" w:rsidR="001924DA" w:rsidRDefault="001924DA" w:rsidP="00BA2058">
            <w:pPr>
              <w:pStyle w:val="ListBullet"/>
              <w:numPr>
                <w:ilvl w:val="0"/>
                <w:numId w:val="8"/>
              </w:numPr>
              <w:spacing w:after="80"/>
              <w:contextualSpacing w:val="0"/>
            </w:pPr>
            <w:r>
              <w:lastRenderedPageBreak/>
              <w:t xml:space="preserve">increased incidence of alveolar/bronchiolar adenomas noted in females (0/48 </w:t>
            </w:r>
            <w:r w:rsidR="00BA2058">
              <w:t xml:space="preserve">for low does </w:t>
            </w:r>
            <w:r>
              <w:t>and 4/48</w:t>
            </w:r>
            <w:r w:rsidR="00BA2058">
              <w:t xml:space="preserve"> for high dose</w:t>
            </w:r>
            <w:r>
              <w:t>)</w:t>
            </w:r>
            <w:r w:rsidR="003018D8">
              <w:t>.</w:t>
            </w:r>
          </w:p>
          <w:p w14:paraId="3BCA5272" w14:textId="3391753D" w:rsidR="001924DA" w:rsidRDefault="001924DA" w:rsidP="00BA2058">
            <w:pPr>
              <w:pStyle w:val="Tabletextprimarysource"/>
              <w:spacing w:before="80" w:after="80"/>
            </w:pPr>
            <w:r>
              <w:t>Genotoxicity</w:t>
            </w:r>
            <w:r w:rsidR="00DB32C4">
              <w:t>:</w:t>
            </w:r>
          </w:p>
          <w:p w14:paraId="5BC9BB5A" w14:textId="77777777" w:rsidR="001924DA" w:rsidRDefault="001924DA" w:rsidP="00BA2058">
            <w:pPr>
              <w:pStyle w:val="ListBullet"/>
              <w:spacing w:after="80"/>
              <w:ind w:left="1080"/>
              <w:contextualSpacing w:val="0"/>
            </w:pPr>
            <w:r>
              <w:t>Weakly mutagenic in the presence of a metabolic activation system in the Ames Salmonella assay</w:t>
            </w:r>
          </w:p>
          <w:p w14:paraId="652540A9" w14:textId="77777777" w:rsidR="00EE76F6" w:rsidRDefault="00E26C26" w:rsidP="00BA2058">
            <w:pPr>
              <w:pStyle w:val="ListBullet"/>
              <w:spacing w:after="80"/>
              <w:ind w:left="1080"/>
              <w:contextualSpacing w:val="0"/>
            </w:pPr>
            <w:r>
              <w:t xml:space="preserve">The author of a review of data available on the genotoxic effects concluded that with indicator tests </w:t>
            </w:r>
            <w:r w:rsidRPr="00E26C26">
              <w:rPr>
                <w:i/>
              </w:rPr>
              <w:t>in vitro</w:t>
            </w:r>
            <w:r>
              <w:t>, there was no indication of chromosomal damage in yeast, no effect in bacteria and no induction of unscheduled DNA synthesis (UDS)</w:t>
            </w:r>
          </w:p>
          <w:p w14:paraId="612E92D9" w14:textId="77777777" w:rsidR="00E26C26" w:rsidRDefault="00E26C26" w:rsidP="001924DA">
            <w:pPr>
              <w:pStyle w:val="ListBullet"/>
              <w:ind w:left="1080"/>
            </w:pPr>
            <w:r>
              <w:t>Concluded TCE and its metabolites are weakly genotoxic and required high doses to induce a response</w:t>
            </w:r>
            <w:r w:rsidR="003018D8">
              <w:t>.</w:t>
            </w:r>
          </w:p>
          <w:p w14:paraId="52C4678C" w14:textId="77777777" w:rsidR="00963927" w:rsidRDefault="00963927" w:rsidP="00385E54">
            <w:pPr>
              <w:pStyle w:val="Tabletextprimarysource"/>
            </w:pPr>
          </w:p>
          <w:p w14:paraId="53C54218" w14:textId="77777777" w:rsidR="00385E54" w:rsidRDefault="00385E54" w:rsidP="00385E54">
            <w:pPr>
              <w:pStyle w:val="Tabletextprimarysource"/>
            </w:pPr>
            <w:r>
              <w:t>Insufficient data to warrant a sensitiser notation or STEL</w:t>
            </w:r>
            <w:r w:rsidR="003018D8">
              <w:t>.</w:t>
            </w:r>
          </w:p>
          <w:p w14:paraId="5185838F" w14:textId="77777777" w:rsidR="00385E54" w:rsidRDefault="00385E54" w:rsidP="00385E54">
            <w:pPr>
              <w:pStyle w:val="Tabletextprimarysource"/>
            </w:pPr>
            <w:r>
              <w:t>Skin notation not warranted based on low dermal toxicity.</w:t>
            </w:r>
          </w:p>
          <w:p w14:paraId="0A14F3EC" w14:textId="77777777" w:rsidR="00963927" w:rsidRPr="00DA352E" w:rsidRDefault="00963927" w:rsidP="00385E54">
            <w:pPr>
              <w:pStyle w:val="Tabletextprimarysource"/>
            </w:pPr>
          </w:p>
        </w:tc>
      </w:tr>
      <w:tr w:rsidR="00C978F0" w:rsidRPr="00DA352E" w14:paraId="1131BEBB" w14:textId="77777777" w:rsidTr="00C57D00">
        <w:trPr>
          <w:gridAfter w:val="1"/>
          <w:wAfter w:w="8" w:type="pct"/>
        </w:trPr>
        <w:tc>
          <w:tcPr>
            <w:tcW w:w="4992" w:type="pct"/>
            <w:shd w:val="clear" w:color="auto" w:fill="F2F2F2" w:themeFill="background1" w:themeFillShade="F2"/>
          </w:tcPr>
          <w:p w14:paraId="4CF940A4"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1844B2">
                  <w:t>2</w:t>
                </w:r>
                <w:r w:rsidR="0026236E">
                  <w:t>014</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1844B2">
                  <w:t>Not assigned</w:t>
                </w:r>
              </w:sdtContent>
            </w:sdt>
          </w:p>
        </w:tc>
      </w:tr>
      <w:tr w:rsidR="00C978F0" w:rsidRPr="00DA352E" w14:paraId="112AB545" w14:textId="77777777" w:rsidTr="00C57D00">
        <w:trPr>
          <w:gridAfter w:val="1"/>
          <w:wAfter w:w="8" w:type="pct"/>
        </w:trPr>
        <w:tc>
          <w:tcPr>
            <w:tcW w:w="4992" w:type="pct"/>
          </w:tcPr>
          <w:p w14:paraId="3C6EB5AB" w14:textId="77777777" w:rsidR="00C978F0" w:rsidRDefault="00385E54" w:rsidP="003365A5">
            <w:pPr>
              <w:pStyle w:val="Tabletextprimarysource"/>
            </w:pPr>
            <w:r>
              <w:t xml:space="preserve">No MAK recommended based on </w:t>
            </w:r>
            <w:r w:rsidR="00DE1EE1">
              <w:t>carcinogenic evidence in humans noted below.</w:t>
            </w:r>
          </w:p>
          <w:p w14:paraId="7E3C41A0" w14:textId="7469AF75" w:rsidR="00385E54" w:rsidRDefault="00385E54" w:rsidP="003365A5">
            <w:pPr>
              <w:pStyle w:val="Tabletextprimarysource"/>
            </w:pPr>
            <w:r>
              <w:t>Summary of additional data:</w:t>
            </w:r>
          </w:p>
          <w:p w14:paraId="68AE9587" w14:textId="77777777" w:rsidR="00385E54" w:rsidRDefault="00385E54" w:rsidP="00BA2058">
            <w:pPr>
              <w:pStyle w:val="ListBullet"/>
              <w:spacing w:after="80"/>
              <w:ind w:left="1077" w:hanging="357"/>
              <w:contextualSpacing w:val="0"/>
            </w:pPr>
            <w:r>
              <w:t>2 case–control studies revealed an increased risk of renal cancer after long-term occupational exposure and exposure to high concentrations (cited by ACGIH, 2018)</w:t>
            </w:r>
          </w:p>
          <w:p w14:paraId="0CAB465F" w14:textId="77777777" w:rsidR="00DE1EE1" w:rsidRDefault="00385E54" w:rsidP="00BA2058">
            <w:pPr>
              <w:pStyle w:val="ListBullet"/>
              <w:spacing w:after="80"/>
              <w:ind w:left="1077" w:hanging="357"/>
              <w:contextualSpacing w:val="0"/>
            </w:pPr>
            <w:r>
              <w:t>An</w:t>
            </w:r>
            <w:r w:rsidR="00DE1EE1">
              <w:t xml:space="preserve"> increased risk only for exposed females identified in 2 other case-control studies (cited by ACGIH, 2018)</w:t>
            </w:r>
            <w:r w:rsidR="008441C9">
              <w:t>.</w:t>
            </w:r>
          </w:p>
          <w:p w14:paraId="21B75453" w14:textId="77777777" w:rsidR="00BA2058" w:rsidRPr="00DA352E" w:rsidRDefault="00BA2058" w:rsidP="00BA2058">
            <w:pPr>
              <w:pStyle w:val="ListBullet"/>
              <w:numPr>
                <w:ilvl w:val="0"/>
                <w:numId w:val="0"/>
              </w:numPr>
              <w:spacing w:after="80"/>
              <w:ind w:left="360" w:hanging="360"/>
              <w:contextualSpacing w:val="0"/>
            </w:pPr>
          </w:p>
        </w:tc>
      </w:tr>
      <w:tr w:rsidR="00C978F0" w:rsidRPr="00DA352E" w14:paraId="6A424F62" w14:textId="77777777" w:rsidTr="00C57D00">
        <w:trPr>
          <w:gridAfter w:val="1"/>
          <w:wAfter w:w="8" w:type="pct"/>
        </w:trPr>
        <w:tc>
          <w:tcPr>
            <w:tcW w:w="4992" w:type="pct"/>
            <w:shd w:val="clear" w:color="auto" w:fill="F2F2F2" w:themeFill="background1" w:themeFillShade="F2"/>
          </w:tcPr>
          <w:p w14:paraId="2E78C5A0" w14:textId="77777777" w:rsidR="00C978F0" w:rsidRPr="00DA352E" w:rsidRDefault="00DA352E" w:rsidP="00A54B4E">
            <w:pPr>
              <w:pStyle w:val="Tablerowheadingitalic"/>
              <w:tabs>
                <w:tab w:val="clear" w:pos="2268"/>
                <w:tab w:val="clear" w:pos="5670"/>
                <w:tab w:val="left" w:pos="1418"/>
                <w:tab w:val="left" w:pos="2552"/>
              </w:tabs>
              <w:ind w:left="2857" w:hanging="2857"/>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A54B4E">
                  <w:t>2009</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A54B4E" w:rsidRPr="00A54B4E">
                  <w:t>TWA:</w:t>
                </w:r>
                <w:r w:rsidR="00A54B4E">
                  <w:t xml:space="preserve"> 10 ppm (54.7 mg/m</w:t>
                </w:r>
                <w:r w:rsidR="00A54B4E" w:rsidRPr="00A54B4E">
                  <w:rPr>
                    <w:vertAlign w:val="superscript"/>
                  </w:rPr>
                  <w:t>3</w:t>
                </w:r>
                <w:r w:rsidR="00A54B4E">
                  <w:t>); STEL: 30 ppm (164.1 mg/m</w:t>
                </w:r>
                <w:r w:rsidR="00A54B4E" w:rsidRPr="00A54B4E">
                  <w:rPr>
                    <w:vertAlign w:val="superscript"/>
                  </w:rPr>
                  <w:t>3</w:t>
                </w:r>
                <w:r w:rsidR="00A54B4E">
                  <w:t>)</w:t>
                </w:r>
              </w:sdtContent>
            </w:sdt>
          </w:p>
        </w:tc>
      </w:tr>
      <w:tr w:rsidR="00C978F0" w:rsidRPr="00DA352E" w14:paraId="599E05A4" w14:textId="77777777" w:rsidTr="00C57D00">
        <w:trPr>
          <w:gridAfter w:val="1"/>
          <w:wAfter w:w="8" w:type="pct"/>
        </w:trPr>
        <w:tc>
          <w:tcPr>
            <w:tcW w:w="4992" w:type="pct"/>
          </w:tcPr>
          <w:p w14:paraId="0CEC4EA7" w14:textId="77777777" w:rsidR="00DE1EE1" w:rsidRDefault="00DE1EE1" w:rsidP="003365A5">
            <w:pPr>
              <w:pStyle w:val="Tabletextprimarysource"/>
            </w:pPr>
            <w:r>
              <w:t>TWA recommended to avoid renal toxicity as a threshold to renal carcinogenicity</w:t>
            </w:r>
          </w:p>
          <w:p w14:paraId="60920D4B" w14:textId="77777777" w:rsidR="00C978F0" w:rsidRDefault="00DE1EE1" w:rsidP="003365A5">
            <w:pPr>
              <w:pStyle w:val="Tabletextprimarysource"/>
            </w:pPr>
            <w:r>
              <w:t>Summary of additional data:</w:t>
            </w:r>
          </w:p>
          <w:p w14:paraId="5E14F207" w14:textId="77777777" w:rsidR="00DE1EE1" w:rsidRDefault="00DE1EE1" w:rsidP="00BA2058">
            <w:pPr>
              <w:pStyle w:val="ListBullet"/>
              <w:spacing w:after="80"/>
              <w:ind w:left="1077" w:hanging="357"/>
              <w:contextualSpacing w:val="0"/>
            </w:pPr>
            <w:r>
              <w:t>The key target of human TCE toxicity and carcinogenesis is the kidney, notably the proximal tubule</w:t>
            </w:r>
          </w:p>
          <w:p w14:paraId="6495D314" w14:textId="77777777" w:rsidR="00DE1EE1" w:rsidRDefault="00DE1EE1" w:rsidP="00BA2058">
            <w:pPr>
              <w:pStyle w:val="ListBullet"/>
              <w:spacing w:after="80"/>
              <w:ind w:left="1077" w:hanging="357"/>
              <w:contextualSpacing w:val="0"/>
            </w:pPr>
            <w:r>
              <w:t>Human renal cell cancer observed in highly and repetitively exposed workers, having used TCE mostly in metal degreasing activities</w:t>
            </w:r>
          </w:p>
          <w:p w14:paraId="62CF8C9E" w14:textId="77777777" w:rsidR="00DE1EE1" w:rsidRDefault="00DE1EE1" w:rsidP="00BA2058">
            <w:pPr>
              <w:pStyle w:val="ListBullet"/>
              <w:spacing w:after="80"/>
              <w:ind w:left="1077" w:hanging="357"/>
              <w:contextualSpacing w:val="0"/>
            </w:pPr>
            <w:r>
              <w:t xml:space="preserve">Observations in experimental systems </w:t>
            </w:r>
            <w:r w:rsidR="00BA2058">
              <w:t>and</w:t>
            </w:r>
            <w:r>
              <w:t xml:space="preserve"> in occupationally exposed and diseased persons, lead to the conclusion that human renal cell cancer risk is avoided if exposure to nephrotoxic concentrations of TCE do not occur, including concentrations leading to sub-clinical renal changes</w:t>
            </w:r>
          </w:p>
          <w:p w14:paraId="4F5267E2" w14:textId="3B7D7DB6" w:rsidR="00DE1EE1" w:rsidRDefault="00DE1EE1" w:rsidP="00BA2058">
            <w:pPr>
              <w:pStyle w:val="ListBullet"/>
              <w:spacing w:after="80"/>
              <w:ind w:left="1077" w:hanging="357"/>
              <w:contextualSpacing w:val="0"/>
            </w:pPr>
            <w:r>
              <w:t xml:space="preserve">Occupational field study on 70 workers with mean exposure </w:t>
            </w:r>
            <w:r w:rsidR="00BA2058">
              <w:t>at</w:t>
            </w:r>
            <w:r>
              <w:t xml:space="preserve"> 32 ppm (range 0.5</w:t>
            </w:r>
            <w:r w:rsidR="00DB32C4">
              <w:t>–</w:t>
            </w:r>
            <w:r>
              <w:t>252</w:t>
            </w:r>
            <w:r w:rsidR="008441C9">
              <w:t> </w:t>
            </w:r>
            <w:r>
              <w:t>ppm); minor sub-clinical alterations in renal functional parameters observed</w:t>
            </w:r>
          </w:p>
          <w:p w14:paraId="276824D1" w14:textId="007A8DD2" w:rsidR="00BA2058" w:rsidRDefault="00DE1EE1" w:rsidP="008B583A">
            <w:pPr>
              <w:pStyle w:val="ListBullet"/>
              <w:spacing w:after="80"/>
              <w:ind w:left="1077" w:hanging="357"/>
              <w:contextualSpacing w:val="0"/>
            </w:pPr>
            <w:r>
              <w:t xml:space="preserve">No increase in urinary excretion of NAG marker protein in workers exposed </w:t>
            </w:r>
            <w:r w:rsidR="00BA2058">
              <w:t>at</w:t>
            </w:r>
            <w:r>
              <w:t xml:space="preserve"> </w:t>
            </w:r>
            <w:r w:rsidR="00BA2058">
              <w:br/>
            </w:r>
            <w:r>
              <w:t>6</w:t>
            </w:r>
            <w:r w:rsidR="007941E0">
              <w:t>–</w:t>
            </w:r>
            <w:r>
              <w:t>10 ppm</w:t>
            </w:r>
            <w:r w:rsidR="00DB32C4">
              <w:t>:</w:t>
            </w:r>
            <w:r>
              <w:t xml:space="preserve"> </w:t>
            </w:r>
          </w:p>
          <w:p w14:paraId="615925FD" w14:textId="77777777" w:rsidR="00DE1EE1" w:rsidRDefault="00DE1EE1" w:rsidP="00BA2058">
            <w:pPr>
              <w:pStyle w:val="ListBullet"/>
              <w:numPr>
                <w:ilvl w:val="0"/>
                <w:numId w:val="11"/>
              </w:numPr>
              <w:spacing w:after="80"/>
              <w:contextualSpacing w:val="0"/>
            </w:pPr>
            <w:r>
              <w:t>NOAE</w:t>
            </w:r>
            <w:r w:rsidR="00BA2058">
              <w:t>C</w:t>
            </w:r>
            <w:r>
              <w:t xml:space="preserve"> of 10 ppm</w:t>
            </w:r>
          </w:p>
          <w:p w14:paraId="3413405D" w14:textId="77777777" w:rsidR="00DE1EE1" w:rsidRDefault="00DE1EE1" w:rsidP="00BA2058">
            <w:pPr>
              <w:pStyle w:val="ListBullet"/>
              <w:spacing w:after="80"/>
              <w:ind w:left="1077" w:hanging="357"/>
              <w:contextualSpacing w:val="0"/>
            </w:pPr>
            <w:r>
              <w:t xml:space="preserve">Classed as a genotoxic carcinogen, for which a practical threshold is supported by studies on mechanisms and/or </w:t>
            </w:r>
            <w:proofErr w:type="spellStart"/>
            <w:r>
              <w:t>toxicokinetics</w:t>
            </w:r>
            <w:proofErr w:type="spellEnd"/>
          </w:p>
          <w:p w14:paraId="61990760" w14:textId="77777777" w:rsidR="00DE1EE1" w:rsidRDefault="00DE1EE1" w:rsidP="00BA2058">
            <w:pPr>
              <w:pStyle w:val="ListBullet"/>
              <w:spacing w:after="80"/>
              <w:ind w:left="1077" w:hanging="357"/>
              <w:contextualSpacing w:val="0"/>
            </w:pPr>
            <w:r>
              <w:t>OEL established based on a NOAE</w:t>
            </w:r>
            <w:r w:rsidR="00BA2058">
              <w:t>C</w:t>
            </w:r>
            <w:r>
              <w:t xml:space="preserve"> of 10 ppm in exposed humans</w:t>
            </w:r>
            <w:r w:rsidR="00652742">
              <w:t xml:space="preserve"> relating </w:t>
            </w:r>
            <w:r>
              <w:t>to the avoidance of renal toxicity</w:t>
            </w:r>
          </w:p>
          <w:p w14:paraId="46BCD4AD" w14:textId="77777777" w:rsidR="00DE1EE1" w:rsidRDefault="00DE1EE1" w:rsidP="008B583A">
            <w:pPr>
              <w:pStyle w:val="ListBullet"/>
              <w:spacing w:after="80"/>
              <w:ind w:left="1077" w:hanging="357"/>
              <w:contextualSpacing w:val="0"/>
            </w:pPr>
            <w:r>
              <w:t>Reports high TCE peak exposures critical in development of human renal cell cancer</w:t>
            </w:r>
            <w:r w:rsidR="006F1F48">
              <w:t xml:space="preserve"> and </w:t>
            </w:r>
            <w:proofErr w:type="gramStart"/>
            <w:r w:rsidR="006F1F48">
              <w:t>taking into account</w:t>
            </w:r>
            <w:proofErr w:type="gramEnd"/>
            <w:r w:rsidR="006F1F48">
              <w:t xml:space="preserve"> 32 ppm mean exposure concentration in worker study, a STEL of 30 ppm is recommended.</w:t>
            </w:r>
          </w:p>
          <w:p w14:paraId="5537D2C7" w14:textId="77777777" w:rsidR="00BA2058" w:rsidRPr="00DA352E" w:rsidRDefault="00BA2058" w:rsidP="00BA2058">
            <w:pPr>
              <w:pStyle w:val="ListBullet"/>
              <w:numPr>
                <w:ilvl w:val="0"/>
                <w:numId w:val="0"/>
              </w:numPr>
              <w:spacing w:after="80"/>
              <w:ind w:left="360" w:hanging="360"/>
              <w:contextualSpacing w:val="0"/>
            </w:pPr>
          </w:p>
        </w:tc>
      </w:tr>
      <w:tr w:rsidR="00DA352E" w:rsidRPr="00DA352E" w14:paraId="49DF86F0" w14:textId="77777777" w:rsidTr="00C57D00">
        <w:trPr>
          <w:gridAfter w:val="1"/>
          <w:wAfter w:w="8" w:type="pct"/>
        </w:trPr>
        <w:tc>
          <w:tcPr>
            <w:tcW w:w="4992" w:type="pct"/>
            <w:shd w:val="clear" w:color="auto" w:fill="F2F2F2" w:themeFill="background1" w:themeFillShade="F2"/>
          </w:tcPr>
          <w:p w14:paraId="1E4B4D41" w14:textId="77777777"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697B82">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697B82">
                  <w:t>NA</w:t>
                </w:r>
                <w:proofErr w:type="spellEnd"/>
              </w:sdtContent>
            </w:sdt>
          </w:p>
        </w:tc>
      </w:tr>
      <w:tr w:rsidR="00DA352E" w:rsidRPr="00DA352E" w14:paraId="39A013D7" w14:textId="77777777" w:rsidTr="00C57D00">
        <w:trPr>
          <w:gridAfter w:val="1"/>
          <w:wAfter w:w="8" w:type="pct"/>
        </w:trPr>
        <w:tc>
          <w:tcPr>
            <w:tcW w:w="4992" w:type="pct"/>
          </w:tcPr>
          <w:p w14:paraId="1F48743D" w14:textId="77777777" w:rsidR="00DA352E" w:rsidRPr="00DA352E" w:rsidRDefault="00697B82" w:rsidP="003365A5">
            <w:pPr>
              <w:pStyle w:val="Tabletextprimarysource"/>
            </w:pPr>
            <w:r>
              <w:t>No report</w:t>
            </w:r>
          </w:p>
        </w:tc>
      </w:tr>
      <w:tr w:rsidR="00DA352E" w:rsidRPr="00DA352E" w14:paraId="41AD118A" w14:textId="77777777" w:rsidTr="00C57D00">
        <w:trPr>
          <w:gridAfter w:val="1"/>
          <w:wAfter w:w="8" w:type="pct"/>
        </w:trPr>
        <w:tc>
          <w:tcPr>
            <w:tcW w:w="4992" w:type="pct"/>
            <w:shd w:val="clear" w:color="auto" w:fill="F2F2F2" w:themeFill="background1" w:themeFillShade="F2"/>
          </w:tcPr>
          <w:p w14:paraId="4D25E41D"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697B82">
                  <w:t>2003</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697B82">
                  <w:t>Not assigned</w:t>
                </w:r>
              </w:sdtContent>
            </w:sdt>
          </w:p>
        </w:tc>
      </w:tr>
      <w:tr w:rsidR="00DA352E" w:rsidRPr="00DA352E" w14:paraId="781409AF" w14:textId="77777777" w:rsidTr="00C57D00">
        <w:trPr>
          <w:gridAfter w:val="1"/>
          <w:wAfter w:w="8" w:type="pct"/>
        </w:trPr>
        <w:tc>
          <w:tcPr>
            <w:tcW w:w="4992" w:type="pct"/>
          </w:tcPr>
          <w:p w14:paraId="2786AF47" w14:textId="75307353" w:rsidR="00A01921" w:rsidRDefault="00A01921" w:rsidP="00BA2058">
            <w:pPr>
              <w:pStyle w:val="ListBullet"/>
              <w:spacing w:after="80"/>
              <w:ind w:left="1020" w:hanging="357"/>
              <w:contextualSpacing w:val="0"/>
            </w:pPr>
            <w:r>
              <w:t>Evaluation of the effects on reproduction</w:t>
            </w:r>
            <w:r w:rsidR="000D6AEB">
              <w:t xml:space="preserve"> and </w:t>
            </w:r>
            <w:r>
              <w:t xml:space="preserve">recommendation for classification </w:t>
            </w:r>
            <w:r w:rsidR="000D6AEB">
              <w:t>(</w:t>
            </w:r>
            <w:r>
              <w:t>not a</w:t>
            </w:r>
            <w:r w:rsidR="00DB32C4">
              <w:t>n</w:t>
            </w:r>
            <w:r>
              <w:t xml:space="preserve"> OEL document</w:t>
            </w:r>
            <w:r w:rsidR="000D6AEB">
              <w:t>)</w:t>
            </w:r>
          </w:p>
          <w:p w14:paraId="03461083" w14:textId="77777777" w:rsidR="00DA352E" w:rsidRDefault="00A01921" w:rsidP="00BA2058">
            <w:pPr>
              <w:pStyle w:val="ListBullet"/>
              <w:spacing w:after="80"/>
              <w:ind w:left="1020" w:hanging="357"/>
              <w:contextualSpacing w:val="0"/>
            </w:pPr>
            <w:r>
              <w:t>The human studies on the potential effects of occupational exposure on fertility did not show significant effects</w:t>
            </w:r>
            <w:r w:rsidR="008441C9">
              <w:t>.</w:t>
            </w:r>
          </w:p>
          <w:p w14:paraId="74FF0FF4" w14:textId="651F77DC" w:rsidR="007769B3" w:rsidRPr="00DA352E" w:rsidRDefault="007769B3" w:rsidP="007769B3">
            <w:pPr>
              <w:pStyle w:val="ListBullet"/>
              <w:numPr>
                <w:ilvl w:val="0"/>
                <w:numId w:val="0"/>
              </w:numPr>
              <w:spacing w:after="80"/>
              <w:ind w:left="663"/>
              <w:contextualSpacing w:val="0"/>
            </w:pPr>
          </w:p>
        </w:tc>
      </w:tr>
    </w:tbl>
    <w:p w14:paraId="33C47D21"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92"/>
        <w:gridCol w:w="423"/>
        <w:gridCol w:w="661"/>
        <w:gridCol w:w="6450"/>
      </w:tblGrid>
      <w:tr w:rsidR="004966BF" w:rsidRPr="00263255" w14:paraId="17788EAA" w14:textId="77777777" w:rsidTr="00C57D00">
        <w:trPr>
          <w:cnfStyle w:val="100000000000" w:firstRow="1" w:lastRow="0" w:firstColumn="0" w:lastColumn="0" w:oddVBand="0" w:evenVBand="0" w:oddHBand="0" w:evenHBand="0" w:firstRowFirstColumn="0" w:firstRowLastColumn="0" w:lastRowFirstColumn="0" w:lastRowLastColumn="0"/>
          <w:trHeight w:val="393"/>
          <w:tblHeader/>
        </w:trPr>
        <w:tc>
          <w:tcPr>
            <w:tcW w:w="1492" w:type="dxa"/>
            <w:shd w:val="clear" w:color="auto" w:fill="BFBFBF" w:themeFill="background1" w:themeFillShade="BF"/>
            <w:vAlign w:val="center"/>
          </w:tcPr>
          <w:p w14:paraId="14012CE3" w14:textId="77777777" w:rsidR="004966BF" w:rsidRPr="00263255" w:rsidRDefault="004966BF" w:rsidP="00263255">
            <w:pPr>
              <w:pStyle w:val="Tableheader"/>
            </w:pPr>
            <w:r w:rsidRPr="00263255">
              <w:t>Source</w:t>
            </w:r>
          </w:p>
        </w:tc>
        <w:tc>
          <w:tcPr>
            <w:tcW w:w="423" w:type="dxa"/>
            <w:shd w:val="clear" w:color="auto" w:fill="BFBFBF" w:themeFill="background1" w:themeFillShade="BF"/>
            <w:vAlign w:val="center"/>
          </w:tcPr>
          <w:p w14:paraId="0C23C866" w14:textId="77777777" w:rsidR="004966BF" w:rsidRPr="00263255" w:rsidRDefault="004966BF" w:rsidP="00263255">
            <w:pPr>
              <w:pStyle w:val="Tableheader"/>
            </w:pPr>
          </w:p>
        </w:tc>
        <w:tc>
          <w:tcPr>
            <w:tcW w:w="661" w:type="dxa"/>
            <w:shd w:val="clear" w:color="auto" w:fill="BFBFBF" w:themeFill="background1" w:themeFillShade="BF"/>
            <w:vAlign w:val="center"/>
          </w:tcPr>
          <w:p w14:paraId="53CBB2EA" w14:textId="77777777" w:rsidR="004966BF" w:rsidRPr="00263255" w:rsidRDefault="004966BF" w:rsidP="00263255">
            <w:pPr>
              <w:pStyle w:val="Tableheader"/>
            </w:pPr>
            <w:r>
              <w:t>Year</w:t>
            </w:r>
          </w:p>
        </w:tc>
        <w:tc>
          <w:tcPr>
            <w:tcW w:w="6450" w:type="dxa"/>
            <w:shd w:val="clear" w:color="auto" w:fill="BFBFBF" w:themeFill="background1" w:themeFillShade="BF"/>
            <w:vAlign w:val="center"/>
          </w:tcPr>
          <w:p w14:paraId="489BAE3F" w14:textId="77777777" w:rsidR="004966BF" w:rsidRPr="00263255" w:rsidRDefault="004966BF" w:rsidP="00263255">
            <w:pPr>
              <w:pStyle w:val="Tableheader"/>
            </w:pPr>
            <w:r>
              <w:t>Additional information</w:t>
            </w:r>
          </w:p>
        </w:tc>
      </w:tr>
      <w:tr w:rsidR="004966BF" w:rsidRPr="004C23F4" w14:paraId="692C55CC" w14:textId="77777777" w:rsidTr="00C57D00">
        <w:tc>
          <w:tcPr>
            <w:tcW w:w="1492" w:type="dxa"/>
          </w:tcPr>
          <w:p w14:paraId="0705D931" w14:textId="77777777" w:rsidR="004966BF" w:rsidRPr="004C23F4" w:rsidRDefault="004966BF" w:rsidP="00224EE2">
            <w:pPr>
              <w:pStyle w:val="Tablefont"/>
            </w:pPr>
            <w:r>
              <w:t>NICNAS</w:t>
            </w:r>
          </w:p>
        </w:tc>
        <w:tc>
          <w:tcPr>
            <w:tcW w:w="423" w:type="dxa"/>
          </w:tcPr>
          <w:p w14:paraId="0669E094" w14:textId="77777777" w:rsidR="004966BF" w:rsidRPr="00CE617F" w:rsidRDefault="002906FF"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306E7C">
                  <w:rPr>
                    <w:rStyle w:val="checkbox"/>
                  </w:rPr>
                  <w:t></w:t>
                </w:r>
              </w:sdtContent>
            </w:sdt>
          </w:p>
        </w:tc>
        <w:tc>
          <w:tcPr>
            <w:tcW w:w="661" w:type="dxa"/>
          </w:tcPr>
          <w:p w14:paraId="26D954F3" w14:textId="77777777" w:rsidR="004966BF" w:rsidRPr="004C23F4" w:rsidRDefault="00306E7C" w:rsidP="00717D45">
            <w:pPr>
              <w:pStyle w:val="Tablefont"/>
              <w:rPr>
                <w:rStyle w:val="checkbox"/>
                <w:rFonts w:ascii="Arial" w:hAnsi="Arial" w:cs="Arial"/>
              </w:rPr>
            </w:pPr>
            <w:r>
              <w:rPr>
                <w:rStyle w:val="checkbox"/>
                <w:rFonts w:ascii="Arial" w:hAnsi="Arial" w:cs="Arial"/>
              </w:rPr>
              <w:t>2000</w:t>
            </w:r>
          </w:p>
        </w:tc>
        <w:tc>
          <w:tcPr>
            <w:tcW w:w="6450" w:type="dxa"/>
          </w:tcPr>
          <w:p w14:paraId="7A9CB72E" w14:textId="77777777" w:rsidR="004966BF" w:rsidRPr="004C23F4" w:rsidRDefault="00306E7C" w:rsidP="008441C9">
            <w:pPr>
              <w:pStyle w:val="ListBullet"/>
              <w:ind w:left="723"/>
              <w:rPr>
                <w:rStyle w:val="checkbox"/>
                <w:rFonts w:ascii="Arial" w:hAnsi="Arial" w:cs="Arial"/>
              </w:rPr>
            </w:pPr>
            <w:r>
              <w:rPr>
                <w:rStyle w:val="checkbox"/>
                <w:rFonts w:ascii="Arial" w:hAnsi="Arial" w:cs="Arial"/>
              </w:rPr>
              <w:t>No additional data</w:t>
            </w:r>
            <w:r w:rsidR="008441C9">
              <w:rPr>
                <w:rStyle w:val="checkbox"/>
                <w:rFonts w:ascii="Arial" w:hAnsi="Arial" w:cs="Arial"/>
              </w:rPr>
              <w:t>.</w:t>
            </w:r>
          </w:p>
        </w:tc>
      </w:tr>
      <w:tr w:rsidR="004966BF" w:rsidRPr="004C23F4" w14:paraId="216145C1" w14:textId="77777777" w:rsidTr="00C57D00">
        <w:tc>
          <w:tcPr>
            <w:tcW w:w="1492" w:type="dxa"/>
          </w:tcPr>
          <w:p w14:paraId="64E45723" w14:textId="77777777" w:rsidR="004966BF" w:rsidRPr="004C23F4" w:rsidRDefault="004966BF" w:rsidP="00224EE2">
            <w:pPr>
              <w:pStyle w:val="Tablefont"/>
            </w:pPr>
            <w:r>
              <w:t>IARC</w:t>
            </w:r>
          </w:p>
        </w:tc>
        <w:tc>
          <w:tcPr>
            <w:tcW w:w="423" w:type="dxa"/>
          </w:tcPr>
          <w:p w14:paraId="26EFC65D" w14:textId="77777777" w:rsidR="004966BF" w:rsidRPr="00CE617F" w:rsidRDefault="002906FF"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306E7C">
                  <w:rPr>
                    <w:rStyle w:val="checkbox"/>
                  </w:rPr>
                  <w:t></w:t>
                </w:r>
              </w:sdtContent>
            </w:sdt>
          </w:p>
        </w:tc>
        <w:tc>
          <w:tcPr>
            <w:tcW w:w="661" w:type="dxa"/>
          </w:tcPr>
          <w:p w14:paraId="57999FCC" w14:textId="77777777" w:rsidR="004966BF" w:rsidRPr="004C23F4" w:rsidRDefault="00902752" w:rsidP="00717D45">
            <w:pPr>
              <w:pStyle w:val="Tablefont"/>
              <w:rPr>
                <w:rStyle w:val="checkbox"/>
                <w:rFonts w:ascii="Arial" w:hAnsi="Arial" w:cs="Arial"/>
              </w:rPr>
            </w:pPr>
            <w:r>
              <w:rPr>
                <w:rStyle w:val="checkbox"/>
                <w:rFonts w:ascii="Arial" w:hAnsi="Arial" w:cs="Arial"/>
              </w:rPr>
              <w:t>2014</w:t>
            </w:r>
          </w:p>
        </w:tc>
        <w:tc>
          <w:tcPr>
            <w:tcW w:w="6450" w:type="dxa"/>
          </w:tcPr>
          <w:p w14:paraId="3B942FEC" w14:textId="77777777" w:rsidR="004966BF" w:rsidRPr="00306E7C" w:rsidRDefault="00306E7C" w:rsidP="00BA2058">
            <w:pPr>
              <w:pStyle w:val="ListBullet"/>
              <w:spacing w:after="80"/>
              <w:ind w:left="720" w:hanging="357"/>
              <w:contextualSpacing w:val="0"/>
              <w:rPr>
                <w:rFonts w:cs="Arial"/>
              </w:rPr>
            </w:pPr>
            <w:r>
              <w:t xml:space="preserve">Recognised positive associations between </w:t>
            </w:r>
            <w:r w:rsidR="008441C9">
              <w:t>TCE</w:t>
            </w:r>
            <w:r>
              <w:t xml:space="preserve"> and cancer of the kidney</w:t>
            </w:r>
            <w:r w:rsidR="00902752">
              <w:t xml:space="preserve">, </w:t>
            </w:r>
            <w:r w:rsidR="00BA2058">
              <w:t>NHL</w:t>
            </w:r>
            <w:r w:rsidR="00902752">
              <w:t xml:space="preserve"> and cancer of the liver</w:t>
            </w:r>
            <w:r>
              <w:t xml:space="preserve">; </w:t>
            </w:r>
            <w:r w:rsidR="00E330C4">
              <w:t>concluded that evidence for cancer of the kidney was stronger for non-Hodgkin lymphoma or cancer of the liver</w:t>
            </w:r>
          </w:p>
          <w:p w14:paraId="3EFF5045" w14:textId="77777777" w:rsidR="00306E7C" w:rsidRPr="002176A3" w:rsidRDefault="002176A3" w:rsidP="00BA2058">
            <w:pPr>
              <w:pStyle w:val="ListBullet"/>
              <w:spacing w:after="80"/>
              <w:ind w:left="720" w:hanging="357"/>
              <w:contextualSpacing w:val="0"/>
              <w:rPr>
                <w:rFonts w:cs="Arial"/>
              </w:rPr>
            </w:pPr>
            <w:r>
              <w:t xml:space="preserve">Controlled studies evaluating </w:t>
            </w:r>
            <w:r w:rsidR="008441C9">
              <w:t>TCE</w:t>
            </w:r>
            <w:r>
              <w:t xml:space="preserve"> alone found it to be incapable of inducing gene mutations in most standard assays for bacterial mutagenesis</w:t>
            </w:r>
          </w:p>
          <w:p w14:paraId="63B7313E" w14:textId="77777777" w:rsidR="002176A3" w:rsidRPr="002176A3" w:rsidRDefault="002176A3" w:rsidP="00BA2058">
            <w:pPr>
              <w:pStyle w:val="ListBullet"/>
              <w:spacing w:after="80"/>
              <w:ind w:left="720" w:hanging="357"/>
              <w:contextualSpacing w:val="0"/>
              <w:rPr>
                <w:rFonts w:cs="Arial"/>
              </w:rPr>
            </w:pPr>
            <w:r>
              <w:t>Has shown potential to affect DNA and chromosomal structure</w:t>
            </w:r>
          </w:p>
          <w:p w14:paraId="05E910FC" w14:textId="77777777" w:rsidR="002176A3" w:rsidRPr="002176A3" w:rsidRDefault="002176A3" w:rsidP="00BA2058">
            <w:pPr>
              <w:pStyle w:val="ListBullet"/>
              <w:spacing w:after="80"/>
              <w:ind w:left="720" w:hanging="357"/>
              <w:contextualSpacing w:val="0"/>
              <w:rPr>
                <w:rFonts w:cs="Arial"/>
              </w:rPr>
            </w:pPr>
            <w:r>
              <w:t xml:space="preserve">Unlikely </w:t>
            </w:r>
            <w:r w:rsidR="008441C9">
              <w:t>TCE</w:t>
            </w:r>
            <w:r>
              <w:t xml:space="preserve"> is a direct-acting mutagen</w:t>
            </w:r>
          </w:p>
          <w:p w14:paraId="593D57E1" w14:textId="4A2679DE" w:rsidR="002176A3" w:rsidRPr="004C23F4" w:rsidRDefault="002176A3" w:rsidP="00BA2058">
            <w:pPr>
              <w:pStyle w:val="ListBullet"/>
              <w:spacing w:after="80"/>
              <w:ind w:left="720" w:hanging="357"/>
              <w:contextualSpacing w:val="0"/>
              <w:rPr>
                <w:rStyle w:val="checkbox"/>
                <w:rFonts w:ascii="Arial" w:hAnsi="Arial" w:cs="Arial"/>
              </w:rPr>
            </w:pPr>
            <w:r>
              <w:t xml:space="preserve">Overall, strong evidence to conclude, after metabolism, </w:t>
            </w:r>
            <w:r w:rsidR="008441C9">
              <w:t>TCE</w:t>
            </w:r>
            <w:r>
              <w:t xml:space="preserve"> can be genotoxic, particularly in the kidney where metabolism </w:t>
            </w:r>
            <w:r w:rsidRPr="005277FA">
              <w:rPr>
                <w:i/>
              </w:rPr>
              <w:t>in situ</w:t>
            </w:r>
            <w:r>
              <w:t xml:space="preserve"> occurs</w:t>
            </w:r>
            <w:r w:rsidR="008441C9">
              <w:t>.</w:t>
            </w:r>
          </w:p>
        </w:tc>
      </w:tr>
      <w:tr w:rsidR="004966BF" w:rsidRPr="004C23F4" w14:paraId="39838A88" w14:textId="77777777" w:rsidTr="00C57D00">
        <w:tc>
          <w:tcPr>
            <w:tcW w:w="1492" w:type="dxa"/>
          </w:tcPr>
          <w:p w14:paraId="2BBDCFFC" w14:textId="77777777" w:rsidR="004966BF" w:rsidRPr="004C23F4" w:rsidRDefault="004966BF" w:rsidP="00224EE2">
            <w:pPr>
              <w:pStyle w:val="Tablefont"/>
            </w:pPr>
            <w:r>
              <w:t>US EPA</w:t>
            </w:r>
          </w:p>
        </w:tc>
        <w:tc>
          <w:tcPr>
            <w:tcW w:w="423" w:type="dxa"/>
          </w:tcPr>
          <w:p w14:paraId="2BE0CC57" w14:textId="77777777" w:rsidR="004966BF" w:rsidRPr="00CE617F" w:rsidRDefault="002906FF"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B714B5">
                  <w:rPr>
                    <w:rStyle w:val="checkbox"/>
                  </w:rPr>
                  <w:t></w:t>
                </w:r>
              </w:sdtContent>
            </w:sdt>
          </w:p>
        </w:tc>
        <w:tc>
          <w:tcPr>
            <w:tcW w:w="661" w:type="dxa"/>
          </w:tcPr>
          <w:p w14:paraId="6A0BFE9E" w14:textId="77777777" w:rsidR="004966BF" w:rsidRPr="004C23F4" w:rsidRDefault="00376A11" w:rsidP="00717D45">
            <w:pPr>
              <w:pStyle w:val="Tablefont"/>
              <w:rPr>
                <w:rStyle w:val="checkbox"/>
                <w:rFonts w:ascii="Arial" w:hAnsi="Arial" w:cs="Arial"/>
              </w:rPr>
            </w:pPr>
            <w:r>
              <w:rPr>
                <w:rStyle w:val="checkbox"/>
                <w:rFonts w:ascii="Arial" w:hAnsi="Arial" w:cs="Arial"/>
              </w:rPr>
              <w:t>2011</w:t>
            </w:r>
          </w:p>
        </w:tc>
        <w:tc>
          <w:tcPr>
            <w:tcW w:w="6450" w:type="dxa"/>
          </w:tcPr>
          <w:p w14:paraId="6933EB82" w14:textId="5EC52CCA" w:rsidR="00B714B5" w:rsidRPr="00B714B5" w:rsidRDefault="00B714B5" w:rsidP="00BA2058">
            <w:pPr>
              <w:pStyle w:val="ListBullet"/>
              <w:spacing w:after="80"/>
              <w:ind w:left="714" w:hanging="357"/>
              <w:contextualSpacing w:val="0"/>
              <w:rPr>
                <w:rFonts w:cs="Arial"/>
              </w:rPr>
            </w:pPr>
            <w:r>
              <w:t>Following 2005 US EPA Guidelines for Carcinogen Risk Assessment, TCE is characterised as “</w:t>
            </w:r>
            <w:r w:rsidRPr="00B714B5">
              <w:rPr>
                <w:i/>
              </w:rPr>
              <w:t>carcinogenic to humans</w:t>
            </w:r>
            <w:r>
              <w:t xml:space="preserve">” by all routes of exposure </w:t>
            </w:r>
          </w:p>
          <w:p w14:paraId="07DEBA97" w14:textId="77777777" w:rsidR="004966BF" w:rsidRPr="00B714B5" w:rsidRDefault="00B714B5" w:rsidP="00BA2058">
            <w:pPr>
              <w:pStyle w:val="ListBullet"/>
              <w:spacing w:after="80"/>
              <w:ind w:left="714" w:hanging="357"/>
              <w:contextualSpacing w:val="0"/>
              <w:rPr>
                <w:rFonts w:cs="Arial"/>
              </w:rPr>
            </w:pPr>
            <w:r>
              <w:t>Based on convincing evidence of a causal association between exposure in humans and kidney cancer</w:t>
            </w:r>
          </w:p>
          <w:p w14:paraId="06A8D69A" w14:textId="77777777" w:rsidR="00B714B5" w:rsidRPr="00B714B5" w:rsidRDefault="00B714B5" w:rsidP="00BA2058">
            <w:pPr>
              <w:pStyle w:val="ListBullet"/>
              <w:spacing w:after="80"/>
              <w:ind w:left="714" w:hanging="357"/>
              <w:contextualSpacing w:val="0"/>
              <w:rPr>
                <w:rFonts w:cs="Arial"/>
              </w:rPr>
            </w:pPr>
            <w:r>
              <w:t>Kidney cancer association cannot be reasonably attributed to chance, bias or confounding</w:t>
            </w:r>
          </w:p>
          <w:p w14:paraId="163D77B6" w14:textId="2FAD9F7B" w:rsidR="00BA2058" w:rsidRPr="00BA2058" w:rsidRDefault="00B714B5" w:rsidP="00BA2058">
            <w:pPr>
              <w:pStyle w:val="ListBullet"/>
              <w:spacing w:after="80"/>
              <w:ind w:left="714" w:hanging="357"/>
              <w:contextualSpacing w:val="0"/>
              <w:rPr>
                <w:rFonts w:cs="Arial"/>
              </w:rPr>
            </w:pPr>
            <w:r>
              <w:t>Human evidence of carcinogenicity from epidemiologic studies of exposure is strong for NHL</w:t>
            </w:r>
            <w:r w:rsidR="00DB32C4">
              <w:t>:</w:t>
            </w:r>
            <w:r>
              <w:t xml:space="preserve"> </w:t>
            </w:r>
          </w:p>
          <w:p w14:paraId="4F264992" w14:textId="77777777" w:rsidR="00B714B5" w:rsidRPr="00B714B5" w:rsidRDefault="00B714B5" w:rsidP="00BA2058">
            <w:pPr>
              <w:pStyle w:val="ListBullet"/>
              <w:numPr>
                <w:ilvl w:val="0"/>
                <w:numId w:val="11"/>
              </w:numPr>
              <w:spacing w:after="80"/>
              <w:contextualSpacing w:val="0"/>
              <w:rPr>
                <w:rFonts w:cs="Arial"/>
              </w:rPr>
            </w:pPr>
            <w:r>
              <w:t>less convincing for kidney cancer and more limited for liver and biliary tract cancer</w:t>
            </w:r>
          </w:p>
          <w:p w14:paraId="0AE158AF" w14:textId="77777777" w:rsidR="00B714B5" w:rsidRPr="00F258CB" w:rsidRDefault="00F258CB" w:rsidP="00BA2058">
            <w:pPr>
              <w:pStyle w:val="ListBullet"/>
              <w:spacing w:after="80"/>
              <w:ind w:left="714" w:hanging="357"/>
              <w:contextualSpacing w:val="0"/>
              <w:rPr>
                <w:rFonts w:cs="Arial"/>
              </w:rPr>
            </w:pPr>
            <w:r>
              <w:t>Clear evidence for carcinogenicity in rats and mice, with multiple studies showing multiple kinds of cancers</w:t>
            </w:r>
          </w:p>
          <w:p w14:paraId="0213E19B" w14:textId="77777777" w:rsidR="00F258CB" w:rsidRPr="00F258CB" w:rsidRDefault="00F258CB" w:rsidP="00BA2058">
            <w:pPr>
              <w:pStyle w:val="ListBullet"/>
              <w:spacing w:after="80"/>
              <w:ind w:left="714" w:hanging="357"/>
              <w:contextualSpacing w:val="0"/>
              <w:rPr>
                <w:rFonts w:cs="Arial"/>
              </w:rPr>
            </w:pPr>
            <w:r>
              <w:t>Concludes that a mutagenic mode of action is operative in TCE-induced kidney tumours</w:t>
            </w:r>
          </w:p>
          <w:p w14:paraId="4FC2BB58" w14:textId="597E1E5E" w:rsidR="00BA2058" w:rsidRPr="00BA2058" w:rsidRDefault="00F258CB" w:rsidP="00BA2058">
            <w:pPr>
              <w:pStyle w:val="ListBullet"/>
              <w:spacing w:after="80"/>
              <w:ind w:left="714" w:hanging="357"/>
              <w:contextualSpacing w:val="0"/>
              <w:rPr>
                <w:rFonts w:cs="Arial"/>
              </w:rPr>
            </w:pPr>
            <w:r>
              <w:t xml:space="preserve">Cytotoxicity and compensatory cell proliferation suggested to play a role in the mode of action for renal carcinogenesis, as </w:t>
            </w:r>
            <w:r>
              <w:lastRenderedPageBreak/>
              <w:t>high incidences of nephrotoxicity have been observed in animals at doses that induce kidney tumours</w:t>
            </w:r>
            <w:r w:rsidR="00DB32C4">
              <w:t>:</w:t>
            </w:r>
            <w:r>
              <w:t xml:space="preserve"> </w:t>
            </w:r>
          </w:p>
          <w:p w14:paraId="7C99F61C" w14:textId="411E2219" w:rsidR="00F258CB" w:rsidRPr="00F258CB" w:rsidRDefault="00F258CB" w:rsidP="00BA2058">
            <w:pPr>
              <w:pStyle w:val="ListBullet"/>
              <w:numPr>
                <w:ilvl w:val="0"/>
                <w:numId w:val="11"/>
              </w:numPr>
              <w:spacing w:after="80"/>
              <w:contextualSpacing w:val="0"/>
              <w:rPr>
                <w:rStyle w:val="checkbox"/>
                <w:rFonts w:ascii="Arial" w:hAnsi="Arial" w:cs="Arial"/>
              </w:rPr>
            </w:pPr>
            <w:r>
              <w:t>nephrotoxicity has not been shown to be necessary for kidney tumour induction by TCE in rodents.</w:t>
            </w:r>
          </w:p>
        </w:tc>
      </w:tr>
    </w:tbl>
    <w:p w14:paraId="06664EB7" w14:textId="77777777" w:rsidR="007E2A4B" w:rsidRDefault="007E2A4B"/>
    <w:bookmarkEnd w:id="0"/>
    <w:p w14:paraId="1DE664A6"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BA2058" w14:paraId="32E7928C" w14:textId="77777777" w:rsidTr="00180A92">
        <w:trPr>
          <w:trHeight w:val="454"/>
          <w:tblHeader/>
        </w:trPr>
        <w:tc>
          <w:tcPr>
            <w:tcW w:w="6603" w:type="dxa"/>
            <w:vAlign w:val="center"/>
          </w:tcPr>
          <w:p w14:paraId="2AB0078D" w14:textId="77777777" w:rsidR="00BA2058" w:rsidRDefault="00BA2058" w:rsidP="00180A92">
            <w:pPr>
              <w:pStyle w:val="Tablefont"/>
              <w:keepNext/>
              <w:keepLines/>
              <w:spacing w:before="40" w:after="40"/>
            </w:pPr>
            <w:bookmarkStart w:id="1" w:name="GCQuest"/>
            <w:r>
              <w:t>Is the chemical mutagenic?</w:t>
            </w:r>
          </w:p>
        </w:tc>
        <w:sdt>
          <w:sdtPr>
            <w:id w:val="319705052"/>
            <w:placeholder>
              <w:docPart w:val="48129B7040784A8580927BEC7D1067F3"/>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3E1E7E7F" w14:textId="77777777" w:rsidR="00BA2058" w:rsidRDefault="00BA2058" w:rsidP="00180A92">
                <w:pPr>
                  <w:pStyle w:val="Tablefont"/>
                  <w:keepNext/>
                  <w:keepLines/>
                  <w:spacing w:before="40" w:after="40"/>
                </w:pPr>
                <w:r>
                  <w:t>No</w:t>
                </w:r>
              </w:p>
            </w:tc>
          </w:sdtContent>
        </w:sdt>
      </w:tr>
      <w:tr w:rsidR="00BA2058" w14:paraId="4BBB3991" w14:textId="77777777" w:rsidTr="00180A92">
        <w:trPr>
          <w:trHeight w:val="454"/>
        </w:trPr>
        <w:sdt>
          <w:sdtPr>
            <w:rPr>
              <w:b/>
            </w:rPr>
            <w:id w:val="1830936485"/>
            <w:placeholder>
              <w:docPart w:val="09903CF9F37F415591C5E8D57EBA4D18"/>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78EDD87A" w14:textId="77777777" w:rsidR="00BA2058" w:rsidRPr="006901A2" w:rsidRDefault="00BA2058" w:rsidP="00180A92">
                <w:pPr>
                  <w:pStyle w:val="Tablefont"/>
                  <w:keepNext/>
                  <w:keepLines/>
                  <w:spacing w:before="40" w:after="40"/>
                  <w:rPr>
                    <w:b/>
                  </w:rPr>
                </w:pPr>
                <w:r>
                  <w:rPr>
                    <w:b/>
                  </w:rPr>
                  <w:t>The chemical is not a non-threshold based genotoxic carcinogen.</w:t>
                </w:r>
              </w:p>
            </w:tc>
          </w:sdtContent>
        </w:sdt>
        <w:tc>
          <w:tcPr>
            <w:tcW w:w="2423" w:type="dxa"/>
            <w:vAlign w:val="center"/>
          </w:tcPr>
          <w:p w14:paraId="5796B56F" w14:textId="77777777" w:rsidR="00BA2058" w:rsidRDefault="00BA2058" w:rsidP="00180A92">
            <w:pPr>
              <w:pStyle w:val="Tablefont"/>
              <w:keepNext/>
              <w:keepLines/>
              <w:spacing w:before="40" w:after="40"/>
            </w:pPr>
          </w:p>
        </w:tc>
      </w:tr>
    </w:tbl>
    <w:bookmarkEnd w:id="1"/>
    <w:p w14:paraId="689C4C23"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35E4C247" w14:textId="77777777" w:rsidTr="00C57D00">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4F21BA19"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5BED33B0" w14:textId="77777777" w:rsidR="00687890" w:rsidRPr="004C23F4" w:rsidRDefault="00687890" w:rsidP="00F4402E">
            <w:pPr>
              <w:pStyle w:val="Tableheader"/>
              <w:tabs>
                <w:tab w:val="right" w:pos="5272"/>
              </w:tabs>
            </w:pPr>
            <w:r w:rsidRPr="004C23F4">
              <w:t>Notations</w:t>
            </w:r>
            <w:r w:rsidR="003A2B94">
              <w:tab/>
            </w:r>
          </w:p>
        </w:tc>
      </w:tr>
      <w:tr w:rsidR="00687890" w:rsidRPr="004C23F4" w14:paraId="143BBB8C" w14:textId="77777777" w:rsidTr="00C57D00">
        <w:trPr>
          <w:cantSplit/>
        </w:trPr>
        <w:tc>
          <w:tcPr>
            <w:tcW w:w="3227" w:type="dxa"/>
          </w:tcPr>
          <w:p w14:paraId="23FDE161" w14:textId="77777777" w:rsidR="004079B4" w:rsidRPr="004C23F4" w:rsidRDefault="00084513" w:rsidP="00F4402E">
            <w:pPr>
              <w:pStyle w:val="Tablefont"/>
            </w:pPr>
            <w:r w:rsidRPr="004C23F4">
              <w:t>SWA</w:t>
            </w:r>
          </w:p>
        </w:tc>
        <w:tc>
          <w:tcPr>
            <w:tcW w:w="6015" w:type="dxa"/>
          </w:tcPr>
          <w:p w14:paraId="5DBC19EF" w14:textId="77777777" w:rsidR="00687890" w:rsidRPr="00DD2F9B" w:rsidRDefault="001844B2" w:rsidP="00DD2F9B">
            <w:pPr>
              <w:pStyle w:val="Tablefont"/>
            </w:pPr>
            <w:r>
              <w:t>NA</w:t>
            </w:r>
          </w:p>
        </w:tc>
      </w:tr>
      <w:tr w:rsidR="007925F0" w:rsidRPr="004C23F4" w14:paraId="24CD8EC5" w14:textId="77777777" w:rsidTr="00C57D00">
        <w:trPr>
          <w:cantSplit/>
        </w:trPr>
        <w:tc>
          <w:tcPr>
            <w:tcW w:w="3227" w:type="dxa"/>
          </w:tcPr>
          <w:p w14:paraId="5296958B" w14:textId="77777777" w:rsidR="004079B4" w:rsidRPr="004C23F4" w:rsidRDefault="007925F0" w:rsidP="00F4402E">
            <w:pPr>
              <w:pStyle w:val="Tablefont"/>
            </w:pPr>
            <w:r>
              <w:t>HCIS</w:t>
            </w:r>
          </w:p>
        </w:tc>
        <w:tc>
          <w:tcPr>
            <w:tcW w:w="6015" w:type="dxa"/>
          </w:tcPr>
          <w:p w14:paraId="75F3CB5C" w14:textId="77777777" w:rsidR="007925F0" w:rsidRPr="00DD2F9B" w:rsidRDefault="001844B2" w:rsidP="00DD2F9B">
            <w:pPr>
              <w:pStyle w:val="Tablefont"/>
            </w:pPr>
            <w:r w:rsidRPr="001844B2">
              <w:t>Carcinogenicity – category 1B</w:t>
            </w:r>
          </w:p>
        </w:tc>
      </w:tr>
      <w:tr w:rsidR="00AF483F" w:rsidRPr="004C23F4" w14:paraId="3986013E" w14:textId="77777777" w:rsidTr="00C57D00">
        <w:trPr>
          <w:cantSplit/>
        </w:trPr>
        <w:tc>
          <w:tcPr>
            <w:tcW w:w="3227" w:type="dxa"/>
          </w:tcPr>
          <w:p w14:paraId="7CEAE943" w14:textId="77777777" w:rsidR="00AF483F" w:rsidRPr="004C23F4" w:rsidRDefault="00AF483F" w:rsidP="00F4402E">
            <w:pPr>
              <w:pStyle w:val="Tablefont"/>
            </w:pPr>
            <w:r>
              <w:t>NICNAS</w:t>
            </w:r>
          </w:p>
        </w:tc>
        <w:tc>
          <w:tcPr>
            <w:tcW w:w="6015" w:type="dxa"/>
          </w:tcPr>
          <w:p w14:paraId="5B03BD67" w14:textId="77777777" w:rsidR="00AF483F" w:rsidRPr="00DD2F9B" w:rsidRDefault="006828BA" w:rsidP="00DD2F9B">
            <w:pPr>
              <w:pStyle w:val="Tablefont"/>
            </w:pPr>
            <w:r>
              <w:t>NA</w:t>
            </w:r>
          </w:p>
        </w:tc>
      </w:tr>
      <w:tr w:rsidR="00687890" w:rsidRPr="004C23F4" w14:paraId="73132F71" w14:textId="77777777" w:rsidTr="00C57D00">
        <w:trPr>
          <w:cantSplit/>
        </w:trPr>
        <w:tc>
          <w:tcPr>
            <w:tcW w:w="3227" w:type="dxa"/>
          </w:tcPr>
          <w:p w14:paraId="64EA85C8" w14:textId="77777777" w:rsidR="004079B4" w:rsidRPr="004C23F4" w:rsidRDefault="00687890" w:rsidP="00F4402E">
            <w:pPr>
              <w:pStyle w:val="Tablefont"/>
            </w:pPr>
            <w:r w:rsidRPr="004C23F4">
              <w:t>EU Annex</w:t>
            </w:r>
          </w:p>
        </w:tc>
        <w:tc>
          <w:tcPr>
            <w:tcW w:w="6015" w:type="dxa"/>
          </w:tcPr>
          <w:p w14:paraId="141B36D4" w14:textId="77777777" w:rsidR="00687890" w:rsidRPr="00DD2F9B" w:rsidRDefault="006828BA" w:rsidP="00DD2F9B">
            <w:pPr>
              <w:pStyle w:val="Tablefont"/>
            </w:pPr>
            <w:r w:rsidRPr="006828BA">
              <w:t>Carcinogenicity – category 1B</w:t>
            </w:r>
          </w:p>
        </w:tc>
      </w:tr>
      <w:tr w:rsidR="00E41A26" w:rsidRPr="004C23F4" w14:paraId="3B404F74" w14:textId="77777777" w:rsidTr="00C57D00">
        <w:trPr>
          <w:cantSplit/>
        </w:trPr>
        <w:tc>
          <w:tcPr>
            <w:tcW w:w="3227" w:type="dxa"/>
          </w:tcPr>
          <w:p w14:paraId="420FE661" w14:textId="77777777" w:rsidR="00E41A26" w:rsidRDefault="00E41A26" w:rsidP="00F4402E">
            <w:pPr>
              <w:pStyle w:val="Tablefont"/>
            </w:pPr>
            <w:r>
              <w:t>ECHA</w:t>
            </w:r>
          </w:p>
        </w:tc>
        <w:tc>
          <w:tcPr>
            <w:tcW w:w="6015" w:type="dxa"/>
          </w:tcPr>
          <w:p w14:paraId="7705F977" w14:textId="77777777" w:rsidR="00E41A26" w:rsidRPr="00DD2F9B" w:rsidRDefault="00A86DFA" w:rsidP="00DD2F9B">
            <w:pPr>
              <w:pStyle w:val="Tablefont"/>
            </w:pPr>
            <w:r w:rsidRPr="006828BA">
              <w:t>Carcinogenicity – category 1B</w:t>
            </w:r>
          </w:p>
        </w:tc>
      </w:tr>
      <w:tr w:rsidR="002E0D61" w:rsidRPr="004C23F4" w14:paraId="7F983922" w14:textId="77777777" w:rsidTr="00C57D00">
        <w:trPr>
          <w:cantSplit/>
        </w:trPr>
        <w:tc>
          <w:tcPr>
            <w:tcW w:w="3227" w:type="dxa"/>
          </w:tcPr>
          <w:p w14:paraId="2D34ED7C" w14:textId="77777777" w:rsidR="004079B4" w:rsidRPr="004C23F4" w:rsidRDefault="002E0D61" w:rsidP="00F4402E">
            <w:pPr>
              <w:pStyle w:val="Tablefont"/>
            </w:pPr>
            <w:r>
              <w:t>ACGIH</w:t>
            </w:r>
          </w:p>
        </w:tc>
        <w:tc>
          <w:tcPr>
            <w:tcW w:w="6015" w:type="dxa"/>
          </w:tcPr>
          <w:p w14:paraId="62876771" w14:textId="77777777" w:rsidR="002E0D61" w:rsidRPr="00DD2F9B" w:rsidRDefault="00444361" w:rsidP="00DD2F9B">
            <w:pPr>
              <w:pStyle w:val="Tablefont"/>
            </w:pPr>
            <w:r w:rsidRPr="00444361">
              <w:t>Carcinogenicity – A2</w:t>
            </w:r>
          </w:p>
        </w:tc>
      </w:tr>
      <w:tr w:rsidR="002E0D61" w:rsidRPr="004C23F4" w14:paraId="187A4D40" w14:textId="77777777" w:rsidTr="00C57D00">
        <w:trPr>
          <w:cantSplit/>
        </w:trPr>
        <w:tc>
          <w:tcPr>
            <w:tcW w:w="3227" w:type="dxa"/>
          </w:tcPr>
          <w:p w14:paraId="0DD4BA73" w14:textId="77777777" w:rsidR="004079B4" w:rsidRPr="004C23F4" w:rsidRDefault="002E0D61" w:rsidP="00F4402E">
            <w:pPr>
              <w:pStyle w:val="Tablefont"/>
            </w:pPr>
            <w:r>
              <w:t>DFG</w:t>
            </w:r>
          </w:p>
        </w:tc>
        <w:tc>
          <w:tcPr>
            <w:tcW w:w="6015" w:type="dxa"/>
          </w:tcPr>
          <w:p w14:paraId="3501933D" w14:textId="77777777" w:rsidR="002E0D61" w:rsidRPr="00DD2F9B" w:rsidRDefault="001844B2" w:rsidP="00DD2F9B">
            <w:pPr>
              <w:pStyle w:val="Tablefont"/>
            </w:pPr>
            <w:r w:rsidRPr="001844B2">
              <w:t>Carcinogenicity – 1</w:t>
            </w:r>
            <w:r>
              <w:t>, H (skin)</w:t>
            </w:r>
          </w:p>
        </w:tc>
      </w:tr>
      <w:tr w:rsidR="002E0D61" w:rsidRPr="004C23F4" w14:paraId="18F9E453" w14:textId="77777777" w:rsidTr="00C57D00">
        <w:trPr>
          <w:cantSplit/>
        </w:trPr>
        <w:tc>
          <w:tcPr>
            <w:tcW w:w="3227" w:type="dxa"/>
          </w:tcPr>
          <w:p w14:paraId="26F24BAC" w14:textId="77777777" w:rsidR="004079B4" w:rsidRPr="004C23F4" w:rsidRDefault="002E0D61" w:rsidP="00F4402E">
            <w:pPr>
              <w:pStyle w:val="Tablefont"/>
            </w:pPr>
            <w:r>
              <w:t>SCOEL</w:t>
            </w:r>
          </w:p>
        </w:tc>
        <w:tc>
          <w:tcPr>
            <w:tcW w:w="6015" w:type="dxa"/>
          </w:tcPr>
          <w:p w14:paraId="384DBA89" w14:textId="77777777" w:rsidR="002E0D61" w:rsidRPr="00DD2F9B" w:rsidRDefault="009A15D1" w:rsidP="00DD2F9B">
            <w:pPr>
              <w:pStyle w:val="Tablefont"/>
            </w:pPr>
            <w:r>
              <w:t>Skin</w:t>
            </w:r>
          </w:p>
        </w:tc>
      </w:tr>
      <w:tr w:rsidR="002E0D61" w:rsidRPr="004C23F4" w14:paraId="1224F449" w14:textId="77777777" w:rsidTr="00C57D00">
        <w:trPr>
          <w:cantSplit/>
        </w:trPr>
        <w:tc>
          <w:tcPr>
            <w:tcW w:w="3227" w:type="dxa"/>
          </w:tcPr>
          <w:p w14:paraId="45B913BA" w14:textId="77777777" w:rsidR="004079B4" w:rsidRDefault="002E0D61" w:rsidP="00F4402E">
            <w:pPr>
              <w:pStyle w:val="Tablefont"/>
            </w:pPr>
            <w:r>
              <w:t>HCOTN</w:t>
            </w:r>
          </w:p>
        </w:tc>
        <w:tc>
          <w:tcPr>
            <w:tcW w:w="6015" w:type="dxa"/>
          </w:tcPr>
          <w:p w14:paraId="68369CA9" w14:textId="77777777" w:rsidR="002E0D61" w:rsidRPr="00DD2F9B" w:rsidRDefault="00697B82" w:rsidP="00DD2F9B">
            <w:pPr>
              <w:pStyle w:val="Tablefont"/>
            </w:pPr>
            <w:r>
              <w:t>NA</w:t>
            </w:r>
          </w:p>
        </w:tc>
      </w:tr>
      <w:tr w:rsidR="00386093" w:rsidRPr="004C23F4" w14:paraId="7DAD72F8" w14:textId="77777777" w:rsidTr="00C57D00">
        <w:trPr>
          <w:cantSplit/>
        </w:trPr>
        <w:tc>
          <w:tcPr>
            <w:tcW w:w="3227" w:type="dxa"/>
          </w:tcPr>
          <w:p w14:paraId="2EBC55C9" w14:textId="77777777" w:rsidR="004079B4" w:rsidRDefault="00386093" w:rsidP="00F4402E">
            <w:pPr>
              <w:pStyle w:val="Tablefont"/>
            </w:pPr>
            <w:r>
              <w:t>IARC</w:t>
            </w:r>
          </w:p>
        </w:tc>
        <w:tc>
          <w:tcPr>
            <w:tcW w:w="6015" w:type="dxa"/>
          </w:tcPr>
          <w:p w14:paraId="0A33BB84" w14:textId="77777777" w:rsidR="00386093" w:rsidRPr="00DD2F9B" w:rsidRDefault="00A86DFA" w:rsidP="00DD2F9B">
            <w:pPr>
              <w:pStyle w:val="Tablefont"/>
            </w:pPr>
            <w:r w:rsidRPr="00A86DFA">
              <w:t>Carcinogenicity – Group 1</w:t>
            </w:r>
          </w:p>
        </w:tc>
      </w:tr>
      <w:tr w:rsidR="00386093" w:rsidRPr="004C23F4" w14:paraId="1E5BF6DE" w14:textId="77777777" w:rsidTr="00C57D00">
        <w:trPr>
          <w:cantSplit/>
        </w:trPr>
        <w:tc>
          <w:tcPr>
            <w:tcW w:w="3227" w:type="dxa"/>
          </w:tcPr>
          <w:p w14:paraId="022080E5" w14:textId="77777777" w:rsidR="004079B4" w:rsidRDefault="00386093" w:rsidP="00F4402E">
            <w:pPr>
              <w:pStyle w:val="Tablefont"/>
              <w:keepNext/>
            </w:pPr>
            <w:r>
              <w:t>US NIOSH</w:t>
            </w:r>
          </w:p>
        </w:tc>
        <w:tc>
          <w:tcPr>
            <w:tcW w:w="6015" w:type="dxa"/>
          </w:tcPr>
          <w:p w14:paraId="33FD7AC7" w14:textId="77777777" w:rsidR="00386093" w:rsidRPr="00DD2F9B" w:rsidRDefault="002F364F" w:rsidP="00D87570">
            <w:pPr>
              <w:pStyle w:val="Tablefont"/>
              <w:keepNext/>
            </w:pPr>
            <w:r>
              <w:t>NA</w:t>
            </w:r>
          </w:p>
        </w:tc>
      </w:tr>
    </w:tbl>
    <w:bookmarkEnd w:id="2"/>
    <w:p w14:paraId="491A7392"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16D0887A"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638109E9" w14:textId="77777777" w:rsidTr="00EA6243">
        <w:trPr>
          <w:cantSplit/>
          <w:tblHeader/>
        </w:trPr>
        <w:tc>
          <w:tcPr>
            <w:tcW w:w="5000" w:type="pct"/>
            <w:shd w:val="clear" w:color="auto" w:fill="BFBFBF" w:themeFill="background1" w:themeFillShade="BF"/>
            <w:vAlign w:val="center"/>
          </w:tcPr>
          <w:p w14:paraId="59105B07"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30B9E6DD" w14:textId="77777777" w:rsidTr="00EA6243">
        <w:trPr>
          <w:cantSplit/>
          <w:tblHeader/>
        </w:trPr>
        <w:tc>
          <w:tcPr>
            <w:tcW w:w="5000" w:type="pct"/>
            <w:vAlign w:val="center"/>
          </w:tcPr>
          <w:p w14:paraId="68661ED6" w14:textId="77777777" w:rsidR="00932DCE" w:rsidRPr="004C23F4" w:rsidRDefault="0021026C" w:rsidP="00F9496B">
            <w:pPr>
              <w:pStyle w:val="Tablefont"/>
            </w:pPr>
            <w:r w:rsidRPr="00EA0DA8">
              <w:t>Insufficient data to assign a skin notation</w:t>
            </w:r>
            <w:r>
              <w:t>.</w:t>
            </w:r>
          </w:p>
        </w:tc>
      </w:tr>
    </w:tbl>
    <w:bookmarkEnd w:id="3"/>
    <w:p w14:paraId="66DA6E12"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AEA4922" w14:textId="77777777" w:rsidTr="00610F2E">
        <w:trPr>
          <w:trHeight w:val="454"/>
          <w:tblHeader/>
        </w:trPr>
        <w:tc>
          <w:tcPr>
            <w:tcW w:w="4361" w:type="dxa"/>
            <w:vAlign w:val="center"/>
          </w:tcPr>
          <w:p w14:paraId="64BD94CF"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802B518" w14:textId="77777777" w:rsidR="00EB3D1B" w:rsidRDefault="0026236E" w:rsidP="00EB3D1B">
                <w:pPr>
                  <w:pStyle w:val="Tablefont"/>
                </w:pPr>
                <w:r>
                  <w:t>Yes</w:t>
                </w:r>
              </w:p>
            </w:tc>
          </w:sdtContent>
        </w:sdt>
      </w:tr>
    </w:tbl>
    <w:p w14:paraId="0904A161" w14:textId="77777777" w:rsidR="00687890" w:rsidRPr="004C23F4" w:rsidRDefault="00B479A9" w:rsidP="00474E33">
      <w:pPr>
        <w:pStyle w:val="Heading2"/>
      </w:pPr>
      <w:r w:rsidRPr="004C23F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7260D7F" w14:textId="77777777" w:rsidTr="00EA6243">
        <w:trPr>
          <w:cantSplit/>
          <w:tblHeader/>
        </w:trPr>
        <w:tc>
          <w:tcPr>
            <w:tcW w:w="4077" w:type="dxa"/>
            <w:vAlign w:val="center"/>
          </w:tcPr>
          <w:p w14:paraId="11AFBBD1"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1DC4EF89" w14:textId="77777777" w:rsidR="001B79E5" w:rsidRDefault="00444361" w:rsidP="001B79E5">
                <w:pPr>
                  <w:pStyle w:val="Tablefont"/>
                </w:pPr>
                <w:r>
                  <w:t>131.39</w:t>
                </w:r>
              </w:p>
            </w:tc>
          </w:sdtContent>
        </w:sdt>
      </w:tr>
      <w:tr w:rsidR="00A31D99" w:rsidRPr="004C23F4" w14:paraId="65FE98E0" w14:textId="77777777" w:rsidTr="00EA6243">
        <w:trPr>
          <w:cantSplit/>
          <w:tblHeader/>
        </w:trPr>
        <w:tc>
          <w:tcPr>
            <w:tcW w:w="4077" w:type="dxa"/>
            <w:vAlign w:val="center"/>
          </w:tcPr>
          <w:p w14:paraId="79E099D9"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387B1C6F" w14:textId="2052C416" w:rsidR="00A31D99" w:rsidRDefault="00A0643F" w:rsidP="00A174CC">
            <w:pPr>
              <w:pStyle w:val="Tablefont"/>
            </w:pPr>
            <w:r>
              <w:t xml:space="preserve">1 ppm = </w:t>
            </w:r>
            <w:sdt>
              <w:sdtPr>
                <w:id w:val="-371151491"/>
                <w:placeholder>
                  <w:docPart w:val="A7231FB73EFF4B2B92EB3BD21C0CEA01"/>
                </w:placeholder>
              </w:sdtPr>
              <w:sdtEndPr/>
              <w:sdtContent>
                <w:r w:rsidR="00341A07">
                  <w:t>5.45</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741B00" w:rsidRPr="00741B00">
                  <w:t>0.183</w:t>
                </w:r>
              </w:sdtContent>
            </w:sdt>
            <w:r>
              <w:t xml:space="preserve"> ppm</w:t>
            </w:r>
          </w:p>
        </w:tc>
      </w:tr>
      <w:tr w:rsidR="00687890" w:rsidRPr="004C23F4" w14:paraId="39556B22" w14:textId="77777777" w:rsidTr="00EA6243">
        <w:trPr>
          <w:cantSplit/>
          <w:tblHeader/>
        </w:trPr>
        <w:tc>
          <w:tcPr>
            <w:tcW w:w="4077" w:type="dxa"/>
            <w:vAlign w:val="center"/>
          </w:tcPr>
          <w:p w14:paraId="733BBF4F"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56273627"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4EE8C50A" w14:textId="77777777" w:rsidTr="00EA6243">
        <w:trPr>
          <w:cantSplit/>
        </w:trPr>
        <w:tc>
          <w:tcPr>
            <w:tcW w:w="4077" w:type="dxa"/>
            <w:vAlign w:val="center"/>
          </w:tcPr>
          <w:p w14:paraId="1CFBBF96"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00F194DE"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C42FC91" w14:textId="77777777" w:rsidTr="00EA6243">
        <w:trPr>
          <w:cantSplit/>
        </w:trPr>
        <w:tc>
          <w:tcPr>
            <w:tcW w:w="4077" w:type="dxa"/>
            <w:vAlign w:val="center"/>
          </w:tcPr>
          <w:p w14:paraId="52DBF9E8"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5C0F2673"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62CD7135" w14:textId="77777777" w:rsidTr="00EA6243">
        <w:trPr>
          <w:cantSplit/>
        </w:trPr>
        <w:tc>
          <w:tcPr>
            <w:tcW w:w="4077" w:type="dxa"/>
            <w:vAlign w:val="center"/>
          </w:tcPr>
          <w:p w14:paraId="40E02B01"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2DEA784" w14:textId="77777777" w:rsidR="00E06F40" w:rsidRPr="00A006A0" w:rsidRDefault="002906FF" w:rsidP="00B40C60">
            <w:pPr>
              <w:pStyle w:val="Tablefont"/>
              <w:tabs>
                <w:tab w:val="left" w:pos="1310"/>
                <w:tab w:val="left" w:pos="2444"/>
                <w:tab w:val="left" w:pos="3861"/>
              </w:tabs>
            </w:pPr>
            <w:sdt>
              <w:sdtPr>
                <w:id w:val="92759666"/>
                <w14:checkbox>
                  <w14:checked w14:val="1"/>
                  <w14:checkedState w14:val="00FC" w14:font="Wingdings"/>
                  <w14:uncheckedState w14:val="2610" w14:font="MS Gothic"/>
                </w14:checkbox>
              </w:sdtPr>
              <w:sdtEndPr/>
              <w:sdtContent>
                <w:r w:rsidR="00355147">
                  <w:rPr>
                    <w:rFonts w:ascii="MS Gothic" w:eastAsia="MS Gothic" w:hAnsi="MS Gothic" w:cs="MS Gothic" w:hint="eastAsia"/>
                  </w:rPr>
                  <w:sym w:font="Wingdings" w:char="F0FC"/>
                </w:r>
              </w:sdtContent>
            </w:sdt>
            <w:r w:rsidR="00E06F40" w:rsidRPr="00A006A0">
              <w:t xml:space="preserve"> ACGIH</w:t>
            </w:r>
            <w:r w:rsidR="00E06F40">
              <w:tab/>
            </w:r>
            <w:sdt>
              <w:sdtPr>
                <w:id w:val="129367724"/>
                <w14:checkbox>
                  <w14:checked w14:val="1"/>
                  <w14:checkedState w14:val="00FC" w14:font="Wingdings"/>
                  <w14:uncheckedState w14:val="2610" w14:font="MS Gothic"/>
                </w14:checkbox>
              </w:sdtPr>
              <w:sdtEndPr/>
              <w:sdtContent>
                <w:r w:rsidR="00355147">
                  <w:rPr>
                    <w:rFonts w:ascii="MS Gothic" w:eastAsia="MS Gothic" w:hAnsi="MS Gothic" w:cs="MS Gothic" w:hint="eastAsia"/>
                  </w:rPr>
                  <w:sym w:font="Wingdings" w:char="F0FC"/>
                </w:r>
              </w:sdtContent>
            </w:sdt>
            <w:r w:rsidR="00E06F40" w:rsidRPr="00A006A0">
              <w:t xml:space="preserve"> DFG</w:t>
            </w:r>
            <w:r w:rsidR="00E06F40">
              <w:tab/>
            </w:r>
            <w:sdt>
              <w:sdtPr>
                <w:id w:val="-1535876012"/>
                <w14:checkbox>
                  <w14:checked w14:val="1"/>
                  <w14:checkedState w14:val="00FC" w14:font="Wingdings"/>
                  <w14:uncheckedState w14:val="2610" w14:font="MS Gothic"/>
                </w14:checkbox>
              </w:sdtPr>
              <w:sdtEndPr/>
              <w:sdtContent>
                <w:r w:rsidR="009A15D1">
                  <w:sym w:font="Wingdings" w:char="F0FC"/>
                </w:r>
              </w:sdtContent>
            </w:sdt>
            <w:r w:rsidR="00E06F40" w:rsidRPr="00A006A0">
              <w:t xml:space="preserve"> SCOEL</w:t>
            </w:r>
            <w:r w:rsidR="00E06F40">
              <w:tab/>
            </w:r>
          </w:p>
        </w:tc>
      </w:tr>
    </w:tbl>
    <w:p w14:paraId="7E7CDAA3"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035ADAF8" w14:textId="77777777" w:rsidTr="00F053FA">
        <w:trPr>
          <w:tblHeader/>
        </w:trPr>
        <w:tc>
          <w:tcPr>
            <w:tcW w:w="4077" w:type="dxa"/>
            <w:shd w:val="clear" w:color="auto" w:fill="BFBFBF" w:themeFill="background1" w:themeFillShade="BF"/>
            <w:vAlign w:val="center"/>
          </w:tcPr>
          <w:p w14:paraId="16DC9DFF"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28A60000" w14:textId="77777777" w:rsidR="00224EE2" w:rsidRPr="004C23F4" w:rsidRDefault="00224EE2" w:rsidP="00EB3D1B">
            <w:pPr>
              <w:pStyle w:val="Tableheader"/>
              <w:keepNext/>
              <w:keepLines/>
            </w:pPr>
            <w:r>
              <w:t>Standard</w:t>
            </w:r>
          </w:p>
        </w:tc>
      </w:tr>
      <w:tr w:rsidR="007F1005" w:rsidRPr="004C23F4" w14:paraId="32D127D8" w14:textId="77777777" w:rsidTr="00F053FA">
        <w:trPr>
          <w:tblHeader/>
        </w:trPr>
        <w:sdt>
          <w:sdtPr>
            <w:id w:val="-25557549"/>
            <w:placeholder>
              <w:docPart w:val="2BF891C0AB704CDAB9BC6E80D556473F"/>
            </w:placeholder>
            <w:showingPlcHdr/>
            <w:text/>
          </w:sdtPr>
          <w:sdtEndPr/>
          <w:sdtContent>
            <w:tc>
              <w:tcPr>
                <w:tcW w:w="4077" w:type="dxa"/>
                <w:vAlign w:val="center"/>
              </w:tcPr>
              <w:p w14:paraId="4F8EFCD6"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3B86860B" w14:textId="77777777" w:rsidR="007F1005" w:rsidRPr="004C23F4" w:rsidRDefault="007F1005" w:rsidP="00EB3D1B">
            <w:pPr>
              <w:pStyle w:val="Tablefont"/>
              <w:keepLines/>
            </w:pPr>
          </w:p>
        </w:tc>
      </w:tr>
    </w:tbl>
    <w:bookmarkEnd w:id="4"/>
    <w:p w14:paraId="1CF246C3" w14:textId="77777777" w:rsidR="00F87D92" w:rsidRDefault="00F87D92" w:rsidP="00EF7F78">
      <w:pPr>
        <w:pStyle w:val="Heading2"/>
        <w:tabs>
          <w:tab w:val="right" w:pos="8505"/>
        </w:tabs>
      </w:pPr>
      <w:r>
        <w:t>References</w:t>
      </w:r>
      <w:r w:rsidR="00EF7F78">
        <w:tab/>
      </w:r>
    </w:p>
    <w:p w14:paraId="159170A6"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079B4090" w14:textId="77777777" w:rsidR="008E4F1F" w:rsidRDefault="008E4F1F" w:rsidP="008E4F1F">
      <w:r w:rsidRPr="002022B6">
        <w:t xml:space="preserve">Deutsche </w:t>
      </w:r>
      <w:proofErr w:type="spellStart"/>
      <w:r w:rsidRPr="002022B6">
        <w:t>Forschungsgemeinschaft</w:t>
      </w:r>
      <w:proofErr w:type="spellEnd"/>
      <w:r w:rsidRPr="002022B6">
        <w:t xml:space="preserve"> (DFG)</w:t>
      </w:r>
      <w:r>
        <w:t xml:space="preserve"> (</w:t>
      </w:r>
      <w:r w:rsidR="0026236E">
        <w:t>2014</w:t>
      </w:r>
      <w:r>
        <w:t xml:space="preserve">) </w:t>
      </w:r>
      <w:r w:rsidR="0026236E" w:rsidRPr="0026236E">
        <w:t>Trichloroethylene</w:t>
      </w:r>
      <w:r>
        <w:t xml:space="preserve"> – MAK value documentation.</w:t>
      </w:r>
    </w:p>
    <w:p w14:paraId="6A0886E3" w14:textId="77777777" w:rsidR="00911EFA" w:rsidRDefault="00911EFA" w:rsidP="008E4F1F">
      <w:r w:rsidRPr="00911EFA">
        <w:t>European Chemicals Agency Regulation (ECHA) No 1907/2006 of the European Parliament and of the Council of 18 December 2006 concerning the Registration, Evaluation, Authorisation and Restriction of Chemicals (REACH).</w:t>
      </w:r>
    </w:p>
    <w:p w14:paraId="642BA39B" w14:textId="77777777" w:rsidR="008E4F1F" w:rsidRDefault="008E4F1F" w:rsidP="008E4F1F">
      <w:pPr>
        <w:rPr>
          <w:b/>
        </w:rPr>
      </w:pPr>
      <w:r w:rsidRPr="002022B6">
        <w:t>EU Scientific Committee on Occupational Exposure Limits (SCOEL)</w:t>
      </w:r>
      <w:r>
        <w:t xml:space="preserve"> (</w:t>
      </w:r>
      <w:r w:rsidR="00034124">
        <w:t>2009</w:t>
      </w:r>
      <w:r>
        <w:t xml:space="preserve">) Recommendation from the Scientific Committee on Occupational Exposure Limits for </w:t>
      </w:r>
      <w:r w:rsidR="00034124" w:rsidRPr="00034124">
        <w:t>trichloroethylene</w:t>
      </w:r>
      <w:r>
        <w:t>. SCOEL/</w:t>
      </w:r>
      <w:r w:rsidR="00034124" w:rsidRPr="00034124">
        <w:t>SUM/142</w:t>
      </w:r>
      <w:r>
        <w:t>.</w:t>
      </w:r>
    </w:p>
    <w:p w14:paraId="793055C9" w14:textId="77777777" w:rsidR="008E4F1F" w:rsidRDefault="008E4F1F" w:rsidP="008E4F1F">
      <w:pPr>
        <w:rPr>
          <w:b/>
        </w:rPr>
      </w:pPr>
      <w:r w:rsidRPr="002022B6">
        <w:t>Health Council of the Netherlands</w:t>
      </w:r>
      <w:r>
        <w:t xml:space="preserve"> (HCOTN) (</w:t>
      </w:r>
      <w:r w:rsidR="00F76F15">
        <w:t>2003</w:t>
      </w:r>
      <w:r>
        <w:t xml:space="preserve">) </w:t>
      </w:r>
      <w:r w:rsidR="00F76F15" w:rsidRPr="00F76F15">
        <w:t>Trichloroethylene</w:t>
      </w:r>
      <w:r w:rsidRPr="005F7416">
        <w:t xml:space="preserve">. </w:t>
      </w:r>
      <w:r w:rsidR="00F76F15" w:rsidRPr="00F76F15">
        <w:t>Evaluation of the effects on reproduction, recommendation for classification</w:t>
      </w:r>
      <w:r w:rsidRPr="005F7416">
        <w:t xml:space="preserve">. The Hague: Health Council of the Netherlands; publication no. </w:t>
      </w:r>
      <w:r w:rsidR="00F76F15" w:rsidRPr="00F76F15">
        <w:rPr>
          <w:lang w:val="en-US"/>
        </w:rPr>
        <w:t>2003/09OSH</w:t>
      </w:r>
      <w:r>
        <w:t>.</w:t>
      </w:r>
    </w:p>
    <w:p w14:paraId="4E57F01D" w14:textId="77777777" w:rsidR="008E4F1F" w:rsidRDefault="008E4F1F" w:rsidP="008E4F1F">
      <w:pPr>
        <w:rPr>
          <w:b/>
        </w:rPr>
      </w:pPr>
      <w:r w:rsidRPr="002022B6">
        <w:t>International Agency for Research on Cancer</w:t>
      </w:r>
      <w:r>
        <w:t xml:space="preserve"> (IARC) (</w:t>
      </w:r>
      <w:r w:rsidR="00682989">
        <w:t>2014</w:t>
      </w:r>
      <w:r>
        <w:t>)</w:t>
      </w:r>
      <w:r w:rsidR="00682989">
        <w:t xml:space="preserve"> Volume 106,</w:t>
      </w:r>
      <w:r>
        <w:t xml:space="preserve"> </w:t>
      </w:r>
      <w:r w:rsidR="00682989" w:rsidRPr="00682989">
        <w:t>Trichloroethylene, Tetrachloroethylene, and Some Other Chlorinated Agents</w:t>
      </w:r>
      <w:r>
        <w:t>. IARC Monographs on the evaluation of the carcinogenic risk to humans.</w:t>
      </w:r>
    </w:p>
    <w:p w14:paraId="1EA35830" w14:textId="77777777" w:rsidR="008E4F1F" w:rsidRDefault="008E4F1F" w:rsidP="008E4F1F">
      <w:pPr>
        <w:rPr>
          <w:b/>
        </w:rPr>
      </w:pPr>
      <w:r w:rsidRPr="002022B6">
        <w:t>National Industrial Chemicals Notification and Assessment Scheme (NICNAS)</w:t>
      </w:r>
      <w:r>
        <w:t xml:space="preserve"> (</w:t>
      </w:r>
      <w:r w:rsidR="00960877">
        <w:t>2000</w:t>
      </w:r>
      <w:r>
        <w:t xml:space="preserve">) </w:t>
      </w:r>
      <w:r w:rsidR="00960877" w:rsidRPr="00960877">
        <w:t>Trichloroethylene</w:t>
      </w:r>
      <w:r w:rsidRPr="0071660C">
        <w:t xml:space="preserve">: </w:t>
      </w:r>
      <w:r w:rsidR="00960877" w:rsidRPr="00960877">
        <w:t>Priority Existing Chemical</w:t>
      </w:r>
      <w:r>
        <w:t>.</w:t>
      </w:r>
    </w:p>
    <w:p w14:paraId="7B7AE022" w14:textId="77777777" w:rsidR="0021026C" w:rsidRPr="00911EFA" w:rsidRDefault="0021026C" w:rsidP="0021026C">
      <w:r w:rsidRPr="00911EFA">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33F5691F" w14:textId="77777777" w:rsidR="005D13F9" w:rsidRDefault="005D13F9" w:rsidP="005D13F9">
      <w:r>
        <w:t xml:space="preserve">US Environmental Protection Authority (US EPA) (2011) </w:t>
      </w:r>
      <w:r w:rsidRPr="003448DD">
        <w:t>Integrated R</w:t>
      </w:r>
      <w:r>
        <w:t xml:space="preserve">isk Information System (IRIS) </w:t>
      </w:r>
      <w:r w:rsidRPr="003448DD">
        <w:t>Chemical Assessment Summary</w:t>
      </w:r>
      <w:r>
        <w:t xml:space="preserve"> – Trichlorethylene.</w:t>
      </w:r>
    </w:p>
    <w:p w14:paraId="68CE8BF9" w14:textId="77777777" w:rsidR="008E4F1F" w:rsidRDefault="008E4F1F" w:rsidP="008E4F1F">
      <w:pPr>
        <w:rPr>
          <w:b/>
        </w:rPr>
      </w:pPr>
      <w:r w:rsidRPr="00D86E03">
        <w:t>US National Institute for Occupational Safety and Health (NIOSH)</w:t>
      </w:r>
      <w:r>
        <w:t xml:space="preserve"> (</w:t>
      </w:r>
      <w:sdt>
        <w:sdtPr>
          <w:id w:val="-1194999823"/>
          <w:placeholder>
            <w:docPart w:val="FB0307FD2095404C9CFBE1E594ADF091"/>
          </w:placeholder>
          <w:temporary/>
          <w:showingPlcHdr/>
        </w:sdtPr>
        <w:sdtEndPr/>
        <w:sdtContent>
          <w:r w:rsidRPr="002E350D">
            <w:rPr>
              <w:color w:val="000000" w:themeColor="text1"/>
            </w:rPr>
            <w:t>1994</w:t>
          </w:r>
        </w:sdtContent>
      </w:sdt>
      <w:r>
        <w:t xml:space="preserve">) Immediately dangerous to life or health concentrations – </w:t>
      </w:r>
      <w:r w:rsidR="002E350D">
        <w:t>t</w:t>
      </w:r>
      <w:r w:rsidR="002E350D" w:rsidRPr="002E350D">
        <w:t>richloroethylene</w:t>
      </w:r>
      <w:r>
        <w:t>.</w:t>
      </w:r>
    </w:p>
    <w:p w14:paraId="56DCB4C2"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4443" w16cex:dateUtc="2020-05-12T07:50:00Z"/>
  <w16cex:commentExtensible w16cex:durableId="22654620" w16cex:dateUtc="2020-05-12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C6A6" w14:textId="77777777" w:rsidR="00FE4FE5" w:rsidRDefault="00FE4FE5" w:rsidP="00F43AD5">
      <w:pPr>
        <w:spacing w:after="0" w:line="240" w:lineRule="auto"/>
      </w:pPr>
      <w:r>
        <w:separator/>
      </w:r>
    </w:p>
  </w:endnote>
  <w:endnote w:type="continuationSeparator" w:id="0">
    <w:p w14:paraId="5B9308C0" w14:textId="77777777" w:rsidR="00FE4FE5" w:rsidRDefault="00FE4FE5"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33C8" w14:textId="77777777" w:rsidR="00C57D00" w:rsidRDefault="00C57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498534A7" w14:textId="77777777" w:rsidR="00385E54" w:rsidRDefault="00385E54" w:rsidP="0034744C">
        <w:pPr>
          <w:pStyle w:val="Footer"/>
          <w:rPr>
            <w:sz w:val="18"/>
            <w:szCs w:val="18"/>
          </w:rPr>
        </w:pPr>
        <w:r w:rsidRPr="00104BF8">
          <w:rPr>
            <w:b/>
            <w:sz w:val="18"/>
            <w:szCs w:val="18"/>
          </w:rPr>
          <w:t>Trichloroethylene</w:t>
        </w:r>
        <w:r>
          <w:rPr>
            <w:b/>
            <w:sz w:val="18"/>
            <w:szCs w:val="18"/>
          </w:rPr>
          <w:t xml:space="preserve"> (79-01-6)</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w:t>
        </w:r>
        <w:r w:rsidR="00AB3376">
          <w:rPr>
            <w:sz w:val="18"/>
            <w:szCs w:val="18"/>
          </w:rPr>
          <w:t>20</w:t>
        </w:r>
      </w:p>
      <w:p w14:paraId="1641C4A9" w14:textId="77777777" w:rsidR="00385E54" w:rsidRPr="00F43AD5" w:rsidRDefault="00385E54"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C04728">
          <w:rPr>
            <w:noProof/>
            <w:sz w:val="18"/>
            <w:szCs w:val="18"/>
          </w:rPr>
          <w:t>11</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09BB" w14:textId="77777777" w:rsidR="00C57D00" w:rsidRDefault="00C5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A7E9" w14:textId="77777777" w:rsidR="00FE4FE5" w:rsidRDefault="00FE4FE5" w:rsidP="00F43AD5">
      <w:pPr>
        <w:spacing w:after="0" w:line="240" w:lineRule="auto"/>
      </w:pPr>
      <w:r>
        <w:separator/>
      </w:r>
    </w:p>
  </w:footnote>
  <w:footnote w:type="continuationSeparator" w:id="0">
    <w:p w14:paraId="33907C9F" w14:textId="77777777" w:rsidR="00FE4FE5" w:rsidRDefault="00FE4FE5"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5783" w14:textId="77777777" w:rsidR="00C57D00" w:rsidRDefault="00C57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5557" w14:textId="5AE5FE2C" w:rsidR="00C57D00" w:rsidRDefault="00C57D00" w:rsidP="00C57D00">
    <w:pPr>
      <w:pStyle w:val="Header"/>
      <w:jc w:val="right"/>
    </w:pPr>
    <w:r>
      <w:pict w14:anchorId="1B687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14337"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115EE3EA" wp14:editId="0B411597">
          <wp:extent cx="2957195" cy="605790"/>
          <wp:effectExtent l="0" t="0" r="0" b="381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195" cy="605790"/>
                  </a:xfrm>
                  <a:prstGeom prst="rect">
                    <a:avLst/>
                  </a:prstGeom>
                </pic:spPr>
              </pic:pic>
            </a:graphicData>
          </a:graphic>
        </wp:inline>
      </w:drawing>
    </w:r>
  </w:p>
  <w:p w14:paraId="2488891A" w14:textId="77777777" w:rsidR="00C57D00" w:rsidRDefault="00C57D00" w:rsidP="00C57D00">
    <w:pPr>
      <w:pStyle w:val="Header"/>
    </w:pPr>
  </w:p>
  <w:p w14:paraId="25008184" w14:textId="77777777" w:rsidR="00C57D00" w:rsidRDefault="00C57D00" w:rsidP="00C57D00">
    <w:pPr>
      <w:pStyle w:val="Header"/>
    </w:pPr>
  </w:p>
  <w:p w14:paraId="396E8292" w14:textId="24F9BA2F" w:rsidR="00385E54" w:rsidRPr="00C57D00" w:rsidRDefault="00385E54" w:rsidP="00C57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DEFA" w14:textId="77777777" w:rsidR="00C57D00" w:rsidRDefault="00C57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F3AA" w14:textId="03DE0845" w:rsidR="00C57D00" w:rsidRDefault="00C57D00" w:rsidP="002906FF">
    <w:pPr>
      <w:pStyle w:val="Header"/>
      <w:jc w:val="right"/>
    </w:pPr>
    <w:r>
      <w:pict w14:anchorId="2551E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38"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51B90AC0" wp14:editId="2CF941EA">
          <wp:extent cx="2957195" cy="60579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195" cy="605790"/>
                  </a:xfrm>
                  <a:prstGeom prst="rect">
                    <a:avLst/>
                  </a:prstGeom>
                </pic:spPr>
              </pic:pic>
            </a:graphicData>
          </a:graphic>
        </wp:inline>
      </w:drawing>
    </w:r>
    <w:bookmarkStart w:id="5" w:name="_GoBack"/>
    <w:bookmarkEnd w:id="5"/>
  </w:p>
  <w:p w14:paraId="6116A4B9" w14:textId="77777777" w:rsidR="00385E54" w:rsidRDefault="00385E54"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8EE3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231AB"/>
    <w:multiLevelType w:val="hybridMultilevel"/>
    <w:tmpl w:val="052269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1D0DF5"/>
    <w:multiLevelType w:val="hybridMultilevel"/>
    <w:tmpl w:val="64CEB184"/>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AD5242"/>
    <w:multiLevelType w:val="hybridMultilevel"/>
    <w:tmpl w:val="F698AD46"/>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7297E7E"/>
    <w:multiLevelType w:val="hybridMultilevel"/>
    <w:tmpl w:val="D2D00B48"/>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79A154B"/>
    <w:multiLevelType w:val="hybridMultilevel"/>
    <w:tmpl w:val="3B56BFA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0A63CBB"/>
    <w:multiLevelType w:val="hybridMultilevel"/>
    <w:tmpl w:val="41B2CE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72E398B"/>
    <w:multiLevelType w:val="hybridMultilevel"/>
    <w:tmpl w:val="8EF85216"/>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A386B41"/>
    <w:multiLevelType w:val="hybridMultilevel"/>
    <w:tmpl w:val="E97E16C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6FE738C"/>
    <w:multiLevelType w:val="hybridMultilevel"/>
    <w:tmpl w:val="2CFC33F0"/>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CE84397"/>
    <w:multiLevelType w:val="hybridMultilevel"/>
    <w:tmpl w:val="5AF028D8"/>
    <w:lvl w:ilvl="0" w:tplc="0C090003">
      <w:start w:val="1"/>
      <w:numFmt w:val="bullet"/>
      <w:lvlText w:val="o"/>
      <w:lvlJc w:val="left"/>
      <w:pPr>
        <w:ind w:left="1443" w:hanging="360"/>
      </w:pPr>
      <w:rPr>
        <w:rFonts w:ascii="Courier New" w:hAnsi="Courier New" w:cs="Courier New"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4"/>
  </w:num>
  <w:num w:numId="6">
    <w:abstractNumId w:val="3"/>
  </w:num>
  <w:num w:numId="7">
    <w:abstractNumId w:val="8"/>
  </w:num>
  <w:num w:numId="8">
    <w:abstractNumId w:val="2"/>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6D59"/>
    <w:rsid w:val="000174A3"/>
    <w:rsid w:val="00017C82"/>
    <w:rsid w:val="00032B88"/>
    <w:rsid w:val="00034124"/>
    <w:rsid w:val="00037E52"/>
    <w:rsid w:val="00046DF5"/>
    <w:rsid w:val="00052060"/>
    <w:rsid w:val="0005574A"/>
    <w:rsid w:val="00055FE1"/>
    <w:rsid w:val="00056EC2"/>
    <w:rsid w:val="00060B48"/>
    <w:rsid w:val="00061B8A"/>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D291C"/>
    <w:rsid w:val="000D6AEB"/>
    <w:rsid w:val="000E5A54"/>
    <w:rsid w:val="000E63D3"/>
    <w:rsid w:val="000E67CF"/>
    <w:rsid w:val="0010461E"/>
    <w:rsid w:val="00104BF8"/>
    <w:rsid w:val="00106FAA"/>
    <w:rsid w:val="00113443"/>
    <w:rsid w:val="001269A7"/>
    <w:rsid w:val="00131092"/>
    <w:rsid w:val="00140E6A"/>
    <w:rsid w:val="001415E9"/>
    <w:rsid w:val="00146545"/>
    <w:rsid w:val="00146B75"/>
    <w:rsid w:val="0015266D"/>
    <w:rsid w:val="0015288A"/>
    <w:rsid w:val="00154DB3"/>
    <w:rsid w:val="00155999"/>
    <w:rsid w:val="00160F47"/>
    <w:rsid w:val="00177CA1"/>
    <w:rsid w:val="00183823"/>
    <w:rsid w:val="00183942"/>
    <w:rsid w:val="001844B2"/>
    <w:rsid w:val="001915F6"/>
    <w:rsid w:val="001924DA"/>
    <w:rsid w:val="00193B02"/>
    <w:rsid w:val="00193B91"/>
    <w:rsid w:val="001A009E"/>
    <w:rsid w:val="001A1287"/>
    <w:rsid w:val="001A3859"/>
    <w:rsid w:val="001A3C9D"/>
    <w:rsid w:val="001A43F8"/>
    <w:rsid w:val="001B79E5"/>
    <w:rsid w:val="001D56F0"/>
    <w:rsid w:val="001D663B"/>
    <w:rsid w:val="001D7B41"/>
    <w:rsid w:val="001E00B3"/>
    <w:rsid w:val="001E46DA"/>
    <w:rsid w:val="001E7D80"/>
    <w:rsid w:val="001F4B6C"/>
    <w:rsid w:val="001F530F"/>
    <w:rsid w:val="001F62CB"/>
    <w:rsid w:val="001F6ED0"/>
    <w:rsid w:val="001F72E6"/>
    <w:rsid w:val="001F73C5"/>
    <w:rsid w:val="002046A6"/>
    <w:rsid w:val="00204956"/>
    <w:rsid w:val="0021026C"/>
    <w:rsid w:val="00213640"/>
    <w:rsid w:val="00215F28"/>
    <w:rsid w:val="002176A3"/>
    <w:rsid w:val="00221547"/>
    <w:rsid w:val="002216FC"/>
    <w:rsid w:val="00222533"/>
    <w:rsid w:val="00222F30"/>
    <w:rsid w:val="00224EE2"/>
    <w:rsid w:val="00227EC7"/>
    <w:rsid w:val="00244AD1"/>
    <w:rsid w:val="002463BC"/>
    <w:rsid w:val="002465CE"/>
    <w:rsid w:val="0025734A"/>
    <w:rsid w:val="0026236E"/>
    <w:rsid w:val="00263255"/>
    <w:rsid w:val="00276494"/>
    <w:rsid w:val="00277B0C"/>
    <w:rsid w:val="002906FF"/>
    <w:rsid w:val="002B1A2C"/>
    <w:rsid w:val="002C34F2"/>
    <w:rsid w:val="002C58FF"/>
    <w:rsid w:val="002C7AFE"/>
    <w:rsid w:val="002D05D2"/>
    <w:rsid w:val="002E0D61"/>
    <w:rsid w:val="002E350D"/>
    <w:rsid w:val="002E4C7B"/>
    <w:rsid w:val="002F0D06"/>
    <w:rsid w:val="002F364F"/>
    <w:rsid w:val="003018D8"/>
    <w:rsid w:val="00306E7C"/>
    <w:rsid w:val="0030740C"/>
    <w:rsid w:val="00315833"/>
    <w:rsid w:val="003215EE"/>
    <w:rsid w:val="003224BF"/>
    <w:rsid w:val="003241A8"/>
    <w:rsid w:val="00324F99"/>
    <w:rsid w:val="003253F0"/>
    <w:rsid w:val="003337DA"/>
    <w:rsid w:val="00334EFB"/>
    <w:rsid w:val="00335CDE"/>
    <w:rsid w:val="003365A5"/>
    <w:rsid w:val="00341A07"/>
    <w:rsid w:val="00347192"/>
    <w:rsid w:val="0034744C"/>
    <w:rsid w:val="00351FE0"/>
    <w:rsid w:val="00352615"/>
    <w:rsid w:val="0035412B"/>
    <w:rsid w:val="00355147"/>
    <w:rsid w:val="003567A8"/>
    <w:rsid w:val="00362895"/>
    <w:rsid w:val="00370DBF"/>
    <w:rsid w:val="00376A11"/>
    <w:rsid w:val="00385E54"/>
    <w:rsid w:val="00386093"/>
    <w:rsid w:val="003904A4"/>
    <w:rsid w:val="00391841"/>
    <w:rsid w:val="00391B6D"/>
    <w:rsid w:val="00394922"/>
    <w:rsid w:val="00394E27"/>
    <w:rsid w:val="003A0E32"/>
    <w:rsid w:val="003A2B94"/>
    <w:rsid w:val="003B387D"/>
    <w:rsid w:val="003B7D92"/>
    <w:rsid w:val="003C0D58"/>
    <w:rsid w:val="003D4FA3"/>
    <w:rsid w:val="003E0807"/>
    <w:rsid w:val="003E51FB"/>
    <w:rsid w:val="003E6B39"/>
    <w:rsid w:val="003E7DF3"/>
    <w:rsid w:val="003F07E1"/>
    <w:rsid w:val="003F29CE"/>
    <w:rsid w:val="004030BC"/>
    <w:rsid w:val="00403F7D"/>
    <w:rsid w:val="00406785"/>
    <w:rsid w:val="004079B4"/>
    <w:rsid w:val="00417A56"/>
    <w:rsid w:val="00420957"/>
    <w:rsid w:val="00422A10"/>
    <w:rsid w:val="00430179"/>
    <w:rsid w:val="00436447"/>
    <w:rsid w:val="004414B5"/>
    <w:rsid w:val="00444361"/>
    <w:rsid w:val="00444482"/>
    <w:rsid w:val="00444B42"/>
    <w:rsid w:val="00445E44"/>
    <w:rsid w:val="004509E2"/>
    <w:rsid w:val="004515EE"/>
    <w:rsid w:val="004529F0"/>
    <w:rsid w:val="00460A03"/>
    <w:rsid w:val="00471839"/>
    <w:rsid w:val="00472A11"/>
    <w:rsid w:val="00472AAD"/>
    <w:rsid w:val="00474E33"/>
    <w:rsid w:val="00476803"/>
    <w:rsid w:val="00485BFD"/>
    <w:rsid w:val="00486454"/>
    <w:rsid w:val="004867A2"/>
    <w:rsid w:val="004873F2"/>
    <w:rsid w:val="00490D4C"/>
    <w:rsid w:val="00493A35"/>
    <w:rsid w:val="0049527A"/>
    <w:rsid w:val="004966BF"/>
    <w:rsid w:val="00497984"/>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142C4"/>
    <w:rsid w:val="0051509C"/>
    <w:rsid w:val="005272E2"/>
    <w:rsid w:val="005277FA"/>
    <w:rsid w:val="0053108F"/>
    <w:rsid w:val="00532B56"/>
    <w:rsid w:val="00534B10"/>
    <w:rsid w:val="0053768F"/>
    <w:rsid w:val="005446A2"/>
    <w:rsid w:val="00544D2F"/>
    <w:rsid w:val="00551BD8"/>
    <w:rsid w:val="005531D0"/>
    <w:rsid w:val="00581055"/>
    <w:rsid w:val="005812B6"/>
    <w:rsid w:val="00590CDC"/>
    <w:rsid w:val="00591E38"/>
    <w:rsid w:val="005A19C5"/>
    <w:rsid w:val="005A3034"/>
    <w:rsid w:val="005A462D"/>
    <w:rsid w:val="005B253B"/>
    <w:rsid w:val="005B771D"/>
    <w:rsid w:val="005C2491"/>
    <w:rsid w:val="005C5D16"/>
    <w:rsid w:val="005D13F9"/>
    <w:rsid w:val="005D3193"/>
    <w:rsid w:val="005D4A6E"/>
    <w:rsid w:val="005E4C79"/>
    <w:rsid w:val="005E6979"/>
    <w:rsid w:val="005E75CB"/>
    <w:rsid w:val="006013C1"/>
    <w:rsid w:val="0060669E"/>
    <w:rsid w:val="00610F2E"/>
    <w:rsid w:val="00611399"/>
    <w:rsid w:val="00622EB2"/>
    <w:rsid w:val="00624C4E"/>
    <w:rsid w:val="00625200"/>
    <w:rsid w:val="006363A8"/>
    <w:rsid w:val="00636DB7"/>
    <w:rsid w:val="00650905"/>
    <w:rsid w:val="00652742"/>
    <w:rsid w:val="006532ED"/>
    <w:rsid w:val="006549F2"/>
    <w:rsid w:val="006567B7"/>
    <w:rsid w:val="00657BFB"/>
    <w:rsid w:val="0066333C"/>
    <w:rsid w:val="006639B4"/>
    <w:rsid w:val="006650FE"/>
    <w:rsid w:val="0067305D"/>
    <w:rsid w:val="00677D9B"/>
    <w:rsid w:val="006828BA"/>
    <w:rsid w:val="00682989"/>
    <w:rsid w:val="006867F3"/>
    <w:rsid w:val="00686C8A"/>
    <w:rsid w:val="00687890"/>
    <w:rsid w:val="006901A2"/>
    <w:rsid w:val="00690368"/>
    <w:rsid w:val="0069079C"/>
    <w:rsid w:val="00690B53"/>
    <w:rsid w:val="00695B72"/>
    <w:rsid w:val="00697B82"/>
    <w:rsid w:val="006B160A"/>
    <w:rsid w:val="006B4E6C"/>
    <w:rsid w:val="006B50B6"/>
    <w:rsid w:val="006D79EA"/>
    <w:rsid w:val="006E5D05"/>
    <w:rsid w:val="006F1F48"/>
    <w:rsid w:val="006F529B"/>
    <w:rsid w:val="00701053"/>
    <w:rsid w:val="00701507"/>
    <w:rsid w:val="00701FAA"/>
    <w:rsid w:val="00714021"/>
    <w:rsid w:val="00716A0F"/>
    <w:rsid w:val="00717D45"/>
    <w:rsid w:val="007208F7"/>
    <w:rsid w:val="007218AF"/>
    <w:rsid w:val="007365D1"/>
    <w:rsid w:val="00740E0E"/>
    <w:rsid w:val="00741B00"/>
    <w:rsid w:val="00750212"/>
    <w:rsid w:val="00754779"/>
    <w:rsid w:val="0075716D"/>
    <w:rsid w:val="00765F14"/>
    <w:rsid w:val="00770E31"/>
    <w:rsid w:val="007769B3"/>
    <w:rsid w:val="007770F1"/>
    <w:rsid w:val="00783FB1"/>
    <w:rsid w:val="00785CDD"/>
    <w:rsid w:val="00786DDB"/>
    <w:rsid w:val="00791847"/>
    <w:rsid w:val="007925F0"/>
    <w:rsid w:val="007939B3"/>
    <w:rsid w:val="007941E0"/>
    <w:rsid w:val="0079509C"/>
    <w:rsid w:val="00796708"/>
    <w:rsid w:val="007B1B42"/>
    <w:rsid w:val="007C30EB"/>
    <w:rsid w:val="007E063C"/>
    <w:rsid w:val="007E2A4B"/>
    <w:rsid w:val="007E307D"/>
    <w:rsid w:val="007E4B35"/>
    <w:rsid w:val="007E6A4E"/>
    <w:rsid w:val="007E6C94"/>
    <w:rsid w:val="007F1005"/>
    <w:rsid w:val="007F25E0"/>
    <w:rsid w:val="007F4FA0"/>
    <w:rsid w:val="007F5328"/>
    <w:rsid w:val="00804F5A"/>
    <w:rsid w:val="00810C6D"/>
    <w:rsid w:val="00812887"/>
    <w:rsid w:val="00817F4E"/>
    <w:rsid w:val="00826F21"/>
    <w:rsid w:val="00834CC8"/>
    <w:rsid w:val="00835E00"/>
    <w:rsid w:val="00837113"/>
    <w:rsid w:val="008414E4"/>
    <w:rsid w:val="00843E21"/>
    <w:rsid w:val="008441C9"/>
    <w:rsid w:val="0084508E"/>
    <w:rsid w:val="00857A8A"/>
    <w:rsid w:val="008630EE"/>
    <w:rsid w:val="00864D13"/>
    <w:rsid w:val="00871CD5"/>
    <w:rsid w:val="008745A2"/>
    <w:rsid w:val="008768A8"/>
    <w:rsid w:val="00881E74"/>
    <w:rsid w:val="0088798F"/>
    <w:rsid w:val="00887E4B"/>
    <w:rsid w:val="008915C8"/>
    <w:rsid w:val="008A36CF"/>
    <w:rsid w:val="008A3BC4"/>
    <w:rsid w:val="008B403C"/>
    <w:rsid w:val="008B583A"/>
    <w:rsid w:val="008B7983"/>
    <w:rsid w:val="008C2511"/>
    <w:rsid w:val="008D026D"/>
    <w:rsid w:val="008D23AB"/>
    <w:rsid w:val="008D4B8B"/>
    <w:rsid w:val="008D5A78"/>
    <w:rsid w:val="008E35D0"/>
    <w:rsid w:val="008E4F1F"/>
    <w:rsid w:val="008E5103"/>
    <w:rsid w:val="008E7B64"/>
    <w:rsid w:val="008F5DCD"/>
    <w:rsid w:val="00900951"/>
    <w:rsid w:val="00902752"/>
    <w:rsid w:val="009118A6"/>
    <w:rsid w:val="00911EFA"/>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25F"/>
    <w:rsid w:val="009578DD"/>
    <w:rsid w:val="00960877"/>
    <w:rsid w:val="00961124"/>
    <w:rsid w:val="009621B6"/>
    <w:rsid w:val="00963927"/>
    <w:rsid w:val="00974F2D"/>
    <w:rsid w:val="00977524"/>
    <w:rsid w:val="00977E88"/>
    <w:rsid w:val="00984920"/>
    <w:rsid w:val="0099303A"/>
    <w:rsid w:val="009971C2"/>
    <w:rsid w:val="009A1254"/>
    <w:rsid w:val="009A15D1"/>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921"/>
    <w:rsid w:val="00A01D0C"/>
    <w:rsid w:val="00A0643F"/>
    <w:rsid w:val="00A067EE"/>
    <w:rsid w:val="00A10FCE"/>
    <w:rsid w:val="00A16D91"/>
    <w:rsid w:val="00A174CC"/>
    <w:rsid w:val="00A2073D"/>
    <w:rsid w:val="00A20751"/>
    <w:rsid w:val="00A27E2D"/>
    <w:rsid w:val="00A31D99"/>
    <w:rsid w:val="00A34D78"/>
    <w:rsid w:val="00A357BA"/>
    <w:rsid w:val="00A35ADC"/>
    <w:rsid w:val="00A402A3"/>
    <w:rsid w:val="00A52FE6"/>
    <w:rsid w:val="00A53681"/>
    <w:rsid w:val="00A54B4E"/>
    <w:rsid w:val="00A633D4"/>
    <w:rsid w:val="00A6461A"/>
    <w:rsid w:val="00A84504"/>
    <w:rsid w:val="00A8672F"/>
    <w:rsid w:val="00A86DFA"/>
    <w:rsid w:val="00A9237C"/>
    <w:rsid w:val="00A93057"/>
    <w:rsid w:val="00A968B0"/>
    <w:rsid w:val="00AB2672"/>
    <w:rsid w:val="00AB2817"/>
    <w:rsid w:val="00AB304E"/>
    <w:rsid w:val="00AB3376"/>
    <w:rsid w:val="00AB43C4"/>
    <w:rsid w:val="00AC32E7"/>
    <w:rsid w:val="00AC3A9F"/>
    <w:rsid w:val="00AC6D2F"/>
    <w:rsid w:val="00AE2745"/>
    <w:rsid w:val="00AE2F64"/>
    <w:rsid w:val="00AE60A0"/>
    <w:rsid w:val="00AF42CB"/>
    <w:rsid w:val="00AF483F"/>
    <w:rsid w:val="00AF5E07"/>
    <w:rsid w:val="00AF5F06"/>
    <w:rsid w:val="00B00A25"/>
    <w:rsid w:val="00B1422A"/>
    <w:rsid w:val="00B1765C"/>
    <w:rsid w:val="00B213C4"/>
    <w:rsid w:val="00B40C60"/>
    <w:rsid w:val="00B479A9"/>
    <w:rsid w:val="00B52EDF"/>
    <w:rsid w:val="00B71188"/>
    <w:rsid w:val="00B714B5"/>
    <w:rsid w:val="00B76A41"/>
    <w:rsid w:val="00B87D4C"/>
    <w:rsid w:val="00B93646"/>
    <w:rsid w:val="00BA0B38"/>
    <w:rsid w:val="00BA1DBB"/>
    <w:rsid w:val="00BA1F46"/>
    <w:rsid w:val="00BA2058"/>
    <w:rsid w:val="00BA4510"/>
    <w:rsid w:val="00BA529A"/>
    <w:rsid w:val="00BB612A"/>
    <w:rsid w:val="00BD499F"/>
    <w:rsid w:val="00BD56DE"/>
    <w:rsid w:val="00BD6098"/>
    <w:rsid w:val="00BF2406"/>
    <w:rsid w:val="00BF3744"/>
    <w:rsid w:val="00C04728"/>
    <w:rsid w:val="00C06E43"/>
    <w:rsid w:val="00C16315"/>
    <w:rsid w:val="00C20C33"/>
    <w:rsid w:val="00C3091E"/>
    <w:rsid w:val="00C40FF1"/>
    <w:rsid w:val="00C419E2"/>
    <w:rsid w:val="00C41EF4"/>
    <w:rsid w:val="00C5020E"/>
    <w:rsid w:val="00C57452"/>
    <w:rsid w:val="00C57D00"/>
    <w:rsid w:val="00C61EDF"/>
    <w:rsid w:val="00C6239D"/>
    <w:rsid w:val="00C637D3"/>
    <w:rsid w:val="00C6594B"/>
    <w:rsid w:val="00C67FFB"/>
    <w:rsid w:val="00C7155E"/>
    <w:rsid w:val="00C71D1E"/>
    <w:rsid w:val="00C71D7D"/>
    <w:rsid w:val="00C74833"/>
    <w:rsid w:val="00C850A0"/>
    <w:rsid w:val="00C85A86"/>
    <w:rsid w:val="00C923B7"/>
    <w:rsid w:val="00C978F0"/>
    <w:rsid w:val="00CA58FE"/>
    <w:rsid w:val="00CB1CB1"/>
    <w:rsid w:val="00CB2C03"/>
    <w:rsid w:val="00CB6BC1"/>
    <w:rsid w:val="00CB6CB8"/>
    <w:rsid w:val="00CC1A68"/>
    <w:rsid w:val="00CC2123"/>
    <w:rsid w:val="00CD2BFD"/>
    <w:rsid w:val="00CD70E4"/>
    <w:rsid w:val="00CE5AD6"/>
    <w:rsid w:val="00CE617F"/>
    <w:rsid w:val="00CE78EF"/>
    <w:rsid w:val="00D02191"/>
    <w:rsid w:val="00D048F7"/>
    <w:rsid w:val="00D0517E"/>
    <w:rsid w:val="00D051C3"/>
    <w:rsid w:val="00D140FC"/>
    <w:rsid w:val="00D21D8C"/>
    <w:rsid w:val="00D31357"/>
    <w:rsid w:val="00D33200"/>
    <w:rsid w:val="00D33220"/>
    <w:rsid w:val="00D334D1"/>
    <w:rsid w:val="00D34AE7"/>
    <w:rsid w:val="00D44C89"/>
    <w:rsid w:val="00D516CD"/>
    <w:rsid w:val="00D668E6"/>
    <w:rsid w:val="00D70670"/>
    <w:rsid w:val="00D74D80"/>
    <w:rsid w:val="00D7557C"/>
    <w:rsid w:val="00D76624"/>
    <w:rsid w:val="00D80D7C"/>
    <w:rsid w:val="00D84045"/>
    <w:rsid w:val="00D87570"/>
    <w:rsid w:val="00D91CB9"/>
    <w:rsid w:val="00D97989"/>
    <w:rsid w:val="00D97D8D"/>
    <w:rsid w:val="00DA352E"/>
    <w:rsid w:val="00DB32C4"/>
    <w:rsid w:val="00DC7694"/>
    <w:rsid w:val="00DD1BF6"/>
    <w:rsid w:val="00DD2F9B"/>
    <w:rsid w:val="00DE1EE1"/>
    <w:rsid w:val="00DE2513"/>
    <w:rsid w:val="00DE26E8"/>
    <w:rsid w:val="00DF6F36"/>
    <w:rsid w:val="00E0084C"/>
    <w:rsid w:val="00E025AB"/>
    <w:rsid w:val="00E02B23"/>
    <w:rsid w:val="00E06F40"/>
    <w:rsid w:val="00E07CE8"/>
    <w:rsid w:val="00E26A07"/>
    <w:rsid w:val="00E26A52"/>
    <w:rsid w:val="00E26C26"/>
    <w:rsid w:val="00E315AE"/>
    <w:rsid w:val="00E32595"/>
    <w:rsid w:val="00E330C4"/>
    <w:rsid w:val="00E37CFD"/>
    <w:rsid w:val="00E41A26"/>
    <w:rsid w:val="00E46BCB"/>
    <w:rsid w:val="00E51CAF"/>
    <w:rsid w:val="00E60F04"/>
    <w:rsid w:val="00E62AAC"/>
    <w:rsid w:val="00E67C2F"/>
    <w:rsid w:val="00E67EF5"/>
    <w:rsid w:val="00E744E3"/>
    <w:rsid w:val="00E76949"/>
    <w:rsid w:val="00E804EA"/>
    <w:rsid w:val="00E80A71"/>
    <w:rsid w:val="00E82337"/>
    <w:rsid w:val="00E92499"/>
    <w:rsid w:val="00E949AF"/>
    <w:rsid w:val="00E96077"/>
    <w:rsid w:val="00EA0A06"/>
    <w:rsid w:val="00EA6243"/>
    <w:rsid w:val="00EA74AB"/>
    <w:rsid w:val="00EB3D1B"/>
    <w:rsid w:val="00ED1D89"/>
    <w:rsid w:val="00ED57DA"/>
    <w:rsid w:val="00ED5A52"/>
    <w:rsid w:val="00ED66BC"/>
    <w:rsid w:val="00EE76F6"/>
    <w:rsid w:val="00EF233A"/>
    <w:rsid w:val="00EF303E"/>
    <w:rsid w:val="00EF3A40"/>
    <w:rsid w:val="00EF7F78"/>
    <w:rsid w:val="00F01B08"/>
    <w:rsid w:val="00F01C4D"/>
    <w:rsid w:val="00F053FA"/>
    <w:rsid w:val="00F06D88"/>
    <w:rsid w:val="00F10C97"/>
    <w:rsid w:val="00F11C71"/>
    <w:rsid w:val="00F16019"/>
    <w:rsid w:val="00F20E68"/>
    <w:rsid w:val="00F22093"/>
    <w:rsid w:val="00F236DF"/>
    <w:rsid w:val="00F258CB"/>
    <w:rsid w:val="00F43AD5"/>
    <w:rsid w:val="00F4402E"/>
    <w:rsid w:val="00F462AE"/>
    <w:rsid w:val="00F56DD0"/>
    <w:rsid w:val="00F56DFC"/>
    <w:rsid w:val="00F6491C"/>
    <w:rsid w:val="00F67BBB"/>
    <w:rsid w:val="00F76F15"/>
    <w:rsid w:val="00F83077"/>
    <w:rsid w:val="00F87D92"/>
    <w:rsid w:val="00F90AA7"/>
    <w:rsid w:val="00F91C44"/>
    <w:rsid w:val="00F92498"/>
    <w:rsid w:val="00F9496B"/>
    <w:rsid w:val="00F970C9"/>
    <w:rsid w:val="00FA06A8"/>
    <w:rsid w:val="00FA2083"/>
    <w:rsid w:val="00FA3DF5"/>
    <w:rsid w:val="00FA741F"/>
    <w:rsid w:val="00FB4E07"/>
    <w:rsid w:val="00FB755A"/>
    <w:rsid w:val="00FC4DB7"/>
    <w:rsid w:val="00FC52D8"/>
    <w:rsid w:val="00FC60A2"/>
    <w:rsid w:val="00FD1871"/>
    <w:rsid w:val="00FD3110"/>
    <w:rsid w:val="00FE4FE5"/>
    <w:rsid w:val="00FF3CF5"/>
    <w:rsid w:val="00FF5C3D"/>
    <w:rsid w:val="00FF6A47"/>
    <w:rsid w:val="00FF73D8"/>
    <w:rsid w:val="00FF7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738718C2"/>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193B02"/>
    <w:pPr>
      <w:numPr>
        <w:numId w:val="1"/>
      </w:numPr>
      <w:contextualSpacing/>
    </w:pPr>
  </w:style>
  <w:style w:type="character" w:styleId="CommentReference">
    <w:name w:val="annotation reference"/>
    <w:basedOn w:val="DefaultParagraphFont"/>
    <w:uiPriority w:val="99"/>
    <w:semiHidden/>
    <w:unhideWhenUsed/>
    <w:rsid w:val="008B583A"/>
    <w:rPr>
      <w:sz w:val="16"/>
      <w:szCs w:val="16"/>
    </w:rPr>
  </w:style>
  <w:style w:type="paragraph" w:styleId="CommentText">
    <w:name w:val="annotation text"/>
    <w:basedOn w:val="Normal"/>
    <w:link w:val="CommentTextChar"/>
    <w:uiPriority w:val="99"/>
    <w:semiHidden/>
    <w:unhideWhenUsed/>
    <w:rsid w:val="008B583A"/>
    <w:pPr>
      <w:spacing w:line="240" w:lineRule="auto"/>
    </w:pPr>
    <w:rPr>
      <w:szCs w:val="20"/>
    </w:rPr>
  </w:style>
  <w:style w:type="character" w:customStyle="1" w:styleId="CommentTextChar">
    <w:name w:val="Comment Text Char"/>
    <w:basedOn w:val="DefaultParagraphFont"/>
    <w:link w:val="CommentText"/>
    <w:uiPriority w:val="99"/>
    <w:semiHidden/>
    <w:rsid w:val="008B583A"/>
    <w:rPr>
      <w:szCs w:val="20"/>
    </w:rPr>
  </w:style>
  <w:style w:type="paragraph" w:styleId="CommentSubject">
    <w:name w:val="annotation subject"/>
    <w:basedOn w:val="CommentText"/>
    <w:next w:val="CommentText"/>
    <w:link w:val="CommentSubjectChar"/>
    <w:uiPriority w:val="99"/>
    <w:semiHidden/>
    <w:unhideWhenUsed/>
    <w:rsid w:val="008B583A"/>
    <w:rPr>
      <w:b/>
      <w:bCs/>
    </w:rPr>
  </w:style>
  <w:style w:type="character" w:customStyle="1" w:styleId="CommentSubjectChar">
    <w:name w:val="Comment Subject Char"/>
    <w:basedOn w:val="CommentTextChar"/>
    <w:link w:val="CommentSubject"/>
    <w:uiPriority w:val="99"/>
    <w:semiHidden/>
    <w:rsid w:val="008B583A"/>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58876">
      <w:bodyDiv w:val="1"/>
      <w:marLeft w:val="0"/>
      <w:marRight w:val="0"/>
      <w:marTop w:val="0"/>
      <w:marBottom w:val="0"/>
      <w:divBdr>
        <w:top w:val="none" w:sz="0" w:space="0" w:color="auto"/>
        <w:left w:val="none" w:sz="0" w:space="0" w:color="auto"/>
        <w:bottom w:val="none" w:sz="0" w:space="0" w:color="auto"/>
        <w:right w:val="none" w:sz="0" w:space="0" w:color="auto"/>
      </w:divBdr>
    </w:div>
    <w:div w:id="16868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FB0307FD2095404C9CFBE1E594ADF091"/>
        <w:category>
          <w:name w:val="General"/>
          <w:gallery w:val="placeholder"/>
        </w:category>
        <w:types>
          <w:type w:val="bbPlcHdr"/>
        </w:types>
        <w:behaviors>
          <w:behavior w:val="content"/>
        </w:behaviors>
        <w:guid w:val="{A325C447-0BA0-4090-95C6-CC9FF0695D56}"/>
      </w:docPartPr>
      <w:docPartBody>
        <w:p w:rsidR="00CA72D3" w:rsidRDefault="00347D16" w:rsidP="00347D16">
          <w:pPr>
            <w:pStyle w:val="FB0307FD2095404C9CFBE1E594ADF091"/>
          </w:pPr>
          <w:r w:rsidRPr="00262278">
            <w:rPr>
              <w:color w:val="00B050"/>
            </w:rPr>
            <w:t>1994</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B27D5B" w:rsidRDefault="00CA72D3" w:rsidP="00CA72D3">
          <w:pPr>
            <w:pStyle w:val="DA2FFE9CEF2D415F9F59B567F352ED2C"/>
          </w:pPr>
          <w:r>
            <w:rPr>
              <w:rStyle w:val="PlaceholderText"/>
            </w:rPr>
            <w:t>Has this value changed?</w:t>
          </w:r>
        </w:p>
      </w:docPartBody>
    </w:docPart>
    <w:docPart>
      <w:docPartPr>
        <w:name w:val="48129B7040784A8580927BEC7D1067F3"/>
        <w:category>
          <w:name w:val="General"/>
          <w:gallery w:val="placeholder"/>
        </w:category>
        <w:types>
          <w:type w:val="bbPlcHdr"/>
        </w:types>
        <w:behaviors>
          <w:behavior w:val="content"/>
        </w:behaviors>
        <w:guid w:val="{39C80DD8-48DA-4D5A-9C0F-9E80C9CC656D}"/>
      </w:docPartPr>
      <w:docPartBody>
        <w:p w:rsidR="00B27B24" w:rsidRDefault="0005355B" w:rsidP="0005355B">
          <w:pPr>
            <w:pStyle w:val="48129B7040784A8580927BEC7D1067F3"/>
          </w:pPr>
          <w:r w:rsidRPr="00F4402E">
            <w:rPr>
              <w:rStyle w:val="PlaceholderText"/>
              <w:color w:val="FFFFFF" w:themeColor="background1"/>
            </w:rPr>
            <w:t>Choose an item.</w:t>
          </w:r>
        </w:p>
      </w:docPartBody>
    </w:docPart>
    <w:docPart>
      <w:docPartPr>
        <w:name w:val="09903CF9F37F415591C5E8D57EBA4D18"/>
        <w:category>
          <w:name w:val="General"/>
          <w:gallery w:val="placeholder"/>
        </w:category>
        <w:types>
          <w:type w:val="bbPlcHdr"/>
        </w:types>
        <w:behaviors>
          <w:behavior w:val="content"/>
        </w:behaviors>
        <w:guid w:val="{CA8B984D-106A-4E06-915F-F003C93A6BD1}"/>
      </w:docPartPr>
      <w:docPartBody>
        <w:p w:rsidR="00B27B24" w:rsidRDefault="0005355B" w:rsidP="0005355B">
          <w:pPr>
            <w:pStyle w:val="09903CF9F37F415591C5E8D57EBA4D18"/>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05355B"/>
    <w:rsid w:val="002F230B"/>
    <w:rsid w:val="00347D16"/>
    <w:rsid w:val="003E0149"/>
    <w:rsid w:val="00755FBF"/>
    <w:rsid w:val="00B27B24"/>
    <w:rsid w:val="00B27D5B"/>
    <w:rsid w:val="00C27CDF"/>
    <w:rsid w:val="00CA72D3"/>
    <w:rsid w:val="00D21A9F"/>
    <w:rsid w:val="00FA2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55B"/>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48129B7040784A8580927BEC7D1067F3">
    <w:name w:val="48129B7040784A8580927BEC7D1067F3"/>
    <w:rsid w:val="0005355B"/>
  </w:style>
  <w:style w:type="paragraph" w:customStyle="1" w:styleId="09903CF9F37F415591C5E8D57EBA4D18">
    <w:name w:val="09903CF9F37F415591C5E8D57EBA4D18"/>
    <w:rsid w:val="00053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B26FD3B4-E5FF-44D0-A85D-1656AEB7AF7B}">
  <ds:schemaRef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bf54d604-3e62-4e70-ba33-9e9084b96a66"/>
  </ds:schemaRefs>
</ds:datastoreItem>
</file>

<file path=customXml/itemProps3.xml><?xml version="1.0" encoding="utf-8"?>
<ds:datastoreItem xmlns:ds="http://schemas.openxmlformats.org/officeDocument/2006/customXml" ds:itemID="{4464A2BA-9B00-48E4-B935-DBB5CD040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0CDE1-F7FA-4D03-9C46-4A631973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10</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89</cp:revision>
  <cp:lastPrinted>2018-10-22T22:41:00Z</cp:lastPrinted>
  <dcterms:created xsi:type="dcterms:W3CDTF">2019-10-03T22:56:00Z</dcterms:created>
  <dcterms:modified xsi:type="dcterms:W3CDTF">2020-07-21T01:49:00Z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