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E85C9AC" w14:textId="77777777" w:rsidR="00BD499F" w:rsidRPr="004C23F4" w:rsidRDefault="004C0B4C" w:rsidP="00B40C60">
          <w:pPr>
            <w:pStyle w:val="Heading1"/>
            <w:jc w:val="center"/>
            <w:rPr>
              <w:rFonts w:ascii="Arial" w:hAnsi="Arial" w:cs="Arial"/>
            </w:rPr>
          </w:pPr>
          <w:r w:rsidRPr="004C0B4C">
            <w:rPr>
              <w:rFonts w:ascii="Arial" w:hAnsi="Arial" w:cs="Arial"/>
            </w:rPr>
            <w:t>Triethanolamine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2"/>
        <w:gridCol w:w="5054"/>
      </w:tblGrid>
      <w:tr w:rsidR="00F43AD5" w:rsidRPr="004C23F4" w14:paraId="541F6A8D" w14:textId="77777777" w:rsidTr="008F73F9">
        <w:trPr>
          <w:cantSplit/>
          <w:tblHeader/>
        </w:trPr>
        <w:tc>
          <w:tcPr>
            <w:tcW w:w="3972" w:type="dxa"/>
          </w:tcPr>
          <w:p w14:paraId="1D96C04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4" w:type="dxa"/>
          </w:tcPr>
          <w:p w14:paraId="3B5C0458" w14:textId="77777777" w:rsidR="00F43AD5" w:rsidRPr="00717D45" w:rsidRDefault="004C0B4C" w:rsidP="00B76A41">
            <w:pPr>
              <w:pStyle w:val="Tablefont"/>
            </w:pPr>
            <w:r>
              <w:t>102-71-6</w:t>
            </w:r>
          </w:p>
        </w:tc>
      </w:tr>
      <w:tr w:rsidR="00F43AD5" w:rsidRPr="004C23F4" w14:paraId="2B14E489" w14:textId="77777777" w:rsidTr="008F73F9">
        <w:trPr>
          <w:cantSplit/>
        </w:trPr>
        <w:tc>
          <w:tcPr>
            <w:tcW w:w="3972" w:type="dxa"/>
          </w:tcPr>
          <w:p w14:paraId="5447811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4" w:type="dxa"/>
          </w:tcPr>
          <w:p w14:paraId="5630D980" w14:textId="77777777" w:rsidR="00F43AD5" w:rsidRPr="00717D45" w:rsidRDefault="004C0B4C" w:rsidP="00B76A41">
            <w:pPr>
              <w:pStyle w:val="Tablefont"/>
            </w:pPr>
            <w:proofErr w:type="spellStart"/>
            <w:r>
              <w:t>Daltogen</w:t>
            </w:r>
            <w:proofErr w:type="spellEnd"/>
            <w:r>
              <w:t xml:space="preserve">, 2,2,2-nitrilotriethanol, </w:t>
            </w:r>
            <w:proofErr w:type="spellStart"/>
            <w:r>
              <w:t>sterolamide</w:t>
            </w:r>
            <w:proofErr w:type="spellEnd"/>
            <w:r>
              <w:t xml:space="preserve">, TEA, </w:t>
            </w:r>
            <w:proofErr w:type="spellStart"/>
            <w:r>
              <w:t>trihydroxytriethylamine</w:t>
            </w:r>
            <w:proofErr w:type="spellEnd"/>
          </w:p>
        </w:tc>
      </w:tr>
      <w:tr w:rsidR="00F43AD5" w:rsidRPr="004C23F4" w14:paraId="39D499C4" w14:textId="77777777" w:rsidTr="008F73F9">
        <w:trPr>
          <w:cantSplit/>
        </w:trPr>
        <w:tc>
          <w:tcPr>
            <w:tcW w:w="3972" w:type="dxa"/>
          </w:tcPr>
          <w:p w14:paraId="5B9017D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4" w:type="dxa"/>
          </w:tcPr>
          <w:p w14:paraId="41F046B0" w14:textId="77777777" w:rsidR="00F43AD5" w:rsidRPr="00717D45" w:rsidRDefault="004C0B4C" w:rsidP="00B76A41">
            <w:pPr>
              <w:pStyle w:val="Tablefont"/>
            </w:pPr>
            <w:r>
              <w:t>C</w:t>
            </w:r>
            <w:r w:rsidRPr="004C0B4C">
              <w:rPr>
                <w:vertAlign w:val="subscript"/>
              </w:rPr>
              <w:t>6</w:t>
            </w:r>
            <w:r>
              <w:t>H</w:t>
            </w:r>
            <w:r w:rsidRPr="004C0B4C">
              <w:rPr>
                <w:vertAlign w:val="subscript"/>
              </w:rPr>
              <w:t>15</w:t>
            </w:r>
            <w:r>
              <w:t>NO</w:t>
            </w:r>
            <w:r w:rsidRPr="004C0B4C">
              <w:rPr>
                <w:vertAlign w:val="subscript"/>
              </w:rPr>
              <w:t>3</w:t>
            </w:r>
          </w:p>
        </w:tc>
      </w:tr>
    </w:tbl>
    <w:p w14:paraId="1355072A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C344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635091D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0008CB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023BDCB" w14:textId="77777777" w:rsidR="002C7AFE" w:rsidRPr="00CC3445" w:rsidRDefault="00CC3445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1B0A6634" w14:textId="77777777" w:rsidTr="00037E52">
        <w:trPr>
          <w:cantSplit/>
        </w:trPr>
        <w:tc>
          <w:tcPr>
            <w:tcW w:w="4010" w:type="dxa"/>
            <w:vAlign w:val="center"/>
          </w:tcPr>
          <w:p w14:paraId="5BAB5475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6D3EBD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DE2E8D" w14:textId="77777777" w:rsidTr="00037E52">
        <w:trPr>
          <w:cantSplit/>
        </w:trPr>
        <w:tc>
          <w:tcPr>
            <w:tcW w:w="4010" w:type="dxa"/>
            <w:vAlign w:val="center"/>
          </w:tcPr>
          <w:p w14:paraId="78FF91FC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F905A1E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A72441A" w14:textId="77777777" w:rsidTr="00037E52">
        <w:trPr>
          <w:cantSplit/>
        </w:trPr>
        <w:tc>
          <w:tcPr>
            <w:tcW w:w="4010" w:type="dxa"/>
          </w:tcPr>
          <w:p w14:paraId="69ACC896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4981BE1" w14:textId="77777777" w:rsidR="00037E52" w:rsidRPr="00EB3D1B" w:rsidRDefault="00CC344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3A97712E" w14:textId="77777777" w:rsidTr="00037E52">
        <w:trPr>
          <w:cantSplit/>
        </w:trPr>
        <w:tc>
          <w:tcPr>
            <w:tcW w:w="4010" w:type="dxa"/>
            <w:vAlign w:val="center"/>
          </w:tcPr>
          <w:p w14:paraId="0CAB9096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CD676C7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7F915DFA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5EDDD716" w14:textId="38EF3D2D" w:rsidR="00155999" w:rsidRPr="00EB3D1B" w:rsidRDefault="00155999" w:rsidP="00037E52">
            <w:pPr>
              <w:pStyle w:val="Tablefont"/>
              <w:rPr>
                <w:b/>
              </w:rPr>
            </w:pPr>
            <w:r w:rsidRPr="00E779B0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520240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6CF2AB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A79CA7" w14:textId="3467AD20" w:rsidR="006639B4" w:rsidRPr="004C23F4" w:rsidRDefault="00CC3445" w:rsidP="000C139A">
      <w:pPr>
        <w:rPr>
          <w:rFonts w:cs="Arial"/>
        </w:rPr>
      </w:pPr>
      <w:r w:rsidRPr="00CC3445">
        <w:rPr>
          <w:rFonts w:cs="Arial"/>
        </w:rPr>
        <w:t xml:space="preserve">A TWA of </w:t>
      </w:r>
      <w:r>
        <w:rPr>
          <w:rFonts w:cs="Arial"/>
        </w:rPr>
        <w:t>5 mg/m</w:t>
      </w:r>
      <w:r>
        <w:rPr>
          <w:rFonts w:cs="Arial"/>
          <w:vertAlign w:val="superscript"/>
        </w:rPr>
        <w:t>3</w:t>
      </w:r>
      <w:r w:rsidRPr="00CC3445">
        <w:rPr>
          <w:rFonts w:cs="Arial"/>
        </w:rPr>
        <w:t xml:space="preserve"> is recommended</w:t>
      </w:r>
      <w:r>
        <w:rPr>
          <w:rFonts w:cs="Arial"/>
        </w:rPr>
        <w:t xml:space="preserve"> to protect for irrita</w:t>
      </w:r>
      <w:r w:rsidR="00FB0632">
        <w:rPr>
          <w:rFonts w:cs="Arial"/>
        </w:rPr>
        <w:t>tion</w:t>
      </w:r>
      <w:r>
        <w:rPr>
          <w:rFonts w:cs="Arial"/>
        </w:rPr>
        <w:t xml:space="preserve"> in exposed workers.</w:t>
      </w:r>
    </w:p>
    <w:p w14:paraId="3D31A68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A3FF932" w14:textId="77777777" w:rsidR="00A33CC3" w:rsidRDefault="009E3393" w:rsidP="006639B4">
      <w:r>
        <w:t>Triethanolamine is used in dry cleaning and wool scouring. It is found in cosmetics, household detergents, metalworking fluids, polishes, emulsions</w:t>
      </w:r>
      <w:r w:rsidR="00520240">
        <w:t xml:space="preserve">, </w:t>
      </w:r>
      <w:r>
        <w:t>antifoam agent</w:t>
      </w:r>
      <w:r w:rsidR="00520240">
        <w:t>s</w:t>
      </w:r>
      <w:r>
        <w:t>, water repellent</w:t>
      </w:r>
      <w:r w:rsidR="00520240">
        <w:t>s</w:t>
      </w:r>
      <w:r>
        <w:t xml:space="preserve"> and </w:t>
      </w:r>
      <w:r w:rsidR="00520240">
        <w:t>similar</w:t>
      </w:r>
      <w:r>
        <w:t xml:space="preserve"> products. </w:t>
      </w:r>
    </w:p>
    <w:p w14:paraId="7AE8204B" w14:textId="77777777" w:rsidR="00C03552" w:rsidRDefault="009E3393" w:rsidP="00CC3445">
      <w:pPr>
        <w:rPr>
          <w:rFonts w:cs="Arial"/>
          <w:color w:val="262626"/>
        </w:rPr>
      </w:pPr>
      <w:r>
        <w:rPr>
          <w:rFonts w:cs="Arial"/>
          <w:color w:val="262626"/>
        </w:rPr>
        <w:t xml:space="preserve">The critical effects </w:t>
      </w:r>
      <w:r w:rsidR="00FB0632">
        <w:rPr>
          <w:rFonts w:cs="Arial"/>
          <w:color w:val="262626"/>
        </w:rPr>
        <w:t>of</w:t>
      </w:r>
      <w:r>
        <w:rPr>
          <w:rFonts w:cs="Arial"/>
          <w:color w:val="262626"/>
        </w:rPr>
        <w:t xml:space="preserve"> exposure are respiratory, skin and eye irritation.</w:t>
      </w:r>
      <w:r w:rsidR="00A33CC3">
        <w:rPr>
          <w:rFonts w:cs="Arial"/>
          <w:color w:val="262626"/>
        </w:rPr>
        <w:t xml:space="preserve"> </w:t>
      </w:r>
    </w:p>
    <w:p w14:paraId="4EE76101" w14:textId="280D85F6" w:rsidR="009E3393" w:rsidRPr="00CC3445" w:rsidRDefault="009E3393" w:rsidP="00CC3445">
      <w:pPr>
        <w:rPr>
          <w:szCs w:val="20"/>
        </w:rPr>
      </w:pPr>
      <w:r w:rsidRPr="00CC3445">
        <w:rPr>
          <w:szCs w:val="20"/>
        </w:rPr>
        <w:t>Triethanolamine is identified as causing allergic contact dermatitis, erythematous vesicular lesions, eczema, contact dermatitis and irritation in workers. No exposure data for humans are available</w:t>
      </w:r>
      <w:r w:rsidR="00643B0C" w:rsidRPr="00CC3445">
        <w:rPr>
          <w:szCs w:val="20"/>
        </w:rPr>
        <w:t xml:space="preserve"> (ACGIH, 2018)</w:t>
      </w:r>
      <w:r w:rsidRPr="00CC3445">
        <w:rPr>
          <w:szCs w:val="20"/>
        </w:rPr>
        <w:t>. Inflammation of the larynx was observed in a</w:t>
      </w:r>
      <w:r w:rsidR="00277199">
        <w:rPr>
          <w:szCs w:val="20"/>
        </w:rPr>
        <w:t xml:space="preserve"> </w:t>
      </w:r>
      <w:r w:rsidR="00B71F52" w:rsidRPr="00CC3445">
        <w:rPr>
          <w:szCs w:val="20"/>
        </w:rPr>
        <w:t>28</w:t>
      </w:r>
      <w:r w:rsidR="00B71F52">
        <w:rPr>
          <w:szCs w:val="20"/>
        </w:rPr>
        <w:t>-</w:t>
      </w:r>
      <w:r w:rsidRPr="00CC3445">
        <w:rPr>
          <w:szCs w:val="20"/>
        </w:rPr>
        <w:t>day study in rats with a</w:t>
      </w:r>
      <w:r w:rsidR="00277199">
        <w:rPr>
          <w:szCs w:val="20"/>
        </w:rPr>
        <w:t xml:space="preserve"> </w:t>
      </w:r>
      <w:r w:rsidRPr="00CC3445">
        <w:rPr>
          <w:szCs w:val="20"/>
        </w:rPr>
        <w:t>BMDL</w:t>
      </w:r>
      <w:r w:rsidRPr="00CC3445">
        <w:rPr>
          <w:szCs w:val="20"/>
          <w:vertAlign w:val="subscript"/>
        </w:rPr>
        <w:t>05</w:t>
      </w:r>
      <w:r w:rsidRPr="00CC3445">
        <w:rPr>
          <w:szCs w:val="20"/>
        </w:rPr>
        <w:t xml:space="preserve"> of 14</w:t>
      </w:r>
      <w:r w:rsidR="00520240">
        <w:rPr>
          <w:szCs w:val="20"/>
        </w:rPr>
        <w:t> </w:t>
      </w:r>
      <w:r w:rsidRPr="00CC3445">
        <w:rPr>
          <w:szCs w:val="20"/>
        </w:rPr>
        <w:t>mg/m</w:t>
      </w:r>
      <w:r w:rsidRPr="00CC3445">
        <w:rPr>
          <w:szCs w:val="20"/>
          <w:vertAlign w:val="superscript"/>
        </w:rPr>
        <w:t>3</w:t>
      </w:r>
      <w:r w:rsidRPr="00CC3445">
        <w:rPr>
          <w:szCs w:val="20"/>
        </w:rPr>
        <w:t xml:space="preserve"> </w:t>
      </w:r>
      <w:r w:rsidR="00643B0C" w:rsidRPr="00CC3445">
        <w:rPr>
          <w:szCs w:val="20"/>
        </w:rPr>
        <w:t>reported (DFG, 201</w:t>
      </w:r>
      <w:r w:rsidR="00E779B0">
        <w:rPr>
          <w:szCs w:val="20"/>
        </w:rPr>
        <w:t>8</w:t>
      </w:r>
      <w:r w:rsidR="00643B0C" w:rsidRPr="00CC3445">
        <w:rPr>
          <w:szCs w:val="20"/>
        </w:rPr>
        <w:t>)</w:t>
      </w:r>
      <w:r w:rsidRPr="00CC3445">
        <w:rPr>
          <w:szCs w:val="20"/>
        </w:rPr>
        <w:t>.</w:t>
      </w:r>
      <w:r w:rsidR="00643B0C" w:rsidRPr="00CC3445">
        <w:rPr>
          <w:szCs w:val="20"/>
        </w:rPr>
        <w:t xml:space="preserve"> NICNAS </w:t>
      </w:r>
      <w:r w:rsidR="00B71F52" w:rsidRPr="00CC3445">
        <w:rPr>
          <w:szCs w:val="20"/>
        </w:rPr>
        <w:t>(2013)</w:t>
      </w:r>
      <w:r w:rsidR="00B71F52">
        <w:rPr>
          <w:szCs w:val="20"/>
        </w:rPr>
        <w:t xml:space="preserve"> </w:t>
      </w:r>
      <w:r w:rsidR="00643B0C" w:rsidRPr="00CC3445">
        <w:rPr>
          <w:szCs w:val="20"/>
        </w:rPr>
        <w:t>reported a LO</w:t>
      </w:r>
      <w:r w:rsidR="00B71F52">
        <w:rPr>
          <w:szCs w:val="20"/>
        </w:rPr>
        <w:t>A</w:t>
      </w:r>
      <w:r w:rsidR="00643B0C" w:rsidRPr="00CC3445">
        <w:rPr>
          <w:szCs w:val="20"/>
        </w:rPr>
        <w:t>EC of 20 mg/m</w:t>
      </w:r>
      <w:r w:rsidR="00643B0C" w:rsidRPr="00CC3445">
        <w:rPr>
          <w:szCs w:val="20"/>
          <w:vertAlign w:val="superscript"/>
        </w:rPr>
        <w:t>3</w:t>
      </w:r>
      <w:r w:rsidR="00643B0C" w:rsidRPr="00CC3445">
        <w:rPr>
          <w:szCs w:val="20"/>
        </w:rPr>
        <w:t xml:space="preserve"> from the same study. DFG (201</w:t>
      </w:r>
      <w:r w:rsidR="00E779B0">
        <w:rPr>
          <w:szCs w:val="20"/>
        </w:rPr>
        <w:t>8</w:t>
      </w:r>
      <w:r w:rsidR="00643B0C" w:rsidRPr="00CC3445">
        <w:rPr>
          <w:szCs w:val="20"/>
        </w:rPr>
        <w:t>) used the reported BMDL</w:t>
      </w:r>
      <w:r w:rsidR="00643B0C" w:rsidRPr="00CC3445">
        <w:rPr>
          <w:szCs w:val="20"/>
          <w:vertAlign w:val="subscript"/>
        </w:rPr>
        <w:t>05</w:t>
      </w:r>
      <w:r w:rsidR="00643B0C" w:rsidRPr="00CC3445">
        <w:rPr>
          <w:szCs w:val="20"/>
        </w:rPr>
        <w:t xml:space="preserve"> </w:t>
      </w:r>
      <w:r w:rsidR="00B71F52">
        <w:rPr>
          <w:szCs w:val="20"/>
        </w:rPr>
        <w:t>and applied</w:t>
      </w:r>
      <w:r w:rsidR="00B71F52" w:rsidRPr="00CC3445">
        <w:rPr>
          <w:szCs w:val="20"/>
        </w:rPr>
        <w:t xml:space="preserve"> </w:t>
      </w:r>
      <w:r w:rsidR="00643B0C" w:rsidRPr="00CC3445">
        <w:rPr>
          <w:szCs w:val="20"/>
        </w:rPr>
        <w:t>with scaling factors to derive a MAK of 1</w:t>
      </w:r>
      <w:r w:rsidR="00B71F52">
        <w:rPr>
          <w:szCs w:val="20"/>
        </w:rPr>
        <w:t> </w:t>
      </w:r>
      <w:r w:rsidR="00643B0C" w:rsidRPr="00CC3445">
        <w:rPr>
          <w:szCs w:val="20"/>
        </w:rPr>
        <w:t>mg/m</w:t>
      </w:r>
      <w:r w:rsidR="00643B0C" w:rsidRPr="00CC3445">
        <w:rPr>
          <w:szCs w:val="20"/>
          <w:vertAlign w:val="superscript"/>
        </w:rPr>
        <w:t>3</w:t>
      </w:r>
      <w:r w:rsidR="00643B0C" w:rsidRPr="00CC3445">
        <w:rPr>
          <w:szCs w:val="20"/>
        </w:rPr>
        <w:t xml:space="preserve">. </w:t>
      </w:r>
      <w:r w:rsidR="00B71F52">
        <w:t>Adverse effects on</w:t>
      </w:r>
      <w:r w:rsidR="00CC3445">
        <w:t xml:space="preserve"> liver, kidneys and nerve fibres were reported in oral animal experimental studies (ACGIH, 2018).</w:t>
      </w:r>
    </w:p>
    <w:p w14:paraId="1D814080" w14:textId="31189EE6" w:rsidR="009E3393" w:rsidRPr="004C23F4" w:rsidRDefault="00CC3445" w:rsidP="006639B4">
      <w:pPr>
        <w:rPr>
          <w:rFonts w:cs="Arial"/>
        </w:rPr>
      </w:pPr>
      <w:r w:rsidRPr="00CC3445">
        <w:rPr>
          <w:rFonts w:cs="Arial"/>
        </w:rPr>
        <w:t xml:space="preserve">A TWA of </w:t>
      </w:r>
      <w:r>
        <w:rPr>
          <w:rFonts w:cs="Arial"/>
        </w:rPr>
        <w:t>5 mg/m</w:t>
      </w:r>
      <w:r>
        <w:rPr>
          <w:rFonts w:cs="Arial"/>
          <w:vertAlign w:val="superscript"/>
        </w:rPr>
        <w:t>3</w:t>
      </w:r>
      <w:r w:rsidRPr="00CC3445">
        <w:rPr>
          <w:rFonts w:cs="Arial"/>
        </w:rPr>
        <w:t xml:space="preserve"> </w:t>
      </w:r>
      <w:r w:rsidR="00B71F52">
        <w:rPr>
          <w:rFonts w:cs="Arial"/>
        </w:rPr>
        <w:t xml:space="preserve">by </w:t>
      </w:r>
      <w:r w:rsidR="00B71F52">
        <w:t xml:space="preserve">ACGIH (2018) </w:t>
      </w:r>
      <w:r w:rsidRPr="00CC3445">
        <w:rPr>
          <w:rFonts w:cs="Arial"/>
        </w:rPr>
        <w:t>is recommended to be retained as based on the weight of evidence presented it is considered protective for irritation effects reported in animals.</w:t>
      </w:r>
    </w:p>
    <w:p w14:paraId="02943FE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C6331E5" w14:textId="77777777" w:rsidR="008E4F1F" w:rsidRPr="00CC3445" w:rsidRDefault="008E4F1F" w:rsidP="008E4F1F">
      <w:pPr>
        <w:rPr>
          <w:rFonts w:cs="Arial"/>
        </w:rPr>
      </w:pPr>
      <w:r w:rsidRPr="00CC3445">
        <w:rPr>
          <w:rFonts w:cs="Arial"/>
        </w:rPr>
        <w:t>Not classified as a carcinogen according to the Globally Harmonized System of</w:t>
      </w:r>
      <w:r w:rsidR="00155999" w:rsidRPr="00CC3445">
        <w:rPr>
          <w:rFonts w:cs="Arial"/>
        </w:rPr>
        <w:t xml:space="preserve"> Classification and Labelling of</w:t>
      </w:r>
      <w:r w:rsidRPr="00CC3445">
        <w:rPr>
          <w:rFonts w:cs="Arial"/>
        </w:rPr>
        <w:t xml:space="preserve"> Chemicals (GHS). </w:t>
      </w:r>
    </w:p>
    <w:p w14:paraId="547DD68A" w14:textId="77777777" w:rsidR="008E4F1F" w:rsidRPr="00CC3445" w:rsidRDefault="008E4F1F" w:rsidP="008E4F1F">
      <w:pPr>
        <w:rPr>
          <w:rFonts w:cs="Arial"/>
        </w:rPr>
      </w:pPr>
      <w:r w:rsidRPr="00CC3445">
        <w:rPr>
          <w:rFonts w:cs="Arial"/>
        </w:rPr>
        <w:t xml:space="preserve">Not classified as a skin </w:t>
      </w:r>
      <w:r w:rsidR="00155999" w:rsidRPr="00CC3445">
        <w:rPr>
          <w:rFonts w:cs="Arial"/>
        </w:rPr>
        <w:t xml:space="preserve">sensitiser </w:t>
      </w:r>
      <w:r w:rsidRPr="00CC3445">
        <w:rPr>
          <w:rFonts w:cs="Arial"/>
        </w:rPr>
        <w:t>or respiratory sensitiser according to the GHS.</w:t>
      </w:r>
    </w:p>
    <w:p w14:paraId="7A9C4D61" w14:textId="77777777" w:rsidR="0025734A" w:rsidRPr="004C23F4" w:rsidRDefault="00CC3445">
      <w:pPr>
        <w:rPr>
          <w:rFonts w:cs="Arial"/>
        </w:rPr>
      </w:pPr>
      <w:r w:rsidRPr="00CC3445">
        <w:rPr>
          <w:rFonts w:cs="Arial"/>
        </w:rPr>
        <w:t xml:space="preserve">A skin notation is recommended based on </w:t>
      </w:r>
      <w:r w:rsidRPr="00CC3445">
        <w:rPr>
          <w:rFonts w:cs="Arial"/>
          <w:i/>
        </w:rPr>
        <w:t>in vivo</w:t>
      </w:r>
      <w:r w:rsidRPr="00CC3445">
        <w:rPr>
          <w:rFonts w:cs="Arial"/>
        </w:rPr>
        <w:t xml:space="preserve"> evidence of dermal uptake and potential systemic effects demonstrated in animals.</w:t>
      </w:r>
    </w:p>
    <w:p w14:paraId="59516A5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368647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6E213A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2F8AF6A" w14:textId="77777777" w:rsidTr="0098175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A19986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60C9057" w14:textId="77777777" w:rsidTr="0098175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6E42F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C0B4C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C0B4C">
                  <w:t>TWA: 5 mg/m</w:t>
                </w:r>
                <w:r w:rsidR="004C0B4C" w:rsidRPr="004C0B4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57D9EE3" w14:textId="77777777" w:rsidTr="0098175C">
        <w:trPr>
          <w:gridAfter w:val="1"/>
          <w:wAfter w:w="8" w:type="pct"/>
        </w:trPr>
        <w:tc>
          <w:tcPr>
            <w:tcW w:w="4992" w:type="pct"/>
          </w:tcPr>
          <w:p w14:paraId="3B0A4EC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855A6D6" w14:textId="77777777" w:rsidTr="0098175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F45157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F5E7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F5E74">
                  <w:t>TLV-</w:t>
                </w:r>
                <w:r w:rsidR="002F5E74" w:rsidRPr="002F5E74">
                  <w:t>TWA: 5 mg/m</w:t>
                </w:r>
                <w:r w:rsidR="002F5E74" w:rsidRPr="0018534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C274922" w14:textId="77777777" w:rsidTr="0098175C">
        <w:trPr>
          <w:gridAfter w:val="1"/>
          <w:wAfter w:w="8" w:type="pct"/>
        </w:trPr>
        <w:tc>
          <w:tcPr>
            <w:tcW w:w="4992" w:type="pct"/>
          </w:tcPr>
          <w:p w14:paraId="38EE3E74" w14:textId="66A28293" w:rsidR="00C978F0" w:rsidRDefault="00191C29" w:rsidP="003365A5">
            <w:pPr>
              <w:pStyle w:val="Tabletextprimarysource"/>
            </w:pPr>
            <w:r>
              <w:t xml:space="preserve">TLV-TWA recommended to minimise the potential for eye and skin irritation contact dermatitis and </w:t>
            </w:r>
            <w:r w:rsidRPr="00E70304">
              <w:t xml:space="preserve">as reported in experimental animals, </w:t>
            </w:r>
            <w:r w:rsidR="00B71F52">
              <w:t>adverse effects on</w:t>
            </w:r>
            <w:r w:rsidRPr="00E70304">
              <w:t xml:space="preserve"> liver, kidneys and nerve fibres</w:t>
            </w:r>
            <w:r w:rsidR="00E70304">
              <w:t xml:space="preserve"> </w:t>
            </w:r>
            <w:r w:rsidR="00B71F52">
              <w:t>reported in animal studies</w:t>
            </w:r>
            <w:r w:rsidR="00E70304">
              <w:t>.</w:t>
            </w:r>
          </w:p>
          <w:p w14:paraId="26DEB265" w14:textId="184B4755" w:rsidR="0018534D" w:rsidRDefault="0018534D" w:rsidP="003365A5">
            <w:pPr>
              <w:pStyle w:val="Tabletextprimarysource"/>
            </w:pPr>
            <w:r>
              <w:t>Summary of data:</w:t>
            </w:r>
          </w:p>
          <w:p w14:paraId="486EA6C1" w14:textId="0378377E" w:rsidR="0018534D" w:rsidRDefault="00A73F00" w:rsidP="00AA22BB">
            <w:pPr>
              <w:pStyle w:val="ListBullet"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t xml:space="preserve">No inhalation exposure data or </w:t>
            </w:r>
            <w:r w:rsidR="0018534D">
              <w:t xml:space="preserve">derivation of the TLV-TWA </w:t>
            </w:r>
            <w:r w:rsidR="00B71F52">
              <w:t>in this primary source</w:t>
            </w:r>
            <w:r w:rsidR="00277199">
              <w:t>.</w:t>
            </w:r>
          </w:p>
          <w:p w14:paraId="580020B0" w14:textId="1AFC4972" w:rsidR="0018534D" w:rsidRDefault="0018534D" w:rsidP="0018534D">
            <w:pPr>
              <w:pStyle w:val="Tabletextprimarysource"/>
            </w:pPr>
            <w:r>
              <w:t>Human data:</w:t>
            </w:r>
          </w:p>
          <w:p w14:paraId="17F2F354" w14:textId="72D9E3A3" w:rsidR="0018534D" w:rsidRDefault="0018534D" w:rsidP="007603A5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Identified as causing allergic contact dermatitis, erythematous vesicular lesions, eczema, contact dermatitis and irritation in</w:t>
            </w:r>
            <w:r w:rsidR="00520240">
              <w:t xml:space="preserve"> exposed</w:t>
            </w:r>
            <w:r>
              <w:t xml:space="preserve"> workers</w:t>
            </w:r>
          </w:p>
          <w:p w14:paraId="5E6DACDD" w14:textId="13AA05D6" w:rsidR="0018534D" w:rsidRDefault="0018534D" w:rsidP="007603A5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Negative results</w:t>
            </w:r>
            <w:r w:rsidR="00B71F52">
              <w:t xml:space="preserve"> reported</w:t>
            </w:r>
            <w:r>
              <w:t xml:space="preserve"> in a cohort study in which cancer morbidity and mortality were investigated in workers exposed to cutting fluids with nitrates and amines (among them triethanolamine)</w:t>
            </w:r>
            <w:r w:rsidR="00277199">
              <w:t>.</w:t>
            </w:r>
          </w:p>
          <w:p w14:paraId="308D81D6" w14:textId="5B9A4B6A" w:rsidR="0018534D" w:rsidRDefault="0018534D" w:rsidP="0018534D">
            <w:pPr>
              <w:pStyle w:val="Tabletextprimarysource"/>
            </w:pPr>
            <w:r>
              <w:t>Animal data:</w:t>
            </w:r>
          </w:p>
          <w:p w14:paraId="3FBAC9A1" w14:textId="77777777" w:rsidR="0018534D" w:rsidRDefault="008A05F8" w:rsidP="007603A5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Relatively nontoxic following oral administration</w:t>
            </w:r>
          </w:p>
          <w:p w14:paraId="7BD60BFD" w14:textId="77777777" w:rsidR="00BD3860" w:rsidRDefault="002B53CE" w:rsidP="007603A5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Reversible irritation following instillation in the rabbit eye</w:t>
            </w:r>
          </w:p>
          <w:p w14:paraId="5D96D554" w14:textId="76ED8BCC" w:rsidR="002B53CE" w:rsidRDefault="002B53CE" w:rsidP="007603A5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 xml:space="preserve">Groups of 24 guinea pigs (gavage) and 24 rats (diet) administered </w:t>
            </w:r>
            <w:r w:rsidR="0083037A">
              <w:t xml:space="preserve">0, 200, 400, 800, or </w:t>
            </w:r>
            <w:r>
              <w:t>1</w:t>
            </w:r>
            <w:r w:rsidR="00277199">
              <w:t>,</w:t>
            </w:r>
            <w:r>
              <w:t>600 mg/kg/d</w:t>
            </w:r>
            <w:r w:rsidR="00A625E0">
              <w:t>, 5 d/</w:t>
            </w:r>
            <w:proofErr w:type="spellStart"/>
            <w:r w:rsidR="00A625E0">
              <w:t>wk</w:t>
            </w:r>
            <w:proofErr w:type="spellEnd"/>
            <w:r w:rsidR="00A625E0">
              <w:t xml:space="preserve">; sacrificed after 12 or 24 </w:t>
            </w:r>
            <w:proofErr w:type="spellStart"/>
            <w:r w:rsidR="00A625E0">
              <w:t>wk</w:t>
            </w:r>
            <w:proofErr w:type="spellEnd"/>
            <w:r w:rsidR="00A625E0">
              <w:t xml:space="preserve">; or dosed 24 </w:t>
            </w:r>
            <w:proofErr w:type="spellStart"/>
            <w:r w:rsidR="00A625E0">
              <w:t>wk</w:t>
            </w:r>
            <w:proofErr w:type="spellEnd"/>
            <w:r w:rsidR="00A625E0">
              <w:t xml:space="preserve"> and </w:t>
            </w:r>
            <w:r w:rsidR="0083037A">
              <w:t xml:space="preserve">a recovery </w:t>
            </w:r>
            <w:r w:rsidR="00A625E0">
              <w:t xml:space="preserve">period </w:t>
            </w:r>
            <w:r w:rsidR="00C67312">
              <w:t>of 3</w:t>
            </w:r>
            <w:r w:rsidR="00A625E0">
              <w:t xml:space="preserve"> </w:t>
            </w:r>
            <w:proofErr w:type="spellStart"/>
            <w:r w:rsidR="00A625E0">
              <w:t>mo</w:t>
            </w:r>
            <w:proofErr w:type="spellEnd"/>
            <w:r w:rsidR="00A625E0">
              <w:t xml:space="preserve"> after dosing</w:t>
            </w:r>
            <w:r w:rsidR="00520240">
              <w:t>:</w:t>
            </w:r>
          </w:p>
          <w:p w14:paraId="2ABF6492" w14:textId="5B23A6AD" w:rsidR="007603A5" w:rsidRDefault="00AA22BB" w:rsidP="008F73F9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i</w:t>
            </w:r>
            <w:r w:rsidR="00F171B2">
              <w:t xml:space="preserve">ncremental increase in severity of adverse </w:t>
            </w:r>
            <w:r w:rsidR="0083037A">
              <w:t xml:space="preserve">effect reported at </w:t>
            </w:r>
            <w:r w:rsidR="00F171B2">
              <w:t>all dose</w:t>
            </w:r>
            <w:r w:rsidR="0083037A" w:rsidDel="0083037A">
              <w:t xml:space="preserve"> </w:t>
            </w:r>
            <w:r w:rsidR="0083037A">
              <w:t>included</w:t>
            </w:r>
          </w:p>
          <w:p w14:paraId="4CCB198E" w14:textId="6B588707" w:rsidR="007603A5" w:rsidRDefault="0083037A" w:rsidP="007603A5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c</w:t>
            </w:r>
            <w:r w:rsidR="002B53CE">
              <w:t>loudy swelling of conv</w:t>
            </w:r>
            <w:r w:rsidR="00A625E0">
              <w:t xml:space="preserve">oluted tubules and </w:t>
            </w:r>
            <w:proofErr w:type="spellStart"/>
            <w:r w:rsidR="00A625E0">
              <w:t>Henli</w:t>
            </w:r>
            <w:proofErr w:type="spellEnd"/>
            <w:r w:rsidR="00A625E0">
              <w:t xml:space="preserve"> loop</w:t>
            </w:r>
            <w:r>
              <w:t xml:space="preserve"> in kidneys </w:t>
            </w:r>
          </w:p>
          <w:p w14:paraId="594FA876" w14:textId="3E410277" w:rsidR="007603A5" w:rsidRDefault="002B53CE" w:rsidP="007603A5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slight cloudy swelling in the peripheries of the acini along with some fatty changes in the inner halves of the acini</w:t>
            </w:r>
            <w:r w:rsidR="0083037A">
              <w:t xml:space="preserve"> in liver</w:t>
            </w:r>
          </w:p>
          <w:p w14:paraId="1679C2D1" w14:textId="5F0870DC" w:rsidR="007603A5" w:rsidRDefault="002B53CE" w:rsidP="007603A5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scattered degeneration in the myelin sheath of the individual fibres</w:t>
            </w:r>
            <w:r w:rsidR="0083037A">
              <w:t xml:space="preserve"> in sciatic nerves </w:t>
            </w:r>
          </w:p>
          <w:p w14:paraId="27A2F0B3" w14:textId="61DE9BC2" w:rsidR="007603A5" w:rsidRDefault="00F171B2" w:rsidP="007603A5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LOAEL of 20 mg/kg/d</w:t>
            </w:r>
          </w:p>
          <w:p w14:paraId="36EB63B5" w14:textId="750B68D8" w:rsidR="007603A5" w:rsidRDefault="00A625E0" w:rsidP="007603A5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kidney regeneration not as complete as liver regeneration at the end of </w:t>
            </w:r>
            <w:r w:rsidR="00C67312">
              <w:t>the recovery</w:t>
            </w:r>
            <w:r>
              <w:t xml:space="preserve"> period</w:t>
            </w:r>
          </w:p>
          <w:p w14:paraId="51C21579" w14:textId="4D795028" w:rsidR="007603A5" w:rsidRDefault="007603A5" w:rsidP="007603A5">
            <w:pPr>
              <w:pStyle w:val="ListBullet"/>
              <w:numPr>
                <w:ilvl w:val="0"/>
                <w:numId w:val="14"/>
              </w:numPr>
              <w:spacing w:before="60" w:after="60"/>
              <w:contextualSpacing w:val="0"/>
            </w:pPr>
            <w:r>
              <w:t>Reduced growth, altered organ weights, microscopic lesions and death</w:t>
            </w:r>
            <w:r w:rsidDel="00F171B2">
              <w:t xml:space="preserve"> </w:t>
            </w:r>
            <w:r>
              <w:t xml:space="preserve">reported in </w:t>
            </w:r>
            <w:proofErr w:type="gramStart"/>
            <w:r>
              <w:t>rats</w:t>
            </w:r>
            <w:proofErr w:type="gramEnd"/>
            <w:r>
              <w:t xml:space="preserve"> study (n=10 rats/dose) administered doses of 0, 0.005 to 2.61 g/kg/d in the diet for 30 d; responses ranged from:</w:t>
            </w:r>
          </w:p>
          <w:p w14:paraId="4204E094" w14:textId="502863A2" w:rsidR="007603A5" w:rsidRDefault="007603A5" w:rsidP="007603A5">
            <w:pPr>
              <w:pStyle w:val="ListBullet"/>
              <w:numPr>
                <w:ilvl w:val="0"/>
                <w:numId w:val="15"/>
              </w:numPr>
              <w:spacing w:before="60" w:after="60"/>
              <w:contextualSpacing w:val="0"/>
            </w:pPr>
            <w:r>
              <w:t>NOEL of 0.08 g/kg reported</w:t>
            </w:r>
          </w:p>
          <w:p w14:paraId="5DB1C834" w14:textId="36FEB521" w:rsidR="006529DC" w:rsidRDefault="007765B3" w:rsidP="007603A5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</w:pPr>
            <w:r>
              <w:t xml:space="preserve">Inconclusive evidence </w:t>
            </w:r>
            <w:r w:rsidR="00A73F00">
              <w:t xml:space="preserve">from </w:t>
            </w:r>
            <w:r>
              <w:t xml:space="preserve">reports on </w:t>
            </w:r>
            <w:r w:rsidR="00A73F00">
              <w:t>chronic bioassays with rodents for carcinogenic potential of triethanolamine</w:t>
            </w:r>
            <w:r w:rsidR="00277199">
              <w:t>.</w:t>
            </w:r>
          </w:p>
          <w:p w14:paraId="017D76B9" w14:textId="77777777" w:rsidR="008F73F9" w:rsidRDefault="008F73F9" w:rsidP="00A73F00">
            <w:pPr>
              <w:pStyle w:val="Tabletextprimarysource"/>
            </w:pPr>
          </w:p>
          <w:p w14:paraId="4DDFDFDC" w14:textId="77777777" w:rsidR="00A73F00" w:rsidRDefault="00A73F00" w:rsidP="00A73F00">
            <w:pPr>
              <w:pStyle w:val="Tabletextprimarysource"/>
            </w:pPr>
            <w:r>
              <w:t>Insufficient evidence to recommend a skin, sensitiser or carcinogenicity notation or TLV-STEL.</w:t>
            </w:r>
          </w:p>
          <w:p w14:paraId="085A52CD" w14:textId="45404690" w:rsidR="008F73F9" w:rsidRPr="00DA352E" w:rsidRDefault="008F73F9" w:rsidP="00A73F00">
            <w:pPr>
              <w:pStyle w:val="Tabletextprimarysource"/>
            </w:pPr>
          </w:p>
        </w:tc>
      </w:tr>
      <w:tr w:rsidR="00C978F0" w:rsidRPr="00DA352E" w14:paraId="192933AE" w14:textId="77777777" w:rsidTr="0098175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A2D5BD7" w14:textId="449DD06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32904">
                  <w:t>201</w:t>
                </w:r>
                <w:r w:rsidR="00E779B0">
                  <w:t>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32904">
                  <w:t>MAK: 1 mg/m</w:t>
                </w:r>
                <w:r w:rsidR="00832904" w:rsidRPr="00832904">
                  <w:rPr>
                    <w:vertAlign w:val="superscript"/>
                  </w:rPr>
                  <w:t>3</w:t>
                </w:r>
                <w:r w:rsidR="00832904">
                  <w:t xml:space="preserve"> (inhalable fraction)</w:t>
                </w:r>
              </w:sdtContent>
            </w:sdt>
          </w:p>
        </w:tc>
      </w:tr>
      <w:tr w:rsidR="00C978F0" w:rsidRPr="00DA352E" w14:paraId="6B5D9898" w14:textId="77777777" w:rsidTr="0098175C">
        <w:trPr>
          <w:gridAfter w:val="1"/>
          <w:wAfter w:w="8" w:type="pct"/>
        </w:trPr>
        <w:tc>
          <w:tcPr>
            <w:tcW w:w="4992" w:type="pct"/>
          </w:tcPr>
          <w:p w14:paraId="5CB05541" w14:textId="6EF16065" w:rsidR="00C978F0" w:rsidRDefault="00651673" w:rsidP="003365A5">
            <w:pPr>
              <w:pStyle w:val="Tabletextprimarysource"/>
            </w:pPr>
            <w:r>
              <w:t>Summary of additional data:</w:t>
            </w:r>
          </w:p>
          <w:p w14:paraId="73C37D8B" w14:textId="70BE80DB" w:rsidR="00651673" w:rsidRDefault="00520240" w:rsidP="007603A5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C</w:t>
            </w:r>
            <w:r w:rsidR="00651673">
              <w:t>ritical effect is inflammation in the laryngeal epithelium of rats after 28</w:t>
            </w:r>
            <w:r w:rsidR="008F73F9">
              <w:t xml:space="preserve"> </w:t>
            </w:r>
            <w:r w:rsidR="00651673">
              <w:t>d inhalation exposure</w:t>
            </w:r>
          </w:p>
          <w:p w14:paraId="2D6EDFAE" w14:textId="6D6FADEB" w:rsidR="006F0021" w:rsidRDefault="007765B3" w:rsidP="007603A5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lastRenderedPageBreak/>
              <w:t xml:space="preserve">Concentration-dependent increases in the incidences of laryngeal inflammation at </w:t>
            </w:r>
            <w:r w:rsidR="006F0021">
              <w:t xml:space="preserve">all </w:t>
            </w:r>
            <w:r>
              <w:t>exposure concentration in r</w:t>
            </w:r>
            <w:r w:rsidR="00651673">
              <w:t xml:space="preserve">ats exposed </w:t>
            </w:r>
            <w:r>
              <w:t xml:space="preserve">to </w:t>
            </w:r>
            <w:r w:rsidR="00651673">
              <w:t>0, 20, 100, 500 mg/m</w:t>
            </w:r>
            <w:r w:rsidR="00651673" w:rsidRPr="006F0021">
              <w:rPr>
                <w:vertAlign w:val="superscript"/>
              </w:rPr>
              <w:t>3</w:t>
            </w:r>
            <w:r w:rsidR="00651673">
              <w:t xml:space="preserve"> for 28 d</w:t>
            </w:r>
            <w:r>
              <w:t xml:space="preserve"> (LOAEC of 20 mg/m</w:t>
            </w:r>
            <w:r w:rsidRPr="006F0021">
              <w:rPr>
                <w:vertAlign w:val="superscript"/>
              </w:rPr>
              <w:t>3</w:t>
            </w:r>
            <w:r>
              <w:t>)</w:t>
            </w:r>
            <w:r w:rsidR="007603A5">
              <w:t>:</w:t>
            </w:r>
            <w:r w:rsidR="006F0021">
              <w:t xml:space="preserve"> </w:t>
            </w:r>
          </w:p>
          <w:p w14:paraId="2DB44305" w14:textId="44C0856D" w:rsidR="00651673" w:rsidRDefault="006F0021" w:rsidP="007603A5">
            <w:pPr>
              <w:pStyle w:val="ListBullet"/>
              <w:numPr>
                <w:ilvl w:val="0"/>
                <w:numId w:val="7"/>
              </w:numPr>
              <w:spacing w:before="60" w:after="60"/>
              <w:ind w:left="1444"/>
              <w:contextualSpacing w:val="0"/>
            </w:pPr>
            <w:r>
              <w:t>only grade 1 and grade 2 severities recorded</w:t>
            </w:r>
            <w:r w:rsidR="0000732B">
              <w:t xml:space="preserve"> </w:t>
            </w:r>
          </w:p>
          <w:p w14:paraId="01487933" w14:textId="1CEFD5E0" w:rsidR="006F0021" w:rsidRDefault="006F0021" w:rsidP="007603A5">
            <w:pPr>
              <w:pStyle w:val="ListBullet"/>
              <w:numPr>
                <w:ilvl w:val="0"/>
                <w:numId w:val="7"/>
              </w:numPr>
              <w:spacing w:before="60" w:after="60"/>
              <w:ind w:left="1444"/>
              <w:contextualSpacing w:val="0"/>
            </w:pPr>
            <w:r>
              <w:t>only grade 1 and grade 2 severities recorded</w:t>
            </w:r>
          </w:p>
          <w:p w14:paraId="3D2E4C3D" w14:textId="0B098308" w:rsidR="006F0021" w:rsidRDefault="006F0021" w:rsidP="007603A5">
            <w:pPr>
              <w:pStyle w:val="ListBullet"/>
              <w:numPr>
                <w:ilvl w:val="0"/>
                <w:numId w:val="7"/>
              </w:numPr>
              <w:spacing w:before="60" w:after="60"/>
              <w:ind w:left="1444"/>
              <w:contextualSpacing w:val="0"/>
            </w:pPr>
            <w:r>
              <w:t>a BMDL</w:t>
            </w:r>
            <w:r w:rsidRPr="00127EA5">
              <w:rPr>
                <w:vertAlign w:val="subscript"/>
              </w:rPr>
              <w:t>05</w:t>
            </w:r>
            <w:r>
              <w:t xml:space="preserve"> of 14.8 mg/m</w:t>
            </w:r>
            <w:r w:rsidRPr="00127EA5">
              <w:rPr>
                <w:vertAlign w:val="superscript"/>
              </w:rPr>
              <w:t>3</w:t>
            </w:r>
            <w:r>
              <w:t xml:space="preserve"> calculated</w:t>
            </w:r>
            <w:r w:rsidR="00127EA5">
              <w:t xml:space="preserve"> (</w:t>
            </w:r>
            <w:r>
              <w:t>severity grading not presented</w:t>
            </w:r>
            <w:r w:rsidR="00127EA5">
              <w:t>)</w:t>
            </w:r>
          </w:p>
          <w:p w14:paraId="777BE4AA" w14:textId="77777777" w:rsidR="0000732B" w:rsidRDefault="0000732B" w:rsidP="007603A5">
            <w:pPr>
              <w:pStyle w:val="ListBullet"/>
              <w:numPr>
                <w:ilvl w:val="0"/>
                <w:numId w:val="1"/>
              </w:numPr>
              <w:spacing w:before="60" w:after="60"/>
              <w:ind w:left="1160"/>
              <w:contextualSpacing w:val="0"/>
            </w:pPr>
            <w:r>
              <w:t>MAK derivation:</w:t>
            </w:r>
          </w:p>
          <w:p w14:paraId="67004365" w14:textId="6EB79488" w:rsidR="0000732B" w:rsidRDefault="0000732B" w:rsidP="008F73F9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by extrapolating the data from animal studies to humans (1:3) and assuming an intensification of the effects found in a subacute study over time (1:6), a concentration of 0.8 mg/m</w:t>
            </w:r>
            <w:r w:rsidRPr="0000732B">
              <w:rPr>
                <w:vertAlign w:val="superscript"/>
              </w:rPr>
              <w:t>3</w:t>
            </w:r>
            <w:r>
              <w:t xml:space="preserve"> is obtained from the BMDL</w:t>
            </w:r>
            <w:r w:rsidRPr="0000732B">
              <w:rPr>
                <w:vertAlign w:val="subscript"/>
              </w:rPr>
              <w:t xml:space="preserve">05 </w:t>
            </w:r>
            <w:r>
              <w:t>of 14.8 mg/m</w:t>
            </w:r>
            <w:r w:rsidRPr="0000732B">
              <w:rPr>
                <w:vertAlign w:val="superscript"/>
              </w:rPr>
              <w:t>3</w:t>
            </w:r>
          </w:p>
          <w:p w14:paraId="458E4EB0" w14:textId="26BC134A" w:rsidR="007603A5" w:rsidRDefault="007603A5" w:rsidP="007603A5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a</w:t>
            </w:r>
            <w:r w:rsidR="0000732B">
              <w:t>s triethanolamine did not cause irritation of the skin or eyes in the Draize test, a MAK of 1 mg/m</w:t>
            </w:r>
            <w:r w:rsidR="0000732B" w:rsidRPr="0000732B">
              <w:rPr>
                <w:vertAlign w:val="superscript"/>
              </w:rPr>
              <w:t>3</w:t>
            </w:r>
            <w:r w:rsidR="0000732B">
              <w:t xml:space="preserve"> has been justified instead of the 0.5 mg/m</w:t>
            </w:r>
            <w:r w:rsidR="0000732B" w:rsidRPr="0000732B">
              <w:rPr>
                <w:vertAlign w:val="superscript"/>
              </w:rPr>
              <w:t>3</w:t>
            </w:r>
            <w:r w:rsidR="0000732B">
              <w:t xml:space="preserve"> that would have resulted wit</w:t>
            </w:r>
            <w:r w:rsidR="001A3EC0">
              <w:t xml:space="preserve">h </w:t>
            </w:r>
            <w:r w:rsidR="006F0021">
              <w:t>rounding</w:t>
            </w:r>
            <w:r w:rsidR="001A3EC0">
              <w:t xml:space="preserve"> approach</w:t>
            </w:r>
          </w:p>
          <w:p w14:paraId="63A3BAE9" w14:textId="6177A1FD" w:rsidR="00843284" w:rsidRDefault="00843284" w:rsidP="007603A5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MAK </w:t>
            </w:r>
            <w:r w:rsidR="00520240">
              <w:t xml:space="preserve">also </w:t>
            </w:r>
            <w:r>
              <w:t>considered to be protective or sensory irritation effects.</w:t>
            </w:r>
          </w:p>
          <w:p w14:paraId="2A67CE2F" w14:textId="1366A3B9" w:rsidR="008F73F9" w:rsidRPr="00DA352E" w:rsidRDefault="008F73F9" w:rsidP="008F73F9">
            <w:pPr>
              <w:pStyle w:val="ListBullet"/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12079EAE" w14:textId="77777777" w:rsidTr="0098175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0B3EFE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10D1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10D13">
                  <w:t>NA</w:t>
                </w:r>
                <w:proofErr w:type="spellEnd"/>
              </w:sdtContent>
            </w:sdt>
          </w:p>
        </w:tc>
      </w:tr>
      <w:tr w:rsidR="00C978F0" w:rsidRPr="00DA352E" w14:paraId="648CCA3D" w14:textId="77777777" w:rsidTr="0098175C">
        <w:trPr>
          <w:gridAfter w:val="1"/>
          <w:wAfter w:w="8" w:type="pct"/>
        </w:trPr>
        <w:tc>
          <w:tcPr>
            <w:tcW w:w="4992" w:type="pct"/>
          </w:tcPr>
          <w:p w14:paraId="495F354E" w14:textId="66A21096" w:rsidR="00C978F0" w:rsidRPr="00DA352E" w:rsidRDefault="00C10D13" w:rsidP="003365A5">
            <w:pPr>
              <w:pStyle w:val="Tabletextprimarysource"/>
            </w:pPr>
            <w:r>
              <w:t>No report</w:t>
            </w:r>
            <w:r w:rsidR="00075689">
              <w:t>.</w:t>
            </w:r>
          </w:p>
        </w:tc>
      </w:tr>
      <w:tr w:rsidR="00DA352E" w:rsidRPr="00DA352E" w14:paraId="4F849082" w14:textId="77777777" w:rsidTr="0098175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83760AD" w14:textId="63444DA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10D1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10D13">
                  <w:t>NA</w:t>
                </w:r>
                <w:proofErr w:type="spellEnd"/>
              </w:sdtContent>
            </w:sdt>
          </w:p>
        </w:tc>
      </w:tr>
      <w:tr w:rsidR="00DA352E" w:rsidRPr="00DA352E" w14:paraId="7FF0ED6C" w14:textId="77777777" w:rsidTr="0098175C">
        <w:trPr>
          <w:gridAfter w:val="1"/>
          <w:wAfter w:w="8" w:type="pct"/>
        </w:trPr>
        <w:tc>
          <w:tcPr>
            <w:tcW w:w="4992" w:type="pct"/>
          </w:tcPr>
          <w:p w14:paraId="2BA8A5E4" w14:textId="4E650991" w:rsidR="00DA352E" w:rsidRPr="00DA352E" w:rsidRDefault="00C10D13" w:rsidP="003365A5">
            <w:pPr>
              <w:pStyle w:val="Tabletextprimarysource"/>
            </w:pPr>
            <w:r>
              <w:t>No report</w:t>
            </w:r>
            <w:r w:rsidR="00075689">
              <w:t>.</w:t>
            </w:r>
          </w:p>
        </w:tc>
      </w:tr>
      <w:tr w:rsidR="00DA352E" w:rsidRPr="00DA352E" w14:paraId="6EB82F29" w14:textId="77777777" w:rsidTr="0098175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8D1410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10D1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10D13">
                  <w:t>NA</w:t>
                </w:r>
                <w:proofErr w:type="spellEnd"/>
              </w:sdtContent>
            </w:sdt>
          </w:p>
        </w:tc>
      </w:tr>
      <w:tr w:rsidR="00DA352E" w:rsidRPr="00DA352E" w14:paraId="40A821DD" w14:textId="77777777" w:rsidTr="0098175C">
        <w:trPr>
          <w:gridAfter w:val="1"/>
          <w:wAfter w:w="8" w:type="pct"/>
        </w:trPr>
        <w:tc>
          <w:tcPr>
            <w:tcW w:w="4992" w:type="pct"/>
          </w:tcPr>
          <w:p w14:paraId="2AF629A3" w14:textId="152CD519" w:rsidR="00DA352E" w:rsidRPr="00DA352E" w:rsidRDefault="00C10D13" w:rsidP="003365A5">
            <w:pPr>
              <w:pStyle w:val="Tabletextprimarysource"/>
            </w:pPr>
            <w:r>
              <w:t>No report</w:t>
            </w:r>
            <w:r w:rsidR="00075689">
              <w:t>.</w:t>
            </w:r>
          </w:p>
        </w:tc>
      </w:tr>
    </w:tbl>
    <w:p w14:paraId="0D27F85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3"/>
        <w:gridCol w:w="661"/>
        <w:gridCol w:w="6454"/>
      </w:tblGrid>
      <w:tr w:rsidR="004966BF" w:rsidRPr="00263255" w14:paraId="484AA09B" w14:textId="77777777" w:rsidTr="00981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516F38B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2E06C4C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6A77DF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42977AB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9536348" w14:textId="77777777" w:rsidTr="0098175C">
        <w:trPr>
          <w:cantSplit/>
        </w:trPr>
        <w:tc>
          <w:tcPr>
            <w:tcW w:w="1488" w:type="dxa"/>
          </w:tcPr>
          <w:p w14:paraId="72003F02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0E7E34BA" w14:textId="77777777" w:rsidR="004966BF" w:rsidRPr="00CE617F" w:rsidRDefault="0098175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432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AB986EF" w14:textId="77777777" w:rsidR="004966BF" w:rsidRPr="004C23F4" w:rsidRDefault="001A3EC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4" w:type="dxa"/>
          </w:tcPr>
          <w:p w14:paraId="5A7A3D9D" w14:textId="3779155A" w:rsidR="004966BF" w:rsidRPr="00E779B0" w:rsidRDefault="001A3EC0" w:rsidP="00E3393D">
            <w:pPr>
              <w:pStyle w:val="ListBullet"/>
              <w:numPr>
                <w:ilvl w:val="0"/>
                <w:numId w:val="1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In dermal studies, 70% </w:t>
            </w:r>
            <w:r w:rsidRPr="001A3EC0">
              <w:rPr>
                <w:rStyle w:val="checkbox"/>
                <w:rFonts w:ascii="Arial" w:hAnsi="Arial" w:cs="Arial"/>
              </w:rPr>
              <w:t xml:space="preserve">of 14C- labelled triethanolamine </w:t>
            </w:r>
            <w:r w:rsidRPr="00E779B0">
              <w:rPr>
                <w:rStyle w:val="checkbox"/>
                <w:rFonts w:ascii="Arial" w:hAnsi="Arial" w:cs="Arial"/>
              </w:rPr>
              <w:t>applied to the skin of mice and rats with or without occlusion, absorbed within 24–48 h by skin</w:t>
            </w:r>
          </w:p>
          <w:p w14:paraId="05C8707C" w14:textId="20BC2744" w:rsidR="008F73F9" w:rsidRDefault="001A3EC0" w:rsidP="00E3393D">
            <w:pPr>
              <w:pStyle w:val="ListBullet"/>
              <w:numPr>
                <w:ilvl w:val="0"/>
                <w:numId w:val="1"/>
              </w:numPr>
              <w:spacing w:before="60" w:after="60"/>
              <w:contextualSpacing w:val="0"/>
              <w:rPr>
                <w:rFonts w:cs="Arial"/>
              </w:rPr>
            </w:pPr>
            <w:r w:rsidRPr="00E779B0">
              <w:rPr>
                <w:rFonts w:cs="Arial"/>
              </w:rPr>
              <w:t xml:space="preserve">In a </w:t>
            </w:r>
            <w:r w:rsidR="00E779B0" w:rsidRPr="00E779B0">
              <w:rPr>
                <w:rFonts w:cs="Arial"/>
              </w:rPr>
              <w:t xml:space="preserve">rat </w:t>
            </w:r>
            <w:r w:rsidRPr="00E779B0">
              <w:rPr>
                <w:rFonts w:cs="Arial"/>
              </w:rPr>
              <w:t>study (strain not specified) exposed to the chemical (1.8 mg/m³), no deaths reported</w:t>
            </w:r>
            <w:r w:rsidR="00E3393D">
              <w:rPr>
                <w:rFonts w:cs="Arial"/>
              </w:rPr>
              <w:t>:</w:t>
            </w:r>
          </w:p>
          <w:p w14:paraId="1E9A921E" w14:textId="43F0729A" w:rsidR="001A3EC0" w:rsidRPr="00E779B0" w:rsidRDefault="00E779B0" w:rsidP="008F73F9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  <w:rPr>
                <w:rFonts w:cs="Arial"/>
              </w:rPr>
            </w:pPr>
            <w:r w:rsidRPr="00E779B0">
              <w:rPr>
                <w:rFonts w:cs="Arial"/>
              </w:rPr>
              <w:t>1/</w:t>
            </w:r>
            <w:r w:rsidR="001A3EC0" w:rsidRPr="00E779B0">
              <w:rPr>
                <w:rFonts w:cs="Arial"/>
              </w:rPr>
              <w:t>12 rats exposed showed signs of chronic bronchitis; no further information</w:t>
            </w:r>
          </w:p>
          <w:p w14:paraId="05517609" w14:textId="45DE21E0" w:rsidR="008F73F9" w:rsidRDefault="001A3EC0" w:rsidP="00E3393D">
            <w:pPr>
              <w:pStyle w:val="ListBullet"/>
              <w:numPr>
                <w:ilvl w:val="0"/>
                <w:numId w:val="16"/>
              </w:numPr>
              <w:spacing w:before="60" w:after="60"/>
              <w:contextualSpacing w:val="0"/>
              <w:rPr>
                <w:rFonts w:cs="Arial"/>
              </w:rPr>
            </w:pPr>
            <w:r w:rsidRPr="00E779B0">
              <w:rPr>
                <w:rFonts w:cs="Arial"/>
              </w:rPr>
              <w:t>In a 28</w:t>
            </w:r>
            <w:r w:rsidR="00E15764">
              <w:rPr>
                <w:rFonts w:cs="Arial"/>
              </w:rPr>
              <w:t>-</w:t>
            </w:r>
            <w:r w:rsidRPr="00E779B0">
              <w:rPr>
                <w:rFonts w:cs="Arial"/>
              </w:rPr>
              <w:t>d repeated dose inhalation toxicity study in male and female rats, LO</w:t>
            </w:r>
            <w:r w:rsidR="00E15764">
              <w:rPr>
                <w:rFonts w:cs="Arial"/>
              </w:rPr>
              <w:t>A</w:t>
            </w:r>
            <w:r w:rsidRPr="00E779B0">
              <w:rPr>
                <w:rFonts w:cs="Arial"/>
              </w:rPr>
              <w:t>EC is estimated to be 20 mg/m</w:t>
            </w:r>
            <w:r w:rsidRPr="00E779B0">
              <w:rPr>
                <w:rFonts w:cs="Arial"/>
                <w:vertAlign w:val="superscript"/>
              </w:rPr>
              <w:t xml:space="preserve">3 </w:t>
            </w:r>
            <w:r w:rsidRPr="00E779B0">
              <w:rPr>
                <w:rFonts w:cs="Arial"/>
              </w:rPr>
              <w:t>in male rats only</w:t>
            </w:r>
            <w:r w:rsidR="00E3393D">
              <w:rPr>
                <w:rFonts w:cs="Arial"/>
              </w:rPr>
              <w:t>:</w:t>
            </w:r>
            <w:r w:rsidRPr="00E779B0">
              <w:rPr>
                <w:rFonts w:cs="Arial"/>
              </w:rPr>
              <w:t xml:space="preserve"> </w:t>
            </w:r>
          </w:p>
          <w:p w14:paraId="2AE459D3" w14:textId="31B19943" w:rsidR="001A3EC0" w:rsidRPr="00E779B0" w:rsidRDefault="001A3EC0" w:rsidP="008F73F9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  <w:rPr>
                <w:rFonts w:cs="Arial"/>
              </w:rPr>
            </w:pPr>
            <w:r w:rsidRPr="00E779B0">
              <w:rPr>
                <w:rFonts w:cs="Arial"/>
              </w:rPr>
              <w:t>histopathological investigations indicated inhalation of 20 and 500 mg/m</w:t>
            </w:r>
            <w:r w:rsidRPr="00E779B0">
              <w:rPr>
                <w:rFonts w:cs="Arial"/>
                <w:vertAlign w:val="superscript"/>
              </w:rPr>
              <w:t>3</w:t>
            </w:r>
            <w:r w:rsidRPr="00E779B0">
              <w:rPr>
                <w:rFonts w:cs="Arial"/>
              </w:rPr>
              <w:t xml:space="preserve"> (in males and females, respectively) caused irritation of the </w:t>
            </w:r>
            <w:r w:rsidR="00E779B0" w:rsidRPr="00E779B0">
              <w:rPr>
                <w:rFonts w:cs="Arial"/>
              </w:rPr>
              <w:t>URT</w:t>
            </w:r>
            <w:r w:rsidRPr="00E779B0">
              <w:rPr>
                <w:rFonts w:cs="Arial"/>
              </w:rPr>
              <w:t xml:space="preserve"> (larynx) as indicated through inflammatory changes in the mucosal lining </w:t>
            </w:r>
          </w:p>
          <w:p w14:paraId="1556ADBA" w14:textId="22B63CF9" w:rsidR="001A3EC0" w:rsidRPr="004C23F4" w:rsidRDefault="00E779B0" w:rsidP="00E3393D">
            <w:pPr>
              <w:pStyle w:val="ListBullet"/>
              <w:numPr>
                <w:ilvl w:val="0"/>
                <w:numId w:val="16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 w:rsidRPr="00E779B0">
              <w:rPr>
                <w:rFonts w:cs="Arial"/>
              </w:rPr>
              <w:t>C</w:t>
            </w:r>
            <w:r w:rsidR="001A3EC0" w:rsidRPr="00E779B0">
              <w:rPr>
                <w:rFonts w:cs="Arial"/>
              </w:rPr>
              <w:t>ritical health effects are respiratory, skin and eye irritation.</w:t>
            </w:r>
          </w:p>
        </w:tc>
      </w:tr>
    </w:tbl>
    <w:bookmarkEnd w:id="0"/>
    <w:p w14:paraId="61DED916" w14:textId="77777777" w:rsidR="007E2A4B" w:rsidRDefault="007E2A4B" w:rsidP="008F73F9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85B3810" w14:textId="77777777" w:rsidTr="001A3EC0">
        <w:trPr>
          <w:trHeight w:val="454"/>
          <w:tblHeader/>
        </w:trPr>
        <w:tc>
          <w:tcPr>
            <w:tcW w:w="6603" w:type="dxa"/>
            <w:vAlign w:val="center"/>
          </w:tcPr>
          <w:p w14:paraId="3D3B101D" w14:textId="77777777" w:rsidR="002E0D61" w:rsidRDefault="00B1422A" w:rsidP="008F73F9">
            <w:pPr>
              <w:pStyle w:val="Tablefont"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DE5EA53" w14:textId="77777777" w:rsidR="002E0D61" w:rsidRDefault="001A3EC0" w:rsidP="008F73F9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B74E50F" w14:textId="77777777" w:rsidTr="001A3EC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A13A2DC" w14:textId="77777777" w:rsidR="008A36CF" w:rsidRPr="006901A2" w:rsidRDefault="001A3EC0" w:rsidP="008F73F9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E5B9BCD" w14:textId="77777777" w:rsidR="008A36CF" w:rsidRDefault="008A36CF" w:rsidP="008F73F9">
            <w:pPr>
              <w:pStyle w:val="Tablefont"/>
              <w:spacing w:before="40" w:after="40"/>
            </w:pPr>
          </w:p>
        </w:tc>
      </w:tr>
    </w:tbl>
    <w:bookmarkEnd w:id="1"/>
    <w:p w14:paraId="3E844545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ED1819C" w14:textId="77777777" w:rsidTr="00981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3623337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953CC4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23B6BF88" w14:textId="77777777" w:rsidTr="0098175C">
        <w:trPr>
          <w:cantSplit/>
        </w:trPr>
        <w:tc>
          <w:tcPr>
            <w:tcW w:w="3227" w:type="dxa"/>
          </w:tcPr>
          <w:p w14:paraId="06661D2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6786491" w14:textId="77777777" w:rsidR="00687890" w:rsidRPr="00DD2F9B" w:rsidRDefault="003F0763" w:rsidP="00DD2F9B">
            <w:pPr>
              <w:pStyle w:val="Tablefont"/>
            </w:pPr>
            <w:r>
              <w:t>Sen</w:t>
            </w:r>
          </w:p>
        </w:tc>
      </w:tr>
      <w:tr w:rsidR="007925F0" w:rsidRPr="004C23F4" w14:paraId="37238744" w14:textId="77777777" w:rsidTr="0098175C">
        <w:trPr>
          <w:cantSplit/>
        </w:trPr>
        <w:tc>
          <w:tcPr>
            <w:tcW w:w="3227" w:type="dxa"/>
          </w:tcPr>
          <w:p w14:paraId="34DE885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8224E52" w14:textId="77777777" w:rsidR="007925F0" w:rsidRPr="00DD2F9B" w:rsidRDefault="006463F2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4D868A6" w14:textId="77777777" w:rsidTr="0098175C">
        <w:trPr>
          <w:cantSplit/>
        </w:trPr>
        <w:tc>
          <w:tcPr>
            <w:tcW w:w="3227" w:type="dxa"/>
          </w:tcPr>
          <w:p w14:paraId="69090F9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BA93163" w14:textId="77777777" w:rsidR="00AF483F" w:rsidRPr="00DD2F9B" w:rsidRDefault="006463F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E825514" w14:textId="77777777" w:rsidTr="0098175C">
        <w:trPr>
          <w:cantSplit/>
        </w:trPr>
        <w:tc>
          <w:tcPr>
            <w:tcW w:w="3227" w:type="dxa"/>
          </w:tcPr>
          <w:p w14:paraId="3D337F4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BA75C06" w14:textId="77777777" w:rsidR="00687890" w:rsidRPr="00DD2F9B" w:rsidRDefault="006463F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2DD18B4" w14:textId="77777777" w:rsidTr="0098175C">
        <w:trPr>
          <w:cantSplit/>
        </w:trPr>
        <w:tc>
          <w:tcPr>
            <w:tcW w:w="3227" w:type="dxa"/>
          </w:tcPr>
          <w:p w14:paraId="4906C6B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40159C1" w14:textId="77777777" w:rsidR="00E41A26" w:rsidRPr="00DD2F9B" w:rsidRDefault="006463F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5B7FC48" w14:textId="77777777" w:rsidTr="0098175C">
        <w:trPr>
          <w:cantSplit/>
        </w:trPr>
        <w:tc>
          <w:tcPr>
            <w:tcW w:w="3227" w:type="dxa"/>
          </w:tcPr>
          <w:p w14:paraId="5709983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62071BC" w14:textId="77777777" w:rsidR="002E0D61" w:rsidRPr="00DD2F9B" w:rsidRDefault="0083290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DA66570" w14:textId="77777777" w:rsidTr="0098175C">
        <w:trPr>
          <w:cantSplit/>
        </w:trPr>
        <w:tc>
          <w:tcPr>
            <w:tcW w:w="3227" w:type="dxa"/>
          </w:tcPr>
          <w:p w14:paraId="3E563ED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DB541B5" w14:textId="77777777" w:rsidR="002E0D61" w:rsidRPr="00DD2F9B" w:rsidRDefault="00C10D1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BD5275F" w14:textId="77777777" w:rsidTr="0098175C">
        <w:trPr>
          <w:cantSplit/>
        </w:trPr>
        <w:tc>
          <w:tcPr>
            <w:tcW w:w="3227" w:type="dxa"/>
          </w:tcPr>
          <w:p w14:paraId="738E6BB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9C7AA18" w14:textId="77777777" w:rsidR="002E0D61" w:rsidRPr="00DD2F9B" w:rsidRDefault="00C10D1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3CCD6C8" w14:textId="77777777" w:rsidTr="0098175C">
        <w:trPr>
          <w:cantSplit/>
        </w:trPr>
        <w:tc>
          <w:tcPr>
            <w:tcW w:w="3227" w:type="dxa"/>
          </w:tcPr>
          <w:p w14:paraId="7B543A6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9509764" w14:textId="77777777" w:rsidR="002E0D61" w:rsidRPr="00DD2F9B" w:rsidRDefault="007109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5AC8F4D" w14:textId="77777777" w:rsidTr="0098175C">
        <w:trPr>
          <w:cantSplit/>
        </w:trPr>
        <w:tc>
          <w:tcPr>
            <w:tcW w:w="3227" w:type="dxa"/>
          </w:tcPr>
          <w:p w14:paraId="74588F5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4810BC1" w14:textId="77777777" w:rsidR="00386093" w:rsidRPr="00DD2F9B" w:rsidRDefault="006463F2" w:rsidP="006463F2">
            <w:r>
              <w:t>Carcinogenicity – Group 3</w:t>
            </w:r>
          </w:p>
        </w:tc>
      </w:tr>
      <w:tr w:rsidR="00386093" w:rsidRPr="004C23F4" w14:paraId="5817632F" w14:textId="77777777" w:rsidTr="0098175C">
        <w:trPr>
          <w:cantSplit/>
        </w:trPr>
        <w:tc>
          <w:tcPr>
            <w:tcW w:w="3227" w:type="dxa"/>
          </w:tcPr>
          <w:p w14:paraId="280272E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0FF2ABE" w14:textId="77777777" w:rsidR="00386093" w:rsidRPr="00DD2F9B" w:rsidRDefault="006463F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444E9B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2C6655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82145C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02AE1B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72BC7D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60" w:type="dxa"/>
              <w:tblLook w:val="04A0" w:firstRow="1" w:lastRow="0" w:firstColumn="1" w:lastColumn="0" w:noHBand="0" w:noVBand="1"/>
            </w:tblPr>
            <w:tblGrid>
              <w:gridCol w:w="3584"/>
              <w:gridCol w:w="1058"/>
              <w:gridCol w:w="1058"/>
              <w:gridCol w:w="3110"/>
            </w:tblGrid>
            <w:tr w:rsidR="009E3393" w:rsidRPr="009E3393" w14:paraId="5E22A5B6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7DB9A7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484142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FC4670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26F8C6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E3393" w:rsidRPr="009E3393" w14:paraId="18C8CE5C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3C1287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9FB5F7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146E04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CD6C84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E3393" w:rsidRPr="009E3393" w14:paraId="5AE28736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A1610F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155AC9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489ECB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00C069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E3393" w:rsidRPr="009E3393" w14:paraId="73C454D5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6A0141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BEDDE6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539EBE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FD9EDD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E3393" w:rsidRPr="009E3393" w14:paraId="4E16D0B6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F75355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444C9B5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FAF8D2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2888DA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E3393" w:rsidRPr="009E3393" w14:paraId="7CC737B3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51B4D3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92F345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8B7822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8C7091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E3393" w:rsidRPr="009E3393" w14:paraId="78524A93" w14:textId="77777777" w:rsidTr="009E3393">
              <w:trPr>
                <w:trHeight w:val="335"/>
              </w:trPr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B0C3BE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521148" w14:textId="77777777" w:rsidR="009E3393" w:rsidRPr="009E3393" w:rsidRDefault="009E3393" w:rsidP="009E339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6DFF60" w14:textId="77777777" w:rsidR="009E3393" w:rsidRPr="009E3393" w:rsidRDefault="009E3393" w:rsidP="009E339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EAFF55" w14:textId="77777777" w:rsidR="009E3393" w:rsidRPr="009E3393" w:rsidRDefault="009E3393" w:rsidP="009E339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E339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0803DC6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59D79B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B35E55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55229D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C1BA280" w14:textId="77777777" w:rsidR="00EB3D1B" w:rsidRDefault="006463F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DABF01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CE4BF7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2709C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CB02769" w14:textId="77777777" w:rsidR="001B79E5" w:rsidRDefault="00832904" w:rsidP="001B79E5">
                <w:pPr>
                  <w:pStyle w:val="Tablefont"/>
                </w:pPr>
                <w:r>
                  <w:t>149.22</w:t>
                </w:r>
              </w:p>
            </w:tc>
          </w:sdtContent>
        </w:sdt>
      </w:tr>
      <w:tr w:rsidR="00A31D99" w:rsidRPr="004C23F4" w14:paraId="3B279C7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92D7C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26DD8EC" w14:textId="1B3BF33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3393D">
                  <w:t>6.19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3393D" w:rsidRPr="00E3393D">
                  <w:t>0.161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0439DE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AA6D0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A26742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9A6D69E" w14:textId="77777777" w:rsidTr="00EA6243">
        <w:trPr>
          <w:cantSplit/>
        </w:trPr>
        <w:tc>
          <w:tcPr>
            <w:tcW w:w="4077" w:type="dxa"/>
            <w:vAlign w:val="center"/>
          </w:tcPr>
          <w:p w14:paraId="4D0E035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DA3A2B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38B0A67" w14:textId="77777777" w:rsidTr="00EA6243">
        <w:trPr>
          <w:cantSplit/>
        </w:trPr>
        <w:tc>
          <w:tcPr>
            <w:tcW w:w="4077" w:type="dxa"/>
            <w:vAlign w:val="center"/>
          </w:tcPr>
          <w:p w14:paraId="108460D0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82D75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0BFDF6A" w14:textId="77777777" w:rsidTr="00EA6243">
        <w:trPr>
          <w:cantSplit/>
        </w:trPr>
        <w:tc>
          <w:tcPr>
            <w:tcW w:w="4077" w:type="dxa"/>
            <w:vAlign w:val="center"/>
          </w:tcPr>
          <w:p w14:paraId="181AF24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CCE487E" w14:textId="77777777" w:rsidR="00E06F40" w:rsidRPr="00A006A0" w:rsidRDefault="0098175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BEAD6F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50F03F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B45026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17A8A0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9C9FE7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C18F6F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4C878A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5347DA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9C5B97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16850B0" w14:textId="2EF50094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6463F2">
        <w:t>201</w:t>
      </w:r>
      <w:r w:rsidR="00E779B0">
        <w:t>8</w:t>
      </w:r>
      <w:r>
        <w:t xml:space="preserve">) </w:t>
      </w:r>
      <w:r w:rsidR="006463F2" w:rsidRPr="006463F2">
        <w:t>Triethanolamine</w:t>
      </w:r>
      <w:r>
        <w:t xml:space="preserve"> – MAK value documentation.</w:t>
      </w:r>
    </w:p>
    <w:p w14:paraId="59EC3698" w14:textId="77777777" w:rsidR="008E4F1F" w:rsidRDefault="008E4F1F" w:rsidP="008E4F1F">
      <w:r w:rsidRPr="002022B6">
        <w:t>International Agency for Research on Cancer</w:t>
      </w:r>
      <w:r>
        <w:t xml:space="preserve"> (IARC) (</w:t>
      </w:r>
      <w:r w:rsidR="008719A1">
        <w:t>2000</w:t>
      </w:r>
      <w:r>
        <w:t xml:space="preserve">) </w:t>
      </w:r>
      <w:r w:rsidR="008719A1">
        <w:t>Volume 77, Some industrial c</w:t>
      </w:r>
      <w:r w:rsidR="008719A1" w:rsidRPr="008719A1">
        <w:t>hemicals</w:t>
      </w:r>
      <w:r>
        <w:t>. IARC Monographs on the evaluation of the carcinogenic risk to humans.</w:t>
      </w:r>
    </w:p>
    <w:p w14:paraId="55F74A12" w14:textId="77777777" w:rsidR="001A3EC0" w:rsidRDefault="001A3EC0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(2013) </w:t>
      </w:r>
      <w:r w:rsidRPr="001A3EC0">
        <w:t>Ethanol, 2,2',2''-nitrilotris-</w:t>
      </w:r>
      <w:r w:rsidRPr="0071660C">
        <w:t xml:space="preserve">: Human health </w:t>
      </w:r>
      <w:r>
        <w:t xml:space="preserve">tier II </w:t>
      </w:r>
      <w:r w:rsidRPr="0071660C">
        <w:t>assessment</w:t>
      </w:r>
      <w:r>
        <w:t xml:space="preserve"> – IMAP report.</w:t>
      </w:r>
    </w:p>
    <w:p w14:paraId="0AE1811D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7FC62" w16cex:dateUtc="2020-05-14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40FE" w14:textId="77777777" w:rsidR="009B3BD1" w:rsidRDefault="009B3BD1" w:rsidP="00F43AD5">
      <w:pPr>
        <w:spacing w:after="0" w:line="240" w:lineRule="auto"/>
      </w:pPr>
      <w:r>
        <w:separator/>
      </w:r>
    </w:p>
  </w:endnote>
  <w:endnote w:type="continuationSeparator" w:id="0">
    <w:p w14:paraId="5009AF83" w14:textId="77777777" w:rsidR="009B3BD1" w:rsidRDefault="009B3BD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AC1E" w14:textId="77777777" w:rsidR="0098175C" w:rsidRDefault="00981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C2CD3C3" w14:textId="21644894" w:rsidR="008A36CF" w:rsidRDefault="004C0B4C" w:rsidP="0034744C">
        <w:pPr>
          <w:pStyle w:val="Footer"/>
          <w:rPr>
            <w:sz w:val="18"/>
            <w:szCs w:val="18"/>
          </w:rPr>
        </w:pPr>
        <w:r w:rsidRPr="004C0B4C">
          <w:rPr>
            <w:b/>
            <w:sz w:val="18"/>
            <w:szCs w:val="18"/>
          </w:rPr>
          <w:t>Triethanolamine</w:t>
        </w:r>
        <w:r w:rsidR="008A36CF">
          <w:rPr>
            <w:b/>
            <w:sz w:val="18"/>
            <w:szCs w:val="18"/>
          </w:rPr>
          <w:t xml:space="preserve"> (</w:t>
        </w:r>
        <w:r w:rsidRPr="004C0B4C">
          <w:rPr>
            <w:b/>
            <w:sz w:val="18"/>
            <w:szCs w:val="18"/>
          </w:rPr>
          <w:t>102-71-6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520240">
          <w:rPr>
            <w:sz w:val="18"/>
            <w:szCs w:val="18"/>
          </w:rPr>
          <w:t>20</w:t>
        </w:r>
      </w:p>
      <w:p w14:paraId="6EC4BEC5" w14:textId="7777777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C3445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14F4" w14:textId="77777777" w:rsidR="0098175C" w:rsidRDefault="00981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38967" w14:textId="77777777" w:rsidR="009B3BD1" w:rsidRDefault="009B3BD1" w:rsidP="00F43AD5">
      <w:pPr>
        <w:spacing w:after="0" w:line="240" w:lineRule="auto"/>
      </w:pPr>
      <w:r>
        <w:separator/>
      </w:r>
    </w:p>
  </w:footnote>
  <w:footnote w:type="continuationSeparator" w:id="0">
    <w:p w14:paraId="1D7895AF" w14:textId="77777777" w:rsidR="009B3BD1" w:rsidRDefault="009B3BD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7B1D" w14:textId="77777777" w:rsidR="0098175C" w:rsidRDefault="00981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0473" w14:textId="7BCBF264" w:rsidR="0098175C" w:rsidRDefault="0098175C" w:rsidP="0098175C">
    <w:pPr>
      <w:pStyle w:val="Header"/>
      <w:jc w:val="right"/>
    </w:pPr>
    <w:r>
      <w:pict w14:anchorId="4A543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D1945E6" wp14:editId="2F4EF060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B80E3" w14:textId="357E5373" w:rsidR="008A36CF" w:rsidRPr="0098175C" w:rsidRDefault="008A36CF" w:rsidP="00981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CAFE" w14:textId="77777777" w:rsidR="0098175C" w:rsidRDefault="009817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54CB8" w14:textId="3BD7C8C4" w:rsidR="0098175C" w:rsidRDefault="0098175C" w:rsidP="0098175C">
    <w:pPr>
      <w:pStyle w:val="Header"/>
      <w:jc w:val="right"/>
    </w:pPr>
    <w:r>
      <w:pict w14:anchorId="1180C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56F5825" wp14:editId="36998D8A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5ED35" w14:textId="77777777" w:rsidR="008A36CF" w:rsidRDefault="008A36CF" w:rsidP="00981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2E1AC0"/>
    <w:multiLevelType w:val="hybridMultilevel"/>
    <w:tmpl w:val="C960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C1"/>
    <w:multiLevelType w:val="hybridMultilevel"/>
    <w:tmpl w:val="C2F60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392D"/>
    <w:multiLevelType w:val="hybridMultilevel"/>
    <w:tmpl w:val="6F325D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65BC0"/>
    <w:multiLevelType w:val="hybridMultilevel"/>
    <w:tmpl w:val="2D300F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74A99"/>
    <w:multiLevelType w:val="hybridMultilevel"/>
    <w:tmpl w:val="3CD4D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15823"/>
    <w:multiLevelType w:val="hybridMultilevel"/>
    <w:tmpl w:val="00007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6A5D"/>
    <w:multiLevelType w:val="hybridMultilevel"/>
    <w:tmpl w:val="5F12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F072A"/>
    <w:multiLevelType w:val="hybridMultilevel"/>
    <w:tmpl w:val="02AE2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E0CC7"/>
    <w:multiLevelType w:val="hybridMultilevel"/>
    <w:tmpl w:val="B7060BFA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36896E86"/>
    <w:multiLevelType w:val="hybridMultilevel"/>
    <w:tmpl w:val="24E2708C"/>
    <w:lvl w:ilvl="0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3B5749B3"/>
    <w:multiLevelType w:val="hybridMultilevel"/>
    <w:tmpl w:val="3EFCD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CA1688"/>
    <w:multiLevelType w:val="hybridMultilevel"/>
    <w:tmpl w:val="0A2EEB5E"/>
    <w:lvl w:ilvl="0" w:tplc="0C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4E95728D"/>
    <w:multiLevelType w:val="hybridMultilevel"/>
    <w:tmpl w:val="9D822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02E0"/>
    <w:multiLevelType w:val="hybridMultilevel"/>
    <w:tmpl w:val="11F8A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0D9D"/>
    <w:multiLevelType w:val="hybridMultilevel"/>
    <w:tmpl w:val="BFD25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32FA"/>
    <w:multiLevelType w:val="hybridMultilevel"/>
    <w:tmpl w:val="E244D33C"/>
    <w:lvl w:ilvl="0" w:tplc="0C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4"/>
  </w:num>
  <w:num w:numId="13">
    <w:abstractNumId w:val="8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32B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5689"/>
    <w:rsid w:val="000803E1"/>
    <w:rsid w:val="00082615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27EA5"/>
    <w:rsid w:val="00131092"/>
    <w:rsid w:val="00140E6A"/>
    <w:rsid w:val="00146545"/>
    <w:rsid w:val="00146B75"/>
    <w:rsid w:val="0015266D"/>
    <w:rsid w:val="0015288A"/>
    <w:rsid w:val="00155999"/>
    <w:rsid w:val="001578FA"/>
    <w:rsid w:val="00160F47"/>
    <w:rsid w:val="00174B9D"/>
    <w:rsid w:val="00177CA1"/>
    <w:rsid w:val="00183823"/>
    <w:rsid w:val="00183942"/>
    <w:rsid w:val="0018534D"/>
    <w:rsid w:val="001915F6"/>
    <w:rsid w:val="00191C29"/>
    <w:rsid w:val="001A009E"/>
    <w:rsid w:val="001A1287"/>
    <w:rsid w:val="001A3859"/>
    <w:rsid w:val="001A3C9D"/>
    <w:rsid w:val="001A3EC0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199"/>
    <w:rsid w:val="00277B0C"/>
    <w:rsid w:val="002B1A2C"/>
    <w:rsid w:val="002B53CE"/>
    <w:rsid w:val="002C34F2"/>
    <w:rsid w:val="002C58FF"/>
    <w:rsid w:val="002C7AFE"/>
    <w:rsid w:val="002D05D2"/>
    <w:rsid w:val="002E0D61"/>
    <w:rsid w:val="002E4C7B"/>
    <w:rsid w:val="002F5E74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63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0B4C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0240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6020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3B0C"/>
    <w:rsid w:val="006463F2"/>
    <w:rsid w:val="00650905"/>
    <w:rsid w:val="00651673"/>
    <w:rsid w:val="006529DC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6BA9"/>
    <w:rsid w:val="006D79EA"/>
    <w:rsid w:val="006E5D05"/>
    <w:rsid w:val="006F0021"/>
    <w:rsid w:val="00701053"/>
    <w:rsid w:val="00701507"/>
    <w:rsid w:val="007109DD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03A5"/>
    <w:rsid w:val="00765F14"/>
    <w:rsid w:val="00770E31"/>
    <w:rsid w:val="007765B3"/>
    <w:rsid w:val="007770F1"/>
    <w:rsid w:val="0078262B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4678"/>
    <w:rsid w:val="007E6A4E"/>
    <w:rsid w:val="007E6C94"/>
    <w:rsid w:val="007F1005"/>
    <w:rsid w:val="007F25E0"/>
    <w:rsid w:val="007F5328"/>
    <w:rsid w:val="00804F5A"/>
    <w:rsid w:val="00810C6D"/>
    <w:rsid w:val="00812887"/>
    <w:rsid w:val="00820B12"/>
    <w:rsid w:val="00826F21"/>
    <w:rsid w:val="0083037A"/>
    <w:rsid w:val="00832904"/>
    <w:rsid w:val="00834CC8"/>
    <w:rsid w:val="00835E00"/>
    <w:rsid w:val="00837113"/>
    <w:rsid w:val="008414E4"/>
    <w:rsid w:val="00843284"/>
    <w:rsid w:val="00843E21"/>
    <w:rsid w:val="0084508E"/>
    <w:rsid w:val="00857A8A"/>
    <w:rsid w:val="008630EE"/>
    <w:rsid w:val="00864D13"/>
    <w:rsid w:val="008719A1"/>
    <w:rsid w:val="00871CD5"/>
    <w:rsid w:val="008745A2"/>
    <w:rsid w:val="008768A8"/>
    <w:rsid w:val="0088798F"/>
    <w:rsid w:val="00887E4B"/>
    <w:rsid w:val="008915C8"/>
    <w:rsid w:val="008A05F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8F73F9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175C"/>
    <w:rsid w:val="00984920"/>
    <w:rsid w:val="0099303A"/>
    <w:rsid w:val="009971C2"/>
    <w:rsid w:val="009A1254"/>
    <w:rsid w:val="009B2FF2"/>
    <w:rsid w:val="009B380C"/>
    <w:rsid w:val="009B3BD1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393"/>
    <w:rsid w:val="009E355A"/>
    <w:rsid w:val="009E63E2"/>
    <w:rsid w:val="009F04D2"/>
    <w:rsid w:val="009F05CF"/>
    <w:rsid w:val="009F0F3A"/>
    <w:rsid w:val="00A01D0C"/>
    <w:rsid w:val="00A0497B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CC3"/>
    <w:rsid w:val="00A357BA"/>
    <w:rsid w:val="00A35ADC"/>
    <w:rsid w:val="00A402A3"/>
    <w:rsid w:val="00A53681"/>
    <w:rsid w:val="00A625E0"/>
    <w:rsid w:val="00A633D4"/>
    <w:rsid w:val="00A6461A"/>
    <w:rsid w:val="00A73F00"/>
    <w:rsid w:val="00A84504"/>
    <w:rsid w:val="00A8672F"/>
    <w:rsid w:val="00A93057"/>
    <w:rsid w:val="00A968B0"/>
    <w:rsid w:val="00AA22BB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1F52"/>
    <w:rsid w:val="00B76A41"/>
    <w:rsid w:val="00B879EA"/>
    <w:rsid w:val="00B87D4C"/>
    <w:rsid w:val="00B93646"/>
    <w:rsid w:val="00BA0B38"/>
    <w:rsid w:val="00BA1DBB"/>
    <w:rsid w:val="00BA4510"/>
    <w:rsid w:val="00BA529A"/>
    <w:rsid w:val="00BB612A"/>
    <w:rsid w:val="00BD3860"/>
    <w:rsid w:val="00BD499F"/>
    <w:rsid w:val="00BD56DE"/>
    <w:rsid w:val="00BF2406"/>
    <w:rsid w:val="00C03552"/>
    <w:rsid w:val="00C06E43"/>
    <w:rsid w:val="00C10D1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312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B7E5B"/>
    <w:rsid w:val="00CC1A68"/>
    <w:rsid w:val="00CC2123"/>
    <w:rsid w:val="00CC3445"/>
    <w:rsid w:val="00CD2BFD"/>
    <w:rsid w:val="00CE5AD6"/>
    <w:rsid w:val="00CE617F"/>
    <w:rsid w:val="00CE78EF"/>
    <w:rsid w:val="00D048F7"/>
    <w:rsid w:val="00D0517E"/>
    <w:rsid w:val="00D11461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0FBB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DF6FA9"/>
    <w:rsid w:val="00E0084C"/>
    <w:rsid w:val="00E025AB"/>
    <w:rsid w:val="00E02B23"/>
    <w:rsid w:val="00E06F40"/>
    <w:rsid w:val="00E07CE8"/>
    <w:rsid w:val="00E15764"/>
    <w:rsid w:val="00E26A07"/>
    <w:rsid w:val="00E32595"/>
    <w:rsid w:val="00E3393D"/>
    <w:rsid w:val="00E37CFD"/>
    <w:rsid w:val="00E41A26"/>
    <w:rsid w:val="00E46BCB"/>
    <w:rsid w:val="00E51CAF"/>
    <w:rsid w:val="00E60F04"/>
    <w:rsid w:val="00E62AAC"/>
    <w:rsid w:val="00E67C2F"/>
    <w:rsid w:val="00E67EF5"/>
    <w:rsid w:val="00E70304"/>
    <w:rsid w:val="00E779B0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18A7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71B2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0632"/>
    <w:rsid w:val="00FB4E07"/>
    <w:rsid w:val="00FB755A"/>
    <w:rsid w:val="00FC60A2"/>
    <w:rsid w:val="00FD1871"/>
    <w:rsid w:val="00FD3110"/>
    <w:rsid w:val="00FE6BE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2C2E56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18534D"/>
    <w:pPr>
      <w:contextualSpacing/>
    </w:pPr>
  </w:style>
  <w:style w:type="paragraph" w:styleId="Revision">
    <w:name w:val="Revision"/>
    <w:hidden/>
    <w:uiPriority w:val="99"/>
    <w:semiHidden/>
    <w:rsid w:val="00E779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7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7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76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5533EA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5533EA"/>
    <w:rsid w:val="00637232"/>
    <w:rsid w:val="00755FBF"/>
    <w:rsid w:val="00C712B8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23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7354C2225E1B4EE4BC813B192A540A2E">
    <w:name w:val="7354C2225E1B4EE4BC813B192A540A2E"/>
    <w:rsid w:val="00637232"/>
  </w:style>
  <w:style w:type="paragraph" w:customStyle="1" w:styleId="F235350013834D99B1500C456FA5C575">
    <w:name w:val="F235350013834D99B1500C456FA5C575"/>
    <w:rsid w:val="00637232"/>
  </w:style>
  <w:style w:type="paragraph" w:customStyle="1" w:styleId="5CB26002B7C14D37A93305C4D5065456">
    <w:name w:val="5CB26002B7C14D37A93305C4D5065456"/>
    <w:rsid w:val="00637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00A7-87B4-42A4-AB66-1037C0D7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bf54d604-3e62-4e70-ba33-9e9084b96a66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2ECAF-4B7E-4891-B575-204D0653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34</cp:revision>
  <cp:lastPrinted>2018-10-22T22:41:00Z</cp:lastPrinted>
  <dcterms:created xsi:type="dcterms:W3CDTF">2019-10-03T22:56:00Z</dcterms:created>
  <dcterms:modified xsi:type="dcterms:W3CDTF">2020-07-21T01:50:00Z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