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alias w:val="NameofChemical"/>
        <w:tag w:val="NameofChemical"/>
        <w:id w:val="1425919599"/>
        <w:lock w:val="sdtLocked"/>
        <w:placeholder>
          <w:docPart w:val="CE1736E50B02464986D1BEC8B7ACDE96"/>
        </w:placeholder>
        <w:text/>
      </w:sdtPr>
      <w:sdtEndPr/>
      <w:sdtContent>
        <w:p w14:paraId="7F373157" w14:textId="77777777" w:rsidR="00BD499F" w:rsidRPr="004C23F4" w:rsidRDefault="00017609" w:rsidP="00B40C60">
          <w:pPr>
            <w:pStyle w:val="Heading1"/>
            <w:jc w:val="center"/>
            <w:rPr>
              <w:rFonts w:ascii="Arial" w:hAnsi="Arial" w:cs="Arial"/>
            </w:rPr>
          </w:pPr>
          <w:r w:rsidRPr="00017609">
            <w:rPr>
              <w:rFonts w:ascii="Arial" w:hAnsi="Arial" w:cs="Arial"/>
            </w:rPr>
            <w:t>Triethylamine</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75"/>
        <w:gridCol w:w="5051"/>
      </w:tblGrid>
      <w:tr w:rsidR="00F43AD5" w:rsidRPr="004C23F4" w14:paraId="7575599F" w14:textId="77777777" w:rsidTr="000420F8">
        <w:trPr>
          <w:cantSplit/>
          <w:tblHeader/>
        </w:trPr>
        <w:tc>
          <w:tcPr>
            <w:tcW w:w="3975" w:type="dxa"/>
          </w:tcPr>
          <w:p w14:paraId="036CCEF2" w14:textId="77777777" w:rsidR="00F43AD5" w:rsidRPr="00921DE7" w:rsidRDefault="00CB1CB1" w:rsidP="00B76A41">
            <w:pPr>
              <w:pStyle w:val="Tablerowright"/>
            </w:pPr>
            <w:r w:rsidRPr="00921DE7">
              <w:t>CAS number:</w:t>
            </w:r>
          </w:p>
        </w:tc>
        <w:tc>
          <w:tcPr>
            <w:tcW w:w="5051" w:type="dxa"/>
          </w:tcPr>
          <w:p w14:paraId="004BC29B" w14:textId="77777777" w:rsidR="00F43AD5" w:rsidRPr="00717D45" w:rsidRDefault="00017609" w:rsidP="00B76A41">
            <w:pPr>
              <w:pStyle w:val="Tablefont"/>
            </w:pPr>
            <w:r w:rsidRPr="00017609">
              <w:t>121-44-8</w:t>
            </w:r>
          </w:p>
        </w:tc>
      </w:tr>
      <w:tr w:rsidR="00F43AD5" w:rsidRPr="00B05AF3" w14:paraId="640BDB3E" w14:textId="77777777" w:rsidTr="000420F8">
        <w:trPr>
          <w:cantSplit/>
        </w:trPr>
        <w:tc>
          <w:tcPr>
            <w:tcW w:w="3975" w:type="dxa"/>
          </w:tcPr>
          <w:p w14:paraId="31FC1423" w14:textId="77777777" w:rsidR="00F43AD5" w:rsidRPr="00B05AF3" w:rsidRDefault="00CB1CB1" w:rsidP="00B76A41">
            <w:pPr>
              <w:pStyle w:val="Tablerowright"/>
            </w:pPr>
            <w:r w:rsidRPr="00B05AF3">
              <w:t>Synonyms:</w:t>
            </w:r>
          </w:p>
        </w:tc>
        <w:tc>
          <w:tcPr>
            <w:tcW w:w="5051" w:type="dxa"/>
          </w:tcPr>
          <w:p w14:paraId="2E9D4FD1" w14:textId="77777777" w:rsidR="00F43AD5" w:rsidRPr="00B05AF3" w:rsidRDefault="00C2561A" w:rsidP="00B76A41">
            <w:pPr>
              <w:pStyle w:val="Tablefont"/>
            </w:pPr>
            <w:proofErr w:type="gramStart"/>
            <w:r w:rsidRPr="00B05AF3">
              <w:t>N,N</w:t>
            </w:r>
            <w:proofErr w:type="gramEnd"/>
            <w:r w:rsidRPr="00B05AF3">
              <w:t>-</w:t>
            </w:r>
            <w:proofErr w:type="spellStart"/>
            <w:r w:rsidRPr="00B05AF3">
              <w:t>Diethylethanamine</w:t>
            </w:r>
            <w:proofErr w:type="spellEnd"/>
            <w:r w:rsidR="005C7D47" w:rsidRPr="00B05AF3">
              <w:t>, (diethylamino)ethane</w:t>
            </w:r>
          </w:p>
        </w:tc>
      </w:tr>
      <w:tr w:rsidR="00F43AD5" w:rsidRPr="004C23F4" w14:paraId="40FAFBE6" w14:textId="77777777" w:rsidTr="000420F8">
        <w:trPr>
          <w:cantSplit/>
        </w:trPr>
        <w:tc>
          <w:tcPr>
            <w:tcW w:w="3975" w:type="dxa"/>
          </w:tcPr>
          <w:p w14:paraId="35E6BCF4" w14:textId="77777777" w:rsidR="00F43AD5" w:rsidRPr="00921DE7" w:rsidRDefault="00CB1CB1" w:rsidP="00B76A41">
            <w:pPr>
              <w:pStyle w:val="Tablerowright"/>
            </w:pPr>
            <w:r w:rsidRPr="00921DE7">
              <w:t>Chemical formula:</w:t>
            </w:r>
          </w:p>
        </w:tc>
        <w:tc>
          <w:tcPr>
            <w:tcW w:w="5051" w:type="dxa"/>
          </w:tcPr>
          <w:p w14:paraId="6FEBB7E7" w14:textId="77777777" w:rsidR="00F43AD5" w:rsidRPr="00717D45" w:rsidRDefault="00DB7F97" w:rsidP="00B76A41">
            <w:pPr>
              <w:pStyle w:val="Tablefont"/>
            </w:pPr>
            <w:r>
              <w:t>C</w:t>
            </w:r>
            <w:r w:rsidRPr="00DB7F97">
              <w:rPr>
                <w:vertAlign w:val="subscript"/>
              </w:rPr>
              <w:t>6</w:t>
            </w:r>
            <w:r>
              <w:t>H1</w:t>
            </w:r>
            <w:r w:rsidRPr="00DB7F97">
              <w:rPr>
                <w:vertAlign w:val="subscript"/>
              </w:rPr>
              <w:t>5</w:t>
            </w:r>
            <w:r>
              <w:t>N</w:t>
            </w:r>
          </w:p>
        </w:tc>
      </w:tr>
    </w:tbl>
    <w:p w14:paraId="3A13804D" w14:textId="77777777"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5E3BBA">
            <w:rPr>
              <w:rStyle w:val="WESstatus"/>
            </w:rPr>
            <w:t>(amended)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4010"/>
        <w:gridCol w:w="5016"/>
      </w:tblGrid>
      <w:tr w:rsidR="002C7AFE" w:rsidRPr="004C23F4" w14:paraId="52FD1E18" w14:textId="77777777" w:rsidTr="00037E52">
        <w:trPr>
          <w:cantSplit/>
          <w:tblHeader/>
        </w:trPr>
        <w:tc>
          <w:tcPr>
            <w:tcW w:w="4010" w:type="dxa"/>
            <w:vAlign w:val="center"/>
          </w:tcPr>
          <w:p w14:paraId="192DE490" w14:textId="77777777" w:rsidR="002C7AFE" w:rsidRPr="002C58FF" w:rsidRDefault="00921DE7" w:rsidP="00921DE7">
            <w:pPr>
              <w:pStyle w:val="Tablerowright"/>
            </w:pPr>
            <w:r>
              <w:t>TWA:</w:t>
            </w:r>
          </w:p>
        </w:tc>
        <w:tc>
          <w:tcPr>
            <w:tcW w:w="5016" w:type="dxa"/>
          </w:tcPr>
          <w:p w14:paraId="10A632F2" w14:textId="77777777" w:rsidR="002C7AFE" w:rsidRPr="00EB3D1B" w:rsidRDefault="005E3BBA" w:rsidP="00017C82">
            <w:pPr>
              <w:pStyle w:val="Tablefont"/>
              <w:rPr>
                <w:b/>
              </w:rPr>
            </w:pPr>
            <w:r w:rsidRPr="005E3BBA">
              <w:rPr>
                <w:b/>
              </w:rPr>
              <w:t>1 ppm (4.2 mg/m</w:t>
            </w:r>
            <w:r w:rsidRPr="005E3BBA">
              <w:rPr>
                <w:b/>
                <w:vertAlign w:val="superscript"/>
              </w:rPr>
              <w:t>3</w:t>
            </w:r>
            <w:r w:rsidRPr="005E3BBA">
              <w:rPr>
                <w:b/>
              </w:rPr>
              <w:t>)</w:t>
            </w:r>
          </w:p>
        </w:tc>
      </w:tr>
      <w:tr w:rsidR="00037E52" w:rsidRPr="004C23F4" w14:paraId="5B8339A1" w14:textId="77777777" w:rsidTr="00037E52">
        <w:trPr>
          <w:cantSplit/>
        </w:trPr>
        <w:tc>
          <w:tcPr>
            <w:tcW w:w="4010" w:type="dxa"/>
            <w:vAlign w:val="center"/>
          </w:tcPr>
          <w:p w14:paraId="537850B0" w14:textId="77777777" w:rsidR="00037E52" w:rsidRPr="002C58FF" w:rsidRDefault="00037E52" w:rsidP="00037E52">
            <w:pPr>
              <w:pStyle w:val="Tablerowright"/>
            </w:pPr>
            <w:r w:rsidRPr="002C58FF">
              <w:t>STEL</w:t>
            </w:r>
            <w:r>
              <w:t>:</w:t>
            </w:r>
          </w:p>
        </w:tc>
        <w:tc>
          <w:tcPr>
            <w:tcW w:w="5016" w:type="dxa"/>
          </w:tcPr>
          <w:p w14:paraId="49BC6533" w14:textId="77777777" w:rsidR="00037E52" w:rsidRPr="00EB3D1B" w:rsidRDefault="005E3BBA" w:rsidP="00037E52">
            <w:pPr>
              <w:pStyle w:val="Tablefont"/>
              <w:rPr>
                <w:b/>
              </w:rPr>
            </w:pPr>
            <w:r w:rsidRPr="005E3BBA">
              <w:rPr>
                <w:b/>
              </w:rPr>
              <w:t>2 ppm (8.4 mg/m</w:t>
            </w:r>
            <w:r w:rsidRPr="005E3BBA">
              <w:rPr>
                <w:b/>
                <w:vertAlign w:val="superscript"/>
              </w:rPr>
              <w:t>3</w:t>
            </w:r>
            <w:r w:rsidRPr="005E3BBA">
              <w:rPr>
                <w:b/>
              </w:rPr>
              <w:t>)</w:t>
            </w:r>
          </w:p>
        </w:tc>
      </w:tr>
      <w:tr w:rsidR="00037E52" w:rsidRPr="004C23F4" w14:paraId="530F8437" w14:textId="77777777" w:rsidTr="00037E52">
        <w:trPr>
          <w:cantSplit/>
        </w:trPr>
        <w:tc>
          <w:tcPr>
            <w:tcW w:w="4010" w:type="dxa"/>
            <w:vAlign w:val="center"/>
          </w:tcPr>
          <w:p w14:paraId="5446C91A" w14:textId="77777777" w:rsidR="00037E52" w:rsidRPr="002C58FF" w:rsidRDefault="00037E52" w:rsidP="00037E52">
            <w:pPr>
              <w:pStyle w:val="Tablerowright"/>
            </w:pPr>
            <w:r>
              <w:t>Peak limitation:</w:t>
            </w:r>
          </w:p>
        </w:tc>
        <w:tc>
          <w:tcPr>
            <w:tcW w:w="5016" w:type="dxa"/>
          </w:tcPr>
          <w:p w14:paraId="3A9DCEB3" w14:textId="77777777" w:rsidR="00037E52" w:rsidRPr="00EB3D1B" w:rsidRDefault="00037E52" w:rsidP="00037E52">
            <w:pPr>
              <w:pStyle w:val="Tablefont"/>
              <w:rPr>
                <w:b/>
              </w:rPr>
            </w:pPr>
            <w:r>
              <w:rPr>
                <w:b/>
              </w:rPr>
              <w:t>—</w:t>
            </w:r>
          </w:p>
        </w:tc>
      </w:tr>
      <w:tr w:rsidR="00037E52" w:rsidRPr="004C23F4" w14:paraId="140FDD97" w14:textId="77777777" w:rsidTr="00037E52">
        <w:trPr>
          <w:cantSplit/>
        </w:trPr>
        <w:tc>
          <w:tcPr>
            <w:tcW w:w="4010" w:type="dxa"/>
          </w:tcPr>
          <w:p w14:paraId="15500DFF" w14:textId="77777777" w:rsidR="00037E52" w:rsidRPr="002C58FF" w:rsidRDefault="00037E52" w:rsidP="00037E52">
            <w:pPr>
              <w:pStyle w:val="Tablerowright"/>
            </w:pPr>
            <w:r>
              <w:rPr>
                <w:b w:val="0"/>
                <w:bCs/>
                <w:color w:val="000000" w:themeColor="text1"/>
              </w:rPr>
              <w:tab/>
            </w:r>
            <w:r w:rsidRPr="003241A8">
              <w:t>Notations</w:t>
            </w:r>
            <w:r>
              <w:t>:</w:t>
            </w:r>
          </w:p>
        </w:tc>
        <w:tc>
          <w:tcPr>
            <w:tcW w:w="5016" w:type="dxa"/>
          </w:tcPr>
          <w:p w14:paraId="3B35A536" w14:textId="77777777" w:rsidR="00037E52" w:rsidRPr="00EB3D1B" w:rsidRDefault="005E3BBA" w:rsidP="00037E52">
            <w:pPr>
              <w:pStyle w:val="Tablefont"/>
              <w:rPr>
                <w:b/>
              </w:rPr>
            </w:pPr>
            <w:r>
              <w:rPr>
                <w:b/>
              </w:rPr>
              <w:t>Sk.</w:t>
            </w:r>
          </w:p>
        </w:tc>
      </w:tr>
      <w:tr w:rsidR="00037E52" w:rsidRPr="004C23F4" w14:paraId="6F76B2B4" w14:textId="77777777" w:rsidTr="00037E52">
        <w:trPr>
          <w:cantSplit/>
        </w:trPr>
        <w:tc>
          <w:tcPr>
            <w:tcW w:w="4010" w:type="dxa"/>
            <w:vAlign w:val="center"/>
          </w:tcPr>
          <w:p w14:paraId="3FB49C95" w14:textId="77777777" w:rsidR="00037E52" w:rsidRPr="002C58FF" w:rsidRDefault="00037E52" w:rsidP="00037E52">
            <w:pPr>
              <w:pStyle w:val="Tablerowright"/>
            </w:pPr>
            <w:r>
              <w:t>IDLH:</w:t>
            </w:r>
          </w:p>
        </w:tc>
        <w:tc>
          <w:tcPr>
            <w:tcW w:w="5016" w:type="dxa"/>
          </w:tcPr>
          <w:p w14:paraId="0EE7D8D9" w14:textId="77777777" w:rsidR="00037E52" w:rsidRPr="00EB3D1B" w:rsidRDefault="0070054B" w:rsidP="00037E52">
            <w:pPr>
              <w:pStyle w:val="Tablefont"/>
              <w:rPr>
                <w:b/>
              </w:rPr>
            </w:pPr>
            <w:r>
              <w:rPr>
                <w:b/>
              </w:rPr>
              <w:t>200 ppm</w:t>
            </w:r>
          </w:p>
        </w:tc>
      </w:tr>
      <w:tr w:rsidR="00155999" w:rsidRPr="004C23F4" w14:paraId="58ED8A8D" w14:textId="77777777" w:rsidTr="004549A3">
        <w:trPr>
          <w:cantSplit/>
        </w:trPr>
        <w:tc>
          <w:tcPr>
            <w:tcW w:w="9026" w:type="dxa"/>
            <w:gridSpan w:val="2"/>
            <w:vAlign w:val="center"/>
          </w:tcPr>
          <w:p w14:paraId="37B2943C" w14:textId="77777777" w:rsidR="00155999" w:rsidRPr="00EB3D1B" w:rsidRDefault="00155999" w:rsidP="00037E52">
            <w:pPr>
              <w:pStyle w:val="Tablefont"/>
              <w:rPr>
                <w:b/>
              </w:rPr>
            </w:pPr>
            <w:r w:rsidRPr="00D706CB">
              <w:rPr>
                <w:b/>
                <w:bCs/>
              </w:rPr>
              <w:t>Sampling and analysis</w:t>
            </w:r>
            <w:r>
              <w:t>:</w:t>
            </w:r>
            <w:r w:rsidRPr="00EC521E">
              <w:rPr>
                <w:rStyle w:val="WESstatus"/>
                <w:color w:val="auto"/>
              </w:rPr>
              <w:t xml:space="preserve"> </w:t>
            </w:r>
            <w:sdt>
              <w:sdtPr>
                <w:rPr>
                  <w:rStyle w:val="WESstatus"/>
                  <w:bCs/>
                  <w:color w:val="auto"/>
                </w:rPr>
                <w:id w:val="-2105258949"/>
                <w:placeholder>
                  <w:docPart w:val="DA2FFE9CEF2D415F9F59B567F352ED2C"/>
                </w:placeholder>
                <w:comboBox>
                  <w:listItem w:displayText="(Click here to enter)" w:value="(Click here to enter)"/>
                  <w:listItem w:displayText="The recommended value is likely to be below the current limit of detection for standard sampling and analysis techniques." w:value="The recommended value is likely to be below the current limit of detection for standard sampling and analysis techniques."/>
                  <w:listItem w:displayText="The recommended value is quantifiable through available sampling and analysis techniques. " w:value="The recommended value is quantifiable through available sampling and analysis techniques. "/>
                  <w:listItem w:displayText="There is uncertainty regarding quantification of the recommended value with available sampling and/or analysis techniques." w:value="There is uncertainty regarding quantification of the recommended value with available sampling and/or analysis techniques."/>
                </w:comboBox>
              </w:sdtPr>
              <w:sdtEndPr>
                <w:rPr>
                  <w:rStyle w:val="WESstatus"/>
                </w:rPr>
              </w:sdtEndPr>
              <w:sdtContent>
                <w:r w:rsidR="00F4553A" w:rsidRPr="00D706CB">
                  <w:rPr>
                    <w:rStyle w:val="WESstatus"/>
                    <w:bCs/>
                    <w:color w:val="auto"/>
                  </w:rPr>
                  <w:t xml:space="preserve">The recommended value is quantifiable through available sampling and analysis techniques. </w:t>
                </w:r>
              </w:sdtContent>
            </w:sdt>
          </w:p>
        </w:tc>
      </w:tr>
    </w:tbl>
    <w:p w14:paraId="2BE92B60" w14:textId="77777777" w:rsidR="00CB1CB1" w:rsidRPr="003365A5" w:rsidRDefault="00F10C97" w:rsidP="003365A5">
      <w:pPr>
        <w:pStyle w:val="Heading2"/>
      </w:pPr>
      <w:r>
        <w:t>Recommendation and basis for workplace exposure standard</w:t>
      </w:r>
    </w:p>
    <w:p w14:paraId="2B31C7C9" w14:textId="77777777" w:rsidR="00F4553A" w:rsidRPr="00F4553A" w:rsidRDefault="00F4553A" w:rsidP="00F4553A">
      <w:pPr>
        <w:rPr>
          <w:rFonts w:cs="Arial"/>
        </w:rPr>
      </w:pPr>
      <w:r w:rsidRPr="00F4553A">
        <w:rPr>
          <w:rFonts w:cs="Arial"/>
        </w:rPr>
        <w:t xml:space="preserve">A TWA of </w:t>
      </w:r>
      <w:r w:rsidR="002B5EE8">
        <w:rPr>
          <w:rFonts w:cs="Arial"/>
        </w:rPr>
        <w:t>1</w:t>
      </w:r>
      <w:r w:rsidRPr="00F4553A">
        <w:rPr>
          <w:rFonts w:cs="Arial"/>
        </w:rPr>
        <w:t xml:space="preserve"> ppm (</w:t>
      </w:r>
      <w:r w:rsidR="002B5EE8">
        <w:rPr>
          <w:rFonts w:cs="Arial"/>
        </w:rPr>
        <w:t>4.2</w:t>
      </w:r>
      <w:r w:rsidRPr="00F4553A">
        <w:rPr>
          <w:rFonts w:cs="Arial"/>
        </w:rPr>
        <w:t xml:space="preserve"> mg/m</w:t>
      </w:r>
      <w:r w:rsidRPr="00F4553A">
        <w:rPr>
          <w:rFonts w:cs="Arial"/>
          <w:vertAlign w:val="superscript"/>
        </w:rPr>
        <w:t>3</w:t>
      </w:r>
      <w:r w:rsidRPr="00F4553A">
        <w:rPr>
          <w:rFonts w:cs="Arial"/>
        </w:rPr>
        <w:t>) is recommended to protect for</w:t>
      </w:r>
      <w:r w:rsidR="002B5EE8">
        <w:rPr>
          <w:rFonts w:cs="Arial"/>
        </w:rPr>
        <w:t xml:space="preserve"> visual disturbances </w:t>
      </w:r>
      <w:r w:rsidRPr="00F4553A">
        <w:rPr>
          <w:rFonts w:cs="Arial"/>
        </w:rPr>
        <w:t xml:space="preserve">in exposed workers. </w:t>
      </w:r>
    </w:p>
    <w:p w14:paraId="2FCA2F8E" w14:textId="33EF6BA4" w:rsidR="006639B4" w:rsidRPr="004C23F4" w:rsidRDefault="00F4553A" w:rsidP="000C139A">
      <w:pPr>
        <w:rPr>
          <w:rFonts w:cs="Arial"/>
        </w:rPr>
      </w:pPr>
      <w:r w:rsidRPr="00F4553A">
        <w:rPr>
          <w:rFonts w:cs="Arial"/>
        </w:rPr>
        <w:t xml:space="preserve">A STEL of </w:t>
      </w:r>
      <w:r w:rsidR="002B5EE8">
        <w:rPr>
          <w:rFonts w:cs="Arial"/>
        </w:rPr>
        <w:t>2</w:t>
      </w:r>
      <w:r w:rsidRPr="00F4553A">
        <w:rPr>
          <w:rFonts w:cs="Arial"/>
        </w:rPr>
        <w:t xml:space="preserve"> ppm (</w:t>
      </w:r>
      <w:r w:rsidR="002B5EE8">
        <w:rPr>
          <w:rFonts w:cs="Arial"/>
        </w:rPr>
        <w:t>8.4</w:t>
      </w:r>
      <w:r w:rsidRPr="00F4553A">
        <w:rPr>
          <w:rFonts w:cs="Arial"/>
        </w:rPr>
        <w:t xml:space="preserve"> mg/m</w:t>
      </w:r>
      <w:r w:rsidRPr="00F4553A">
        <w:rPr>
          <w:rFonts w:cs="Arial"/>
          <w:vertAlign w:val="superscript"/>
        </w:rPr>
        <w:t>3</w:t>
      </w:r>
      <w:r w:rsidRPr="00F4553A">
        <w:rPr>
          <w:rFonts w:cs="Arial"/>
        </w:rPr>
        <w:t xml:space="preserve">) is recommended to protect for </w:t>
      </w:r>
      <w:r w:rsidR="002B5EE8">
        <w:rPr>
          <w:rFonts w:cs="Arial"/>
        </w:rPr>
        <w:t xml:space="preserve">visual disturbances and </w:t>
      </w:r>
      <w:r w:rsidR="0085045F">
        <w:rPr>
          <w:rFonts w:cs="Arial"/>
        </w:rPr>
        <w:t xml:space="preserve">acute </w:t>
      </w:r>
      <w:r w:rsidR="002B5EE8">
        <w:rPr>
          <w:rFonts w:cs="Arial"/>
        </w:rPr>
        <w:t>irritation</w:t>
      </w:r>
      <w:r w:rsidRPr="00F4553A">
        <w:rPr>
          <w:rFonts w:cs="Arial"/>
        </w:rPr>
        <w:t xml:space="preserve"> in </w:t>
      </w:r>
      <w:r w:rsidR="0085045F">
        <w:rPr>
          <w:rFonts w:cs="Arial"/>
        </w:rPr>
        <w:t>exposed workers</w:t>
      </w:r>
      <w:r>
        <w:rPr>
          <w:rFonts w:cs="Arial"/>
        </w:rPr>
        <w:t>.</w:t>
      </w:r>
    </w:p>
    <w:p w14:paraId="7A8F23A3" w14:textId="77777777" w:rsidR="00C7155E" w:rsidRPr="004C23F4" w:rsidRDefault="00F10C97" w:rsidP="003365A5">
      <w:pPr>
        <w:pStyle w:val="Heading2"/>
      </w:pPr>
      <w:r>
        <w:t>Discussion and conclusions</w:t>
      </w:r>
    </w:p>
    <w:p w14:paraId="6057283D" w14:textId="77777777" w:rsidR="006639B4" w:rsidRDefault="00CC74C2" w:rsidP="006639B4">
      <w:pPr>
        <w:rPr>
          <w:rFonts w:cs="Arial"/>
        </w:rPr>
      </w:pPr>
      <w:r>
        <w:rPr>
          <w:rFonts w:cs="Arial"/>
        </w:rPr>
        <w:t>Triethylamine is used in the production of pharmaceuticals, pesticides, resins and polyurethane foam.</w:t>
      </w:r>
    </w:p>
    <w:p w14:paraId="42C9A657" w14:textId="53833DC1" w:rsidR="0003379E" w:rsidRDefault="008B3218" w:rsidP="006639B4">
      <w:pPr>
        <w:rPr>
          <w:rFonts w:cs="Arial"/>
        </w:rPr>
      </w:pPr>
      <w:r>
        <w:rPr>
          <w:rFonts w:cs="Arial"/>
        </w:rPr>
        <w:t>The c</w:t>
      </w:r>
      <w:r w:rsidR="00CC74C2">
        <w:rPr>
          <w:rFonts w:cs="Arial"/>
        </w:rPr>
        <w:t>ritical effects of exposure are reversible corneal changes that cause visual disturbances and higher concentrations</w:t>
      </w:r>
      <w:r w:rsidR="0003379E">
        <w:rPr>
          <w:rFonts w:cs="Arial"/>
        </w:rPr>
        <w:t xml:space="preserve"> cause</w:t>
      </w:r>
      <w:r w:rsidR="00CC74C2">
        <w:rPr>
          <w:rFonts w:cs="Arial"/>
        </w:rPr>
        <w:t xml:space="preserve"> mucous membrane irritation.</w:t>
      </w:r>
      <w:r w:rsidR="0085045F">
        <w:rPr>
          <w:rFonts w:cs="Arial"/>
        </w:rPr>
        <w:t xml:space="preserve"> </w:t>
      </w:r>
    </w:p>
    <w:p w14:paraId="0B04FC0E" w14:textId="0AA7FD21" w:rsidR="00CC74C2" w:rsidRPr="002B5EE8" w:rsidRDefault="00B015CF" w:rsidP="006639B4">
      <w:pPr>
        <w:rPr>
          <w:rFonts w:cs="Arial"/>
        </w:rPr>
      </w:pPr>
      <w:r>
        <w:rPr>
          <w:rFonts w:cs="Arial"/>
        </w:rPr>
        <w:t>T</w:t>
      </w:r>
      <w:r w:rsidR="00CC74C2">
        <w:rPr>
          <w:rFonts w:cs="Arial"/>
        </w:rPr>
        <w:t xml:space="preserve">ransient visual disturbances occur before irritation </w:t>
      </w:r>
      <w:r>
        <w:rPr>
          <w:rFonts w:cs="Arial"/>
        </w:rPr>
        <w:t xml:space="preserve">in volunteers and workers exposed by inhalation </w:t>
      </w:r>
      <w:r w:rsidR="00CC74C2">
        <w:rPr>
          <w:rFonts w:cs="Arial"/>
        </w:rPr>
        <w:t>(ACGIH, 2018; DFG, 1999; SCOEL, 1999). A threshold for reversible visual disturbances</w:t>
      </w:r>
      <w:r>
        <w:rPr>
          <w:rFonts w:cs="Arial"/>
        </w:rPr>
        <w:t>,</w:t>
      </w:r>
      <w:r w:rsidR="00CC74C2">
        <w:rPr>
          <w:rFonts w:cs="Arial"/>
        </w:rPr>
        <w:t xml:space="preserve"> such as blurred vision and decreased contrast sensitivity</w:t>
      </w:r>
      <w:r>
        <w:rPr>
          <w:rFonts w:cs="Arial"/>
        </w:rPr>
        <w:t>,</w:t>
      </w:r>
      <w:r w:rsidR="00CC74C2">
        <w:rPr>
          <w:rFonts w:cs="Arial"/>
        </w:rPr>
        <w:t xml:space="preserve"> is reported in the range between 0.7 and 2.4 ppm in volunteer inhalation studies</w:t>
      </w:r>
      <w:r w:rsidR="0003379E">
        <w:rPr>
          <w:rFonts w:cs="Arial"/>
        </w:rPr>
        <w:t xml:space="preserve">. This observation </w:t>
      </w:r>
      <w:r w:rsidR="00CC74C2">
        <w:rPr>
          <w:rFonts w:cs="Arial"/>
        </w:rPr>
        <w:t xml:space="preserve">is supported by a range of </w:t>
      </w:r>
      <w:r w:rsidR="00F4553A">
        <w:rPr>
          <w:rFonts w:cs="Arial"/>
        </w:rPr>
        <w:t>NOAEC of 1</w:t>
      </w:r>
      <w:r w:rsidR="00CC74C2">
        <w:rPr>
          <w:rFonts w:cs="Arial"/>
        </w:rPr>
        <w:t xml:space="preserve"> to 2.7 ppm for these effects </w:t>
      </w:r>
      <w:r>
        <w:rPr>
          <w:rFonts w:cs="Arial"/>
        </w:rPr>
        <w:t xml:space="preserve">reported in several workplace studies </w:t>
      </w:r>
      <w:r w:rsidR="00CC74C2">
        <w:rPr>
          <w:rFonts w:cs="Arial"/>
        </w:rPr>
        <w:t>(ACGIH, 2018; DFG, 1999; SCOEL, 1999).</w:t>
      </w:r>
      <w:r w:rsidR="00F4553A">
        <w:rPr>
          <w:rFonts w:cs="Arial"/>
        </w:rPr>
        <w:t xml:space="preserve"> </w:t>
      </w:r>
      <w:r>
        <w:rPr>
          <w:rFonts w:cs="Arial"/>
        </w:rPr>
        <w:t>However, “blue haze” following eight</w:t>
      </w:r>
      <w:r w:rsidR="008219A7">
        <w:rPr>
          <w:rFonts w:cs="Arial"/>
        </w:rPr>
        <w:t>-</w:t>
      </w:r>
      <w:r w:rsidR="00D706CB">
        <w:rPr>
          <w:rFonts w:cs="Arial"/>
        </w:rPr>
        <w:t xml:space="preserve">hour </w:t>
      </w:r>
      <w:r>
        <w:rPr>
          <w:rFonts w:cs="Arial"/>
        </w:rPr>
        <w:t>exposure at 2.6 ppm is reported in one workplace study. E</w:t>
      </w:r>
      <w:r w:rsidR="00F4553A">
        <w:rPr>
          <w:rFonts w:cs="Arial"/>
        </w:rPr>
        <w:t xml:space="preserve">ye and respiratory tract irritation </w:t>
      </w:r>
      <w:r>
        <w:rPr>
          <w:rFonts w:cs="Arial"/>
        </w:rPr>
        <w:t>are associated with</w:t>
      </w:r>
      <w:r w:rsidR="00F4553A">
        <w:rPr>
          <w:rFonts w:cs="Arial"/>
        </w:rPr>
        <w:t xml:space="preserve"> concentrations above 10 ppm (ACGIH, 2018).</w:t>
      </w:r>
    </w:p>
    <w:p w14:paraId="594657D0" w14:textId="27D92E39" w:rsidR="00F4553A" w:rsidRDefault="00F4553A" w:rsidP="006639B4">
      <w:pPr>
        <w:rPr>
          <w:rFonts w:cs="Arial"/>
        </w:rPr>
      </w:pPr>
      <w:r>
        <w:rPr>
          <w:rFonts w:cs="Arial"/>
        </w:rPr>
        <w:t>The TWA of 1 ppm</w:t>
      </w:r>
      <w:r w:rsidR="00124407">
        <w:rPr>
          <w:rFonts w:cs="Arial"/>
        </w:rPr>
        <w:t xml:space="preserve"> </w:t>
      </w:r>
      <w:r w:rsidR="00E14719">
        <w:rPr>
          <w:rFonts w:cs="Arial"/>
        </w:rPr>
        <w:t xml:space="preserve">by </w:t>
      </w:r>
      <w:r w:rsidR="00124407">
        <w:rPr>
          <w:rFonts w:cs="Arial"/>
        </w:rPr>
        <w:t>DFG (1999) and SCOEL (1999)</w:t>
      </w:r>
      <w:r w:rsidR="00E14719">
        <w:rPr>
          <w:rFonts w:cs="Arial"/>
        </w:rPr>
        <w:t xml:space="preserve"> </w:t>
      </w:r>
      <w:r>
        <w:rPr>
          <w:rFonts w:cs="Arial"/>
        </w:rPr>
        <w:t xml:space="preserve">is </w:t>
      </w:r>
      <w:r w:rsidR="00124407">
        <w:rPr>
          <w:rFonts w:cs="Arial"/>
        </w:rPr>
        <w:t xml:space="preserve">recommended </w:t>
      </w:r>
      <w:r w:rsidR="00E14719">
        <w:rPr>
          <w:rFonts w:cs="Arial"/>
        </w:rPr>
        <w:t xml:space="preserve">to </w:t>
      </w:r>
      <w:r w:rsidR="00124407">
        <w:rPr>
          <w:rFonts w:cs="Arial"/>
        </w:rPr>
        <w:t xml:space="preserve">be adopted and is </w:t>
      </w:r>
      <w:r>
        <w:rPr>
          <w:rFonts w:cs="Arial"/>
        </w:rPr>
        <w:t>expected to be protective of visual disturbances experienced in exposed volunteers and workers.</w:t>
      </w:r>
      <w:r w:rsidR="002B5EE8">
        <w:rPr>
          <w:rFonts w:cs="Arial"/>
        </w:rPr>
        <w:t xml:space="preserve"> </w:t>
      </w:r>
      <w:r w:rsidR="005509AA">
        <w:rPr>
          <w:rFonts w:cs="Arial"/>
        </w:rPr>
        <w:t>I</w:t>
      </w:r>
      <w:r w:rsidR="002B5EE8">
        <w:rPr>
          <w:rFonts w:cs="Arial"/>
        </w:rPr>
        <w:t>ntensified visual disturbances</w:t>
      </w:r>
      <w:r w:rsidR="005E3BBA">
        <w:rPr>
          <w:rFonts w:cs="Arial"/>
        </w:rPr>
        <w:t xml:space="preserve"> and mucous membrane irritation</w:t>
      </w:r>
      <w:r w:rsidR="0052022F">
        <w:rPr>
          <w:rFonts w:cs="Arial"/>
        </w:rPr>
        <w:t xml:space="preserve"> a</w:t>
      </w:r>
      <w:r w:rsidR="005509AA">
        <w:rPr>
          <w:rFonts w:cs="Arial"/>
        </w:rPr>
        <w:t>re</w:t>
      </w:r>
      <w:r w:rsidR="0052022F">
        <w:rPr>
          <w:rFonts w:cs="Arial"/>
        </w:rPr>
        <w:t xml:space="preserve"> reported in workplace studies above </w:t>
      </w:r>
      <w:r w:rsidR="00357516">
        <w:rPr>
          <w:rFonts w:cs="Arial"/>
        </w:rPr>
        <w:t xml:space="preserve">average concentrations of </w:t>
      </w:r>
      <w:r w:rsidR="0052022F">
        <w:rPr>
          <w:rFonts w:cs="Arial"/>
        </w:rPr>
        <w:t>2.6 ppm</w:t>
      </w:r>
      <w:r w:rsidR="005E3BBA">
        <w:rPr>
          <w:rFonts w:cs="Arial"/>
        </w:rPr>
        <w:t>.</w:t>
      </w:r>
      <w:r w:rsidR="002B5EE8">
        <w:rPr>
          <w:rFonts w:cs="Arial"/>
        </w:rPr>
        <w:t xml:space="preserve"> </w:t>
      </w:r>
      <w:r w:rsidR="005509AA">
        <w:rPr>
          <w:rFonts w:cs="Arial"/>
        </w:rPr>
        <w:t>Therefore, a STEL of 2 ppm is also recommended and expected to be protective of peak exposures.</w:t>
      </w:r>
    </w:p>
    <w:p w14:paraId="7AA39F46" w14:textId="77777777" w:rsidR="004529F0" w:rsidRPr="004C23F4" w:rsidRDefault="004529F0" w:rsidP="00E14719">
      <w:pPr>
        <w:pStyle w:val="Heading2"/>
        <w:pageBreakBefore/>
      </w:pPr>
      <w:r>
        <w:lastRenderedPageBreak/>
        <w:t>Recommendation for notations</w:t>
      </w:r>
    </w:p>
    <w:p w14:paraId="72224307" w14:textId="77777777" w:rsidR="008E4F1F" w:rsidRPr="005E3BBA" w:rsidRDefault="008E4F1F" w:rsidP="008E4F1F">
      <w:pPr>
        <w:rPr>
          <w:rFonts w:cs="Arial"/>
        </w:rPr>
      </w:pPr>
      <w:r w:rsidRPr="005E3BBA">
        <w:rPr>
          <w:rFonts w:cs="Arial"/>
        </w:rPr>
        <w:t>Not classified as a carcinogen according to the Globally Harmonized System of</w:t>
      </w:r>
      <w:r w:rsidR="00155999" w:rsidRPr="005E3BBA">
        <w:rPr>
          <w:rFonts w:cs="Arial"/>
        </w:rPr>
        <w:t xml:space="preserve"> Classification and Labelling of</w:t>
      </w:r>
      <w:r w:rsidRPr="005E3BBA">
        <w:rPr>
          <w:rFonts w:cs="Arial"/>
        </w:rPr>
        <w:t xml:space="preserve"> Chemicals (GHS). </w:t>
      </w:r>
    </w:p>
    <w:p w14:paraId="27725476" w14:textId="77777777" w:rsidR="008E4F1F" w:rsidRPr="005E3BBA" w:rsidRDefault="008E4F1F" w:rsidP="008E4F1F">
      <w:pPr>
        <w:rPr>
          <w:rFonts w:cs="Arial"/>
        </w:rPr>
      </w:pPr>
      <w:r w:rsidRPr="005E3BBA">
        <w:rPr>
          <w:rFonts w:cs="Arial"/>
        </w:rPr>
        <w:t xml:space="preserve">Not classified as a skin </w:t>
      </w:r>
      <w:r w:rsidR="00155999" w:rsidRPr="005E3BBA">
        <w:rPr>
          <w:rFonts w:cs="Arial"/>
        </w:rPr>
        <w:t xml:space="preserve">sensitiser </w:t>
      </w:r>
      <w:r w:rsidRPr="005E3BBA">
        <w:rPr>
          <w:rFonts w:cs="Arial"/>
        </w:rPr>
        <w:t>or respiratory sensitiser according to the GHS.</w:t>
      </w:r>
    </w:p>
    <w:p w14:paraId="681F0284" w14:textId="77777777" w:rsidR="0025734A" w:rsidRPr="005E3BBA" w:rsidRDefault="005E3BBA">
      <w:pPr>
        <w:rPr>
          <w:rFonts w:cs="Arial"/>
        </w:rPr>
      </w:pPr>
      <w:r w:rsidRPr="005E3BBA">
        <w:rPr>
          <w:rFonts w:cs="Arial"/>
        </w:rPr>
        <w:t>A skin notation is recommended due to evidence of dermal absorption and contribution to adverse systemic effects.</w:t>
      </w:r>
    </w:p>
    <w:p w14:paraId="08B05F05" w14:textId="77777777" w:rsidR="005E6979" w:rsidRPr="004C23F4" w:rsidRDefault="005E6979">
      <w:pPr>
        <w:rPr>
          <w:rFonts w:cs="Arial"/>
        </w:rPr>
        <w:sectPr w:rsidR="005E6979" w:rsidRPr="004C23F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p>
    <w:p w14:paraId="7139E6DB"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555A478F"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20" w:firstRow="1" w:lastRow="0" w:firstColumn="0" w:lastColumn="0" w:noHBand="1" w:noVBand="1"/>
        <w:tblCaption w:val="Table"/>
        <w:tblDescription w:val="Listing primary sources with reports"/>
      </w:tblPr>
      <w:tblGrid>
        <w:gridCol w:w="9006"/>
        <w:gridCol w:w="14"/>
      </w:tblGrid>
      <w:tr w:rsidR="00C978F0" w:rsidRPr="00DA352E" w14:paraId="3122194C" w14:textId="77777777" w:rsidTr="008E0FF1">
        <w:trPr>
          <w:gridAfter w:val="1"/>
          <w:cnfStyle w:val="100000000000" w:firstRow="1" w:lastRow="0" w:firstColumn="0" w:lastColumn="0" w:oddVBand="0" w:evenVBand="0" w:oddHBand="0" w:evenHBand="0" w:firstRowFirstColumn="0" w:firstRowLastColumn="0" w:lastRowFirstColumn="0" w:lastRowLastColumn="0"/>
          <w:wAfter w:w="8" w:type="pct"/>
          <w:cantSplit/>
          <w:trHeight w:val="393"/>
          <w:tblHeader/>
        </w:trPr>
        <w:tc>
          <w:tcPr>
            <w:tcW w:w="4992" w:type="pct"/>
            <w:shd w:val="clear" w:color="auto" w:fill="BFBFBF" w:themeFill="background1" w:themeFillShade="BF"/>
            <w:vAlign w:val="center"/>
          </w:tcPr>
          <w:p w14:paraId="0378174A" w14:textId="77777777" w:rsidR="00C978F0" w:rsidRPr="00DA352E" w:rsidRDefault="00C978F0" w:rsidP="00C67FFB">
            <w:pPr>
              <w:pStyle w:val="Tableheader"/>
              <w:tabs>
                <w:tab w:val="left" w:pos="1418"/>
                <w:tab w:val="left" w:pos="2552"/>
                <w:tab w:val="right" w:pos="8489"/>
              </w:tabs>
            </w:pPr>
            <w:r w:rsidRPr="00DA352E">
              <w:t>Source</w:t>
            </w:r>
            <w:r w:rsidR="00DA352E">
              <w:tab/>
              <w:t>Year set</w:t>
            </w:r>
            <w:r w:rsidR="00DA352E">
              <w:tab/>
              <w:t>Standard</w:t>
            </w:r>
            <w:r w:rsidR="00974F2D">
              <w:tab/>
            </w:r>
          </w:p>
        </w:tc>
      </w:tr>
      <w:tr w:rsidR="00DE26E8" w:rsidRPr="003365A5" w14:paraId="709435B5" w14:textId="77777777" w:rsidTr="008E0FF1">
        <w:trPr>
          <w:cantSplit/>
        </w:trPr>
        <w:tc>
          <w:tcPr>
            <w:tcW w:w="5000" w:type="pct"/>
            <w:gridSpan w:val="2"/>
            <w:shd w:val="clear" w:color="auto" w:fill="F2F2F2" w:themeFill="background1" w:themeFillShade="F2"/>
          </w:tcPr>
          <w:p w14:paraId="043140EB" w14:textId="77777777"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107CFD">
                  <w:t>1995</w:t>
                </w:r>
              </w:sdtContent>
            </w:sdt>
            <w:r w:rsidRPr="003365A5">
              <w:tab/>
            </w:r>
            <w:r>
              <w:tab/>
            </w:r>
            <w:sdt>
              <w:sdtPr>
                <w:alias w:val="SWA WES"/>
                <w:tag w:val="SWA WES"/>
                <w:id w:val="857077202"/>
                <w:placeholder>
                  <w:docPart w:val="81CFEC2FDBC5451289F394E66D92D1A0"/>
                </w:placeholder>
              </w:sdtPr>
              <w:sdtEndPr/>
              <w:sdtContent>
                <w:r w:rsidR="00A729BA">
                  <w:t>TWA: 2 ppm (8 mg/m</w:t>
                </w:r>
                <w:r w:rsidR="00A729BA" w:rsidRPr="00A729BA">
                  <w:rPr>
                    <w:vertAlign w:val="superscript"/>
                  </w:rPr>
                  <w:t>3</w:t>
                </w:r>
                <w:r w:rsidR="00A729BA">
                  <w:t>); STEL: 4 ppm (17 mg/m</w:t>
                </w:r>
                <w:r w:rsidR="00A729BA" w:rsidRPr="00A729BA">
                  <w:rPr>
                    <w:vertAlign w:val="superscript"/>
                  </w:rPr>
                  <w:t>3</w:t>
                </w:r>
                <w:r w:rsidR="00A729BA">
                  <w:t>)</w:t>
                </w:r>
              </w:sdtContent>
            </w:sdt>
          </w:p>
        </w:tc>
      </w:tr>
      <w:tr w:rsidR="00C978F0" w:rsidRPr="00DA352E" w14:paraId="48956079" w14:textId="77777777" w:rsidTr="008E0FF1">
        <w:trPr>
          <w:gridAfter w:val="1"/>
          <w:wAfter w:w="8" w:type="pct"/>
          <w:cantSplit/>
        </w:trPr>
        <w:tc>
          <w:tcPr>
            <w:tcW w:w="4992" w:type="pct"/>
          </w:tcPr>
          <w:p w14:paraId="00DD65C1" w14:textId="77777777" w:rsidR="00C978F0" w:rsidRPr="00DA352E" w:rsidRDefault="00C978F0" w:rsidP="003365A5">
            <w:pPr>
              <w:pStyle w:val="Tabletextprimarysource"/>
            </w:pPr>
          </w:p>
        </w:tc>
      </w:tr>
      <w:tr w:rsidR="00C978F0" w:rsidRPr="00DA352E" w14:paraId="75890AB7" w14:textId="77777777" w:rsidTr="008E0FF1">
        <w:trPr>
          <w:gridAfter w:val="1"/>
          <w:wAfter w:w="8" w:type="pct"/>
          <w:cantSplit/>
        </w:trPr>
        <w:tc>
          <w:tcPr>
            <w:tcW w:w="4992" w:type="pct"/>
            <w:shd w:val="clear" w:color="auto" w:fill="F2F2F2" w:themeFill="background1" w:themeFillShade="F2"/>
          </w:tcPr>
          <w:p w14:paraId="25A2E71D" w14:textId="77777777" w:rsidR="00C978F0" w:rsidRPr="00DA352E" w:rsidRDefault="00DA352E" w:rsidP="00A729BA">
            <w:pPr>
              <w:pStyle w:val="Tablerowheadingitalic"/>
              <w:tabs>
                <w:tab w:val="clear" w:pos="2268"/>
                <w:tab w:val="clear" w:pos="5670"/>
                <w:tab w:val="left" w:pos="1418"/>
                <w:tab w:val="left" w:pos="2552"/>
              </w:tabs>
              <w:ind w:left="2857" w:hanging="2857"/>
            </w:pPr>
            <w:r w:rsidRPr="00DA352E">
              <w:t>ACGIH</w:t>
            </w:r>
            <w:r w:rsidR="00916EC0">
              <w:t xml:space="preserve"> </w:t>
            </w:r>
            <w:r w:rsidR="00916EC0" w:rsidRPr="003365A5">
              <w:tab/>
            </w:r>
            <w:sdt>
              <w:sdtPr>
                <w:id w:val="444816450"/>
                <w:placeholder>
                  <w:docPart w:val="C8FBF9621EB94FE084F687C8955AF85F"/>
                </w:placeholder>
                <w:text/>
              </w:sdtPr>
              <w:sdtEndPr/>
              <w:sdtContent>
                <w:r w:rsidR="00A729BA">
                  <w:t>2015</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r w:rsidR="00A729BA">
                  <w:t>TLV-</w:t>
                </w:r>
                <w:r w:rsidR="00A729BA" w:rsidRPr="00A729BA">
                  <w:t xml:space="preserve">TWA: </w:t>
                </w:r>
                <w:r w:rsidR="00A729BA">
                  <w:t>0.5</w:t>
                </w:r>
                <w:r w:rsidR="00A729BA" w:rsidRPr="00A729BA">
                  <w:t xml:space="preserve"> ppm (</w:t>
                </w:r>
                <w:r w:rsidR="00A729BA">
                  <w:t>2.07</w:t>
                </w:r>
                <w:r w:rsidR="00A729BA" w:rsidRPr="00A729BA">
                  <w:t xml:space="preserve"> mg/m</w:t>
                </w:r>
                <w:r w:rsidR="00A729BA" w:rsidRPr="0088253B">
                  <w:rPr>
                    <w:vertAlign w:val="superscript"/>
                  </w:rPr>
                  <w:t>3</w:t>
                </w:r>
                <w:r w:rsidR="00A729BA" w:rsidRPr="00A729BA">
                  <w:t xml:space="preserve">); </w:t>
                </w:r>
                <w:r w:rsidR="00A729BA">
                  <w:t xml:space="preserve">TLV- </w:t>
                </w:r>
                <w:r w:rsidR="00A729BA" w:rsidRPr="00A729BA">
                  <w:t xml:space="preserve">STEL: </w:t>
                </w:r>
                <w:r w:rsidR="00A729BA">
                  <w:t>1</w:t>
                </w:r>
                <w:r w:rsidR="00A729BA" w:rsidRPr="00A729BA">
                  <w:t xml:space="preserve"> ppm (</w:t>
                </w:r>
                <w:r w:rsidR="00A729BA">
                  <w:t>4.14</w:t>
                </w:r>
                <w:r w:rsidR="00A729BA" w:rsidRPr="00A729BA">
                  <w:t xml:space="preserve"> mg/m</w:t>
                </w:r>
                <w:r w:rsidR="00A729BA" w:rsidRPr="0088253B">
                  <w:rPr>
                    <w:vertAlign w:val="superscript"/>
                  </w:rPr>
                  <w:t>3</w:t>
                </w:r>
                <w:r w:rsidR="00A729BA" w:rsidRPr="00A729BA">
                  <w:t>)</w:t>
                </w:r>
              </w:sdtContent>
            </w:sdt>
          </w:p>
        </w:tc>
      </w:tr>
      <w:tr w:rsidR="00C978F0" w:rsidRPr="00DA352E" w14:paraId="21A0B27D" w14:textId="77777777" w:rsidTr="008E0FF1">
        <w:trPr>
          <w:gridAfter w:val="1"/>
          <w:wAfter w:w="8" w:type="pct"/>
        </w:trPr>
        <w:tc>
          <w:tcPr>
            <w:tcW w:w="4992" w:type="pct"/>
          </w:tcPr>
          <w:p w14:paraId="256CFDC0" w14:textId="5AD3F5E2" w:rsidR="00C978F0" w:rsidRPr="008250BC" w:rsidRDefault="008250BC" w:rsidP="003365A5">
            <w:pPr>
              <w:pStyle w:val="Tabletextprimarysource"/>
            </w:pPr>
            <w:r>
              <w:t xml:space="preserve">TLV-TWA </w:t>
            </w:r>
            <w:r w:rsidR="006347B6">
              <w:t>recommended</w:t>
            </w:r>
            <w:r>
              <w:t xml:space="preserve"> to protect for eye, skin and respiratory tract irritation. TLV-STEL recommended to protect for transient visual disturbances from corneal changes that are produced at higher concentrations. Not classifiable as a human carcinogen (A4) based on results of chronic drinking water study with animals. Skin notation recommended based on low dermal LD</w:t>
            </w:r>
            <w:r>
              <w:softHyphen/>
            </w:r>
            <w:r>
              <w:rPr>
                <w:vertAlign w:val="subscript"/>
              </w:rPr>
              <w:t>50</w:t>
            </w:r>
            <w:r>
              <w:t xml:space="preserve"> in rabbits.</w:t>
            </w:r>
          </w:p>
          <w:p w14:paraId="614F7E8C" w14:textId="7E8BC29C" w:rsidR="008250BC" w:rsidRDefault="008250BC" w:rsidP="003365A5">
            <w:pPr>
              <w:pStyle w:val="Tabletextprimarysource"/>
            </w:pPr>
            <w:r>
              <w:t>Summary of information:</w:t>
            </w:r>
          </w:p>
          <w:p w14:paraId="41B6ABDB" w14:textId="41C84825" w:rsidR="008250BC" w:rsidRDefault="008250BC" w:rsidP="003365A5">
            <w:pPr>
              <w:pStyle w:val="Tabletextprimarysource"/>
            </w:pPr>
            <w:r>
              <w:t xml:space="preserve">TLV-TWA and TLV-STEL based on reports of visual disturbances at 3 and 4 ppm and absence of these effects at 1–1.25 ppm. These reports are supported by results of volunteer studies </w:t>
            </w:r>
            <w:r w:rsidR="00B05AF3">
              <w:t>in which</w:t>
            </w:r>
            <w:r>
              <w:t xml:space="preserve"> a NOAEC of 0.72 ppm and LOAEC of 1.56 ppm </w:t>
            </w:r>
            <w:r w:rsidR="00B05AF3">
              <w:t xml:space="preserve">were reported </w:t>
            </w:r>
            <w:r>
              <w:t>for reduced contrast sensitivity.</w:t>
            </w:r>
          </w:p>
          <w:p w14:paraId="17EBD916" w14:textId="52B5D40E" w:rsidR="008250BC" w:rsidRDefault="008250BC" w:rsidP="003365A5">
            <w:pPr>
              <w:pStyle w:val="Tabletextprimarysource"/>
            </w:pPr>
            <w:r>
              <w:t>Human data:</w:t>
            </w:r>
          </w:p>
          <w:p w14:paraId="4DF3E361" w14:textId="0A972A52" w:rsidR="008250BC" w:rsidRDefault="00D07217" w:rsidP="00D07217">
            <w:pPr>
              <w:pStyle w:val="Tabletextprimarysource"/>
              <w:numPr>
                <w:ilvl w:val="0"/>
                <w:numId w:val="2"/>
              </w:numPr>
            </w:pPr>
            <w:r>
              <w:t xml:space="preserve">Elimination </w:t>
            </w:r>
            <w:r w:rsidR="00A20E54">
              <w:t>t</w:t>
            </w:r>
            <w:r w:rsidR="00A20E54" w:rsidRPr="00A20E54">
              <w:rPr>
                <w:vertAlign w:val="subscript"/>
              </w:rPr>
              <w:t>1/2</w:t>
            </w:r>
            <w:r>
              <w:t xml:space="preserve">: 3.2 h calculated from volunteer study with dose group </w:t>
            </w:r>
            <w:r w:rsidR="00B05AF3">
              <w:t xml:space="preserve">0, </w:t>
            </w:r>
            <w:r>
              <w:t>2.5, 5, 8.5 and 12.5 ppm (n=5, 4 or 8 h)</w:t>
            </w:r>
          </w:p>
          <w:p w14:paraId="2066D788" w14:textId="77777777" w:rsidR="00D07217" w:rsidRDefault="00D07217" w:rsidP="00D07217">
            <w:pPr>
              <w:pStyle w:val="Tabletextprimarysource"/>
              <w:numPr>
                <w:ilvl w:val="0"/>
                <w:numId w:val="2"/>
              </w:numPr>
            </w:pPr>
            <w:r>
              <w:t>Visual acuity unchanged at 0.72 and 1.56 ppm and contrast sensitivity decreased at 1.56 and 9.74 ppm in volunteer inhalation study (n=4, 4 h); blurred vision began at 4 h</w:t>
            </w:r>
          </w:p>
          <w:p w14:paraId="24674756" w14:textId="05659BC6" w:rsidR="00D07217" w:rsidRDefault="00D07217" w:rsidP="00D07217">
            <w:pPr>
              <w:pStyle w:val="Tabletextprimarysource"/>
              <w:numPr>
                <w:ilvl w:val="0"/>
                <w:numId w:val="2"/>
              </w:numPr>
            </w:pPr>
            <w:r>
              <w:t>Transient visual disturbances (foggy vision, blue haze and halo phenomena) reported 47 times in 19 workers exposed at 3 or 4 ppm; no visual symptoms reported at 1</w:t>
            </w:r>
            <w:r>
              <w:softHyphen/>
              <w:t>–1.25 ppm</w:t>
            </w:r>
          </w:p>
          <w:p w14:paraId="29287A4C" w14:textId="77777777" w:rsidR="001F47CB" w:rsidRDefault="001F47CB" w:rsidP="001F47CB">
            <w:pPr>
              <w:pStyle w:val="Tabletextprimarysource"/>
              <w:numPr>
                <w:ilvl w:val="0"/>
                <w:numId w:val="2"/>
              </w:numPr>
            </w:pPr>
            <w:r>
              <w:t>Increased complaints of visual disturbance when exposures increased from 5–10 ppm in workplace study; slight eye and respiratory irritation at 10–15 ppm, headaches &gt;15 ppm</w:t>
            </w:r>
          </w:p>
          <w:p w14:paraId="10E8771A" w14:textId="77777777" w:rsidR="00D07217" w:rsidRDefault="001F47CB" w:rsidP="00D07217">
            <w:pPr>
              <w:pStyle w:val="Tabletextprimarysource"/>
              <w:numPr>
                <w:ilvl w:val="0"/>
                <w:numId w:val="2"/>
              </w:numPr>
            </w:pPr>
            <w:r>
              <w:t>No corneal oedema at 2.5 ppm in volunteer inhalation study (8 h)</w:t>
            </w:r>
            <w:r w:rsidR="006347B6">
              <w:t>.</w:t>
            </w:r>
          </w:p>
          <w:p w14:paraId="412DCA7B" w14:textId="3E6A16D5" w:rsidR="008250BC" w:rsidRDefault="008250BC" w:rsidP="003365A5">
            <w:pPr>
              <w:pStyle w:val="Tabletextprimarysource"/>
            </w:pPr>
            <w:r>
              <w:t>Animal data</w:t>
            </w:r>
            <w:r w:rsidR="00EA5E03">
              <w:t>:</w:t>
            </w:r>
          </w:p>
          <w:p w14:paraId="14BDA6B4" w14:textId="64417673" w:rsidR="008250BC" w:rsidRDefault="002054A6" w:rsidP="008250BC">
            <w:pPr>
              <w:pStyle w:val="Tabletextprimarysource"/>
              <w:numPr>
                <w:ilvl w:val="0"/>
                <w:numId w:val="1"/>
              </w:numPr>
            </w:pPr>
            <w:r>
              <w:t xml:space="preserve">Severely irritating to eyes as vapour (cats, monkeys); reversibility of damage depends on exposure duration; 1.5 min </w:t>
            </w:r>
            <w:r w:rsidR="00096217">
              <w:t xml:space="preserve">caused </w:t>
            </w:r>
            <w:r>
              <w:t>reversible changes in monkeys (no further details)</w:t>
            </w:r>
          </w:p>
          <w:p w14:paraId="4AB10EF2" w14:textId="77777777" w:rsidR="002054A6" w:rsidRDefault="002054A6" w:rsidP="008250BC">
            <w:pPr>
              <w:pStyle w:val="Tabletextprimarysource"/>
              <w:numPr>
                <w:ilvl w:val="0"/>
                <w:numId w:val="1"/>
              </w:numPr>
            </w:pPr>
            <w:r>
              <w:t>LD</w:t>
            </w:r>
            <w:r>
              <w:rPr>
                <w:vertAlign w:val="subscript"/>
              </w:rPr>
              <w:t>50</w:t>
            </w:r>
            <w:r>
              <w:t>: 420 mg/kg (rabbits</w:t>
            </w:r>
            <w:r w:rsidR="006347B6">
              <w:t>, dermal</w:t>
            </w:r>
            <w:r>
              <w:t>)</w:t>
            </w:r>
          </w:p>
          <w:p w14:paraId="059745AA" w14:textId="77777777" w:rsidR="002054A6" w:rsidRDefault="002054A6" w:rsidP="008250BC">
            <w:pPr>
              <w:pStyle w:val="Tabletextprimarysource"/>
              <w:numPr>
                <w:ilvl w:val="0"/>
                <w:numId w:val="1"/>
              </w:numPr>
            </w:pPr>
            <w:r>
              <w:t>LC</w:t>
            </w:r>
            <w:r>
              <w:rPr>
                <w:vertAlign w:val="subscript"/>
              </w:rPr>
              <w:t>50</w:t>
            </w:r>
            <w:r>
              <w:rPr>
                <w:vertAlign w:val="subscript"/>
              </w:rPr>
              <w:softHyphen/>
            </w:r>
            <w:r>
              <w:t>: 1,450 ppm (mice, 4 h)</w:t>
            </w:r>
          </w:p>
          <w:p w14:paraId="175845E1" w14:textId="034D22B4" w:rsidR="002054A6" w:rsidRDefault="002054A6" w:rsidP="002054A6">
            <w:pPr>
              <w:pStyle w:val="Tabletextprimarysource"/>
              <w:numPr>
                <w:ilvl w:val="0"/>
                <w:numId w:val="1"/>
              </w:numPr>
            </w:pPr>
            <w:r>
              <w:t xml:space="preserve">Corneal and pulmonary irritation at 50 and 100 ppm in subchronic inhalation study (rabbits, </w:t>
            </w:r>
            <w:r w:rsidR="00972647">
              <w:t xml:space="preserve">7 h/d, </w:t>
            </w:r>
            <w:r>
              <w:t xml:space="preserve">5 d/wk, 6 wk); effects correspond to those observed with ethylamine and </w:t>
            </w:r>
            <w:proofErr w:type="spellStart"/>
            <w:r>
              <w:t>diethylamine</w:t>
            </w:r>
            <w:proofErr w:type="spellEnd"/>
            <w:r w:rsidR="005509AA">
              <w:t>:</w:t>
            </w:r>
          </w:p>
          <w:p w14:paraId="307D8847" w14:textId="2615AA5C" w:rsidR="002054A6" w:rsidRDefault="002054A6" w:rsidP="006347B6">
            <w:pPr>
              <w:pStyle w:val="Tabletextprimarysource"/>
              <w:numPr>
                <w:ilvl w:val="1"/>
                <w:numId w:val="1"/>
              </w:numPr>
              <w:ind w:left="1159"/>
            </w:pPr>
            <w:r>
              <w:t>liver, kidney and possible heart degeneration observed</w:t>
            </w:r>
          </w:p>
          <w:p w14:paraId="5AE1E6D4" w14:textId="47A0C05F" w:rsidR="002054A6" w:rsidRDefault="002054A6" w:rsidP="002054A6">
            <w:pPr>
              <w:pStyle w:val="Tabletextprimarysource"/>
              <w:numPr>
                <w:ilvl w:val="0"/>
                <w:numId w:val="1"/>
              </w:numPr>
            </w:pPr>
            <w:r>
              <w:t>Changes in nervous system function and haematological parameters and chronic lung inflammation at 7–19 ppm in sub</w:t>
            </w:r>
            <w:r w:rsidR="00096217">
              <w:t>-</w:t>
            </w:r>
            <w:r>
              <w:t>chronic inhalation study (rats, 6 mo, duration and frequency not specified)</w:t>
            </w:r>
          </w:p>
          <w:p w14:paraId="27614775" w14:textId="22B62FC6" w:rsidR="002054A6" w:rsidRDefault="00286F62" w:rsidP="002054A6">
            <w:pPr>
              <w:pStyle w:val="Tabletextprimarysource"/>
              <w:numPr>
                <w:ilvl w:val="0"/>
                <w:numId w:val="1"/>
              </w:numPr>
            </w:pPr>
            <w:r>
              <w:t>NOAEL</w:t>
            </w:r>
            <w:r w:rsidR="00096217">
              <w:t xml:space="preserve"> of </w:t>
            </w:r>
            <w:r>
              <w:t xml:space="preserve">200 ppm of drinking water in chronic 2-generation feeding study; decreased </w:t>
            </w:r>
            <w:r w:rsidR="00096217">
              <w:t xml:space="preserve">body weight </w:t>
            </w:r>
            <w:r>
              <w:t>gain at 500 ppm in 3</w:t>
            </w:r>
            <w:r w:rsidRPr="00286F62">
              <w:rPr>
                <w:vertAlign w:val="superscript"/>
              </w:rPr>
              <w:t>rd</w:t>
            </w:r>
            <w:r>
              <w:t xml:space="preserve"> generation</w:t>
            </w:r>
            <w:r w:rsidR="00096217">
              <w:t>. S</w:t>
            </w:r>
            <w:r>
              <w:t>tudy limited by chronic respiratory disease in these animals (no further details) (rats, 2 yr for each generation); no increased tumorigenicity reported</w:t>
            </w:r>
          </w:p>
          <w:p w14:paraId="59FF1152" w14:textId="77777777" w:rsidR="00286F62" w:rsidRDefault="00286F62" w:rsidP="002054A6">
            <w:pPr>
              <w:pStyle w:val="Tabletextprimarysource"/>
              <w:numPr>
                <w:ilvl w:val="0"/>
                <w:numId w:val="1"/>
              </w:numPr>
            </w:pPr>
            <w:r>
              <w:t>No toxic effect or increased tumour incidence at 5,000 ppm of diet with 5,000 ppm of sodium nitrate in chronic feeding study (rats, 2 yr)</w:t>
            </w:r>
          </w:p>
          <w:p w14:paraId="29484B03" w14:textId="77777777" w:rsidR="00945EDB" w:rsidRDefault="00945EDB" w:rsidP="002054A6">
            <w:pPr>
              <w:pStyle w:val="Tabletextprimarysource"/>
              <w:numPr>
                <w:ilvl w:val="0"/>
                <w:numId w:val="1"/>
              </w:numPr>
            </w:pPr>
            <w:r>
              <w:t xml:space="preserve">Non-mutagenic </w:t>
            </w:r>
            <w:r>
              <w:rPr>
                <w:i/>
              </w:rPr>
              <w:t>in vitro</w:t>
            </w:r>
            <w:r>
              <w:t xml:space="preserve"> in bacteria and mammalian cells; increased aneuploidy in bone marrow cells </w:t>
            </w:r>
            <w:r>
              <w:rPr>
                <w:i/>
              </w:rPr>
              <w:t>in vivo</w:t>
            </w:r>
            <w:r>
              <w:t xml:space="preserve"> at 0.2 ppm in subchronic inhalation study (rats, 3 mo, no further details)</w:t>
            </w:r>
          </w:p>
          <w:p w14:paraId="5BA7F496" w14:textId="77777777" w:rsidR="000420F8" w:rsidRDefault="000420F8" w:rsidP="003365A5">
            <w:pPr>
              <w:pStyle w:val="Tabletextprimarysource"/>
            </w:pPr>
          </w:p>
          <w:p w14:paraId="186C9988" w14:textId="77777777" w:rsidR="008250BC" w:rsidRDefault="008250BC" w:rsidP="003365A5">
            <w:pPr>
              <w:pStyle w:val="Tabletextprimarysource"/>
            </w:pPr>
            <w:r>
              <w:t>Insufficient data to recommend a sensitiser notation.</w:t>
            </w:r>
          </w:p>
          <w:p w14:paraId="55726BDC" w14:textId="42538044" w:rsidR="00EA5E03" w:rsidRPr="00DA352E" w:rsidRDefault="00EA5E03" w:rsidP="003365A5">
            <w:pPr>
              <w:pStyle w:val="Tabletextprimarysource"/>
            </w:pPr>
          </w:p>
        </w:tc>
      </w:tr>
      <w:tr w:rsidR="00C978F0" w:rsidRPr="00DA352E" w14:paraId="784FD076" w14:textId="77777777" w:rsidTr="008E0FF1">
        <w:trPr>
          <w:gridAfter w:val="1"/>
          <w:wAfter w:w="8" w:type="pct"/>
          <w:cantSplit/>
        </w:trPr>
        <w:tc>
          <w:tcPr>
            <w:tcW w:w="4992" w:type="pct"/>
            <w:shd w:val="clear" w:color="auto" w:fill="F2F2F2" w:themeFill="background1" w:themeFillShade="F2"/>
          </w:tcPr>
          <w:p w14:paraId="2CEC178A" w14:textId="77777777" w:rsidR="00C978F0" w:rsidRPr="00DA352E" w:rsidRDefault="00DA352E" w:rsidP="0051509C">
            <w:pPr>
              <w:pStyle w:val="Tablerowheadingitalic"/>
              <w:tabs>
                <w:tab w:val="clear" w:pos="2268"/>
                <w:tab w:val="clear" w:pos="5670"/>
                <w:tab w:val="left" w:pos="1418"/>
                <w:tab w:val="left" w:pos="2552"/>
              </w:tabs>
            </w:pPr>
            <w:r w:rsidRPr="00DA352E">
              <w:lastRenderedPageBreak/>
              <w:t>DFG</w:t>
            </w:r>
            <w:r w:rsidR="00916EC0" w:rsidRPr="003365A5">
              <w:t xml:space="preserve"> </w:t>
            </w:r>
            <w:r w:rsidR="00916EC0" w:rsidRPr="003365A5">
              <w:tab/>
            </w:r>
            <w:sdt>
              <w:sdtPr>
                <w:id w:val="272751712"/>
                <w:placeholder>
                  <w:docPart w:val="6918C77959FE4E2CB3B6BD78ABC69E19"/>
                </w:placeholder>
                <w:text/>
              </w:sdtPr>
              <w:sdtEndPr/>
              <w:sdtContent>
                <w:r w:rsidR="00CA4329">
                  <w:t>1999</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r w:rsidR="00CA4329">
                  <w:t>MAK: 1 ppm (4.2 mg/m</w:t>
                </w:r>
                <w:r w:rsidR="00CA4329" w:rsidRPr="00CA4329">
                  <w:rPr>
                    <w:vertAlign w:val="superscript"/>
                  </w:rPr>
                  <w:t>3</w:t>
                </w:r>
                <w:r w:rsidR="00CA4329">
                  <w:t>)</w:t>
                </w:r>
              </w:sdtContent>
            </w:sdt>
          </w:p>
        </w:tc>
      </w:tr>
      <w:tr w:rsidR="00C978F0" w:rsidRPr="00DA352E" w14:paraId="018AAEEC" w14:textId="77777777" w:rsidTr="008E0FF1">
        <w:trPr>
          <w:gridAfter w:val="1"/>
          <w:wAfter w:w="8" w:type="pct"/>
          <w:cantSplit/>
        </w:trPr>
        <w:tc>
          <w:tcPr>
            <w:tcW w:w="4992" w:type="pct"/>
          </w:tcPr>
          <w:p w14:paraId="28FD3C13" w14:textId="6AA88341" w:rsidR="002269C1" w:rsidRDefault="002269C1" w:rsidP="003365A5">
            <w:pPr>
              <w:pStyle w:val="Tabletextprimarysource"/>
            </w:pPr>
            <w:r>
              <w:t>Summary of additional information:</w:t>
            </w:r>
          </w:p>
          <w:p w14:paraId="15F66C76" w14:textId="194AAE4E" w:rsidR="00C978F0" w:rsidRDefault="002269C1" w:rsidP="003365A5">
            <w:pPr>
              <w:pStyle w:val="Tabletextprimarysource"/>
            </w:pPr>
            <w:r>
              <w:t>Critical effect is subjective visual disturbance. MAK based on NOAEC of 2.4 ppm for visual disturbance in volunteer inhalation study and NOAEC range of 1.44–2.7 ppm for the same effect reported in workplace st</w:t>
            </w:r>
            <w:r w:rsidR="00631E12">
              <w:t>udies</w:t>
            </w:r>
            <w:r>
              <w:t>. Based on uncertainty in the range of NOAEC in humans, MAK of 1 ppm considered to be protective of critical effects; mucous membrane irritation not expected at this exposure based on inhalation experiments with animals.</w:t>
            </w:r>
            <w:r w:rsidR="002B5EE8">
              <w:t xml:space="preserve"> A Peak limitation</w:t>
            </w:r>
            <w:r w:rsidR="006347B6">
              <w:t xml:space="preserve"> (category V)</w:t>
            </w:r>
            <w:r w:rsidR="002B5EE8">
              <w:t xml:space="preserve"> of 2</w:t>
            </w:r>
            <w:r w:rsidR="00914224">
              <w:t> </w:t>
            </w:r>
            <w:r w:rsidR="002B5EE8">
              <w:t>ppm is set due to the intensive odour of the substance.</w:t>
            </w:r>
          </w:p>
          <w:p w14:paraId="29ABB041" w14:textId="64B830DE" w:rsidR="002269C1" w:rsidRPr="00BA0B54" w:rsidRDefault="00BA0B54" w:rsidP="003365A5">
            <w:pPr>
              <w:pStyle w:val="Tabletextprimarysource"/>
            </w:pPr>
            <w:r>
              <w:t>Uncertain if low dermal LD</w:t>
            </w:r>
            <w:r>
              <w:rPr>
                <w:vertAlign w:val="subscript"/>
              </w:rPr>
              <w:t>50</w:t>
            </w:r>
            <w:r>
              <w:softHyphen/>
              <w:t xml:space="preserve"> in rabbits was due to caustic or systemic action of the substance</w:t>
            </w:r>
            <w:r w:rsidR="00096217">
              <w:t>.</w:t>
            </w:r>
            <w:r>
              <w:t xml:space="preserve"> </w:t>
            </w:r>
            <w:r w:rsidR="00096217">
              <w:t>Therefore</w:t>
            </w:r>
            <w:r>
              <w:t>, insufficient data to recommend skin notation.</w:t>
            </w:r>
          </w:p>
          <w:p w14:paraId="3A9568BB" w14:textId="5DC05484" w:rsidR="002269C1" w:rsidRDefault="002269C1" w:rsidP="003365A5">
            <w:pPr>
              <w:pStyle w:val="Tabletextprimarysource"/>
            </w:pPr>
            <w:r>
              <w:t>Human data:</w:t>
            </w:r>
          </w:p>
          <w:p w14:paraId="10DFB3D7" w14:textId="0B38B95A" w:rsidR="002269C1" w:rsidRDefault="00631E12" w:rsidP="00631E12">
            <w:pPr>
              <w:pStyle w:val="Tabletextprimarysource"/>
              <w:numPr>
                <w:ilvl w:val="0"/>
                <w:numId w:val="1"/>
              </w:numPr>
            </w:pPr>
            <w:r>
              <w:t xml:space="preserve">No adverse effects at 2.4 ppm (8 h) or 4.32 ppm (4 h) in volunteer inhalation study with dose groups </w:t>
            </w:r>
            <w:r w:rsidR="00096217">
              <w:t xml:space="preserve">0, </w:t>
            </w:r>
            <w:r>
              <w:t>2.4, 4.32, 8.16 and 11.52 ppm (n=2, 4 or 8 h, also cited by ACGIH, 2018)</w:t>
            </w:r>
            <w:r w:rsidR="000E455F">
              <w:t>:</w:t>
            </w:r>
          </w:p>
          <w:p w14:paraId="7102F3C7" w14:textId="77777777" w:rsidR="00631E12" w:rsidRDefault="00631E12" w:rsidP="006347B6">
            <w:pPr>
              <w:pStyle w:val="Tabletextprimarysource"/>
              <w:numPr>
                <w:ilvl w:val="1"/>
                <w:numId w:val="1"/>
              </w:numPr>
              <w:ind w:left="1159"/>
            </w:pPr>
            <w:r>
              <w:t>severity of visual changes and oedema of cornea increased above 4.32 ppm</w:t>
            </w:r>
          </w:p>
          <w:p w14:paraId="194F0DBC" w14:textId="77777777" w:rsidR="00631E12" w:rsidRDefault="00631E12" w:rsidP="006347B6">
            <w:pPr>
              <w:pStyle w:val="Tabletextprimarysource"/>
              <w:numPr>
                <w:ilvl w:val="1"/>
                <w:numId w:val="1"/>
              </w:numPr>
              <w:ind w:left="1159"/>
            </w:pPr>
            <w:r>
              <w:t>latency of effects 4–6 h</w:t>
            </w:r>
          </w:p>
          <w:p w14:paraId="08CEA344" w14:textId="256A9EB7" w:rsidR="00631E12" w:rsidRDefault="00631E12" w:rsidP="00631E12">
            <w:pPr>
              <w:pStyle w:val="Tabletextprimarysource"/>
              <w:numPr>
                <w:ilvl w:val="0"/>
                <w:numId w:val="1"/>
              </w:numPr>
            </w:pPr>
            <w:r>
              <w:t>Peak NOAEC of 2.16 (15 min) and 8.8 ppm (duration not specified) reported in 2 studies (n=33 and 82) of foundry workers with corresponding LOAEC of 11.4 and 12.4 ppm</w:t>
            </w:r>
            <w:r w:rsidR="000E455F">
              <w:t>:</w:t>
            </w:r>
          </w:p>
          <w:p w14:paraId="7A5A237E" w14:textId="0657886F" w:rsidR="00631E12" w:rsidRDefault="00631E12" w:rsidP="006347B6">
            <w:pPr>
              <w:pStyle w:val="Tabletextprimarysource"/>
              <w:numPr>
                <w:ilvl w:val="1"/>
                <w:numId w:val="1"/>
              </w:numPr>
              <w:ind w:left="1159"/>
            </w:pPr>
            <w:r>
              <w:t>8-h NOAEC of 1.44 and 2.7 ppm calculated for each study, respectively</w:t>
            </w:r>
          </w:p>
          <w:p w14:paraId="6F109706" w14:textId="6719B568" w:rsidR="00631E12" w:rsidRDefault="00631E12" w:rsidP="006347B6">
            <w:pPr>
              <w:pStyle w:val="Tabletextprimarysource"/>
              <w:numPr>
                <w:ilvl w:val="1"/>
                <w:numId w:val="1"/>
              </w:numPr>
              <w:ind w:left="1159"/>
            </w:pPr>
            <w:r>
              <w:t xml:space="preserve">defatting of skin </w:t>
            </w:r>
            <w:r w:rsidR="00096217">
              <w:t xml:space="preserve">reported </w:t>
            </w:r>
            <w:r>
              <w:t xml:space="preserve">in workers handling substance </w:t>
            </w:r>
          </w:p>
          <w:p w14:paraId="6A7EC3ED" w14:textId="77777777" w:rsidR="00631E12" w:rsidRDefault="00631E12" w:rsidP="006347B6">
            <w:pPr>
              <w:pStyle w:val="Tabletextprimarysource"/>
              <w:numPr>
                <w:ilvl w:val="1"/>
                <w:numId w:val="1"/>
              </w:numPr>
              <w:ind w:left="1159"/>
            </w:pPr>
            <w:r>
              <w:t>no evidence for sensitisation in patch test (n=33)</w:t>
            </w:r>
          </w:p>
          <w:p w14:paraId="1C2F59F4" w14:textId="77777777" w:rsidR="00CB76BC" w:rsidRDefault="00CB76BC" w:rsidP="00631E12">
            <w:pPr>
              <w:pStyle w:val="Tabletextprimarysource"/>
              <w:numPr>
                <w:ilvl w:val="0"/>
                <w:numId w:val="1"/>
              </w:numPr>
            </w:pPr>
            <w:r>
              <w:t>No epidemiological studies available of workers exposed to substance alone</w:t>
            </w:r>
            <w:r w:rsidR="006347B6">
              <w:t>.</w:t>
            </w:r>
          </w:p>
          <w:p w14:paraId="5F9AACF9" w14:textId="1443EAE0" w:rsidR="002269C1" w:rsidRDefault="002269C1" w:rsidP="003365A5">
            <w:pPr>
              <w:pStyle w:val="Tabletextprimarysource"/>
            </w:pPr>
            <w:r>
              <w:t>Animal data:</w:t>
            </w:r>
          </w:p>
          <w:p w14:paraId="4BEAA34C" w14:textId="77777777" w:rsidR="00972647" w:rsidRDefault="00972647" w:rsidP="00972647">
            <w:pPr>
              <w:pStyle w:val="Tabletextprimarysource"/>
              <w:numPr>
                <w:ilvl w:val="0"/>
                <w:numId w:val="1"/>
              </w:numPr>
            </w:pPr>
            <w:r>
              <w:t>Non-sensitising in mouse ear-swelling test with 0.1 mL of 1% solution (induction) and 0.01 mL undiluted substance (challenge)</w:t>
            </w:r>
            <w:r w:rsidR="006347B6">
              <w:t>.</w:t>
            </w:r>
          </w:p>
          <w:p w14:paraId="0BAE4951" w14:textId="77777777" w:rsidR="000420F8" w:rsidRDefault="000420F8" w:rsidP="003365A5">
            <w:pPr>
              <w:pStyle w:val="Tabletextprimarysource"/>
            </w:pPr>
          </w:p>
          <w:p w14:paraId="72031B18" w14:textId="77777777" w:rsidR="002269C1" w:rsidRDefault="002269C1" w:rsidP="003365A5">
            <w:pPr>
              <w:pStyle w:val="Tabletextprimarysource"/>
            </w:pPr>
            <w:r>
              <w:t>Insufficient data to recommend notations for carcinogenicity or sensitisation.</w:t>
            </w:r>
          </w:p>
          <w:p w14:paraId="03878875" w14:textId="383F5DED" w:rsidR="000420F8" w:rsidRPr="00DA352E" w:rsidRDefault="000420F8" w:rsidP="003365A5">
            <w:pPr>
              <w:pStyle w:val="Tabletextprimarysource"/>
            </w:pPr>
          </w:p>
        </w:tc>
      </w:tr>
      <w:tr w:rsidR="00C978F0" w:rsidRPr="00DA352E" w14:paraId="0A2CFFFD" w14:textId="77777777" w:rsidTr="008E0FF1">
        <w:trPr>
          <w:gridAfter w:val="1"/>
          <w:wAfter w:w="8" w:type="pct"/>
          <w:cantSplit/>
        </w:trPr>
        <w:tc>
          <w:tcPr>
            <w:tcW w:w="4992" w:type="pct"/>
            <w:shd w:val="clear" w:color="auto" w:fill="F2F2F2" w:themeFill="background1" w:themeFillShade="F2"/>
          </w:tcPr>
          <w:p w14:paraId="406552F9" w14:textId="77777777" w:rsidR="00C978F0" w:rsidRPr="00DA352E" w:rsidRDefault="00DA352E" w:rsidP="005C7D47">
            <w:pPr>
              <w:pStyle w:val="Tablerowheadingitalic"/>
              <w:tabs>
                <w:tab w:val="clear" w:pos="2268"/>
                <w:tab w:val="clear" w:pos="5670"/>
                <w:tab w:val="left" w:pos="1418"/>
                <w:tab w:val="left" w:pos="2552"/>
              </w:tabs>
              <w:ind w:left="2857" w:hanging="2857"/>
            </w:pPr>
            <w:r w:rsidRPr="00DA352E">
              <w:t>SCOEL</w:t>
            </w:r>
            <w:r w:rsidR="00916EC0" w:rsidRPr="003365A5">
              <w:t xml:space="preserve"> </w:t>
            </w:r>
            <w:r w:rsidR="00916EC0" w:rsidRPr="003365A5">
              <w:tab/>
            </w:r>
            <w:sdt>
              <w:sdtPr>
                <w:id w:val="-768699850"/>
                <w:placeholder>
                  <w:docPart w:val="FDC2A24E7D2549238DA6EE03BD0A6AE0"/>
                </w:placeholder>
                <w:text/>
              </w:sdtPr>
              <w:sdtEndPr/>
              <w:sdtContent>
                <w:r w:rsidR="00476903">
                  <w:t>1999</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r w:rsidR="00476903" w:rsidRPr="00476903">
                  <w:t>TWA:</w:t>
                </w:r>
                <w:r w:rsidR="00476903">
                  <w:t xml:space="preserve"> 1 ppm (4.2 mg/m</w:t>
                </w:r>
                <w:r w:rsidR="00476903" w:rsidRPr="00476903">
                  <w:rPr>
                    <w:vertAlign w:val="superscript"/>
                  </w:rPr>
                  <w:t>3</w:t>
                </w:r>
                <w:r w:rsidR="00476903">
                  <w:t>); STEL: 3 ppm (12.6 mg/m</w:t>
                </w:r>
                <w:r w:rsidR="00476903" w:rsidRPr="00476903">
                  <w:rPr>
                    <w:vertAlign w:val="superscript"/>
                  </w:rPr>
                  <w:t>3</w:t>
                </w:r>
                <w:r w:rsidR="00476903">
                  <w:t>)</w:t>
                </w:r>
              </w:sdtContent>
            </w:sdt>
          </w:p>
        </w:tc>
      </w:tr>
      <w:tr w:rsidR="00C978F0" w:rsidRPr="00DA352E" w14:paraId="3490974E" w14:textId="77777777" w:rsidTr="008E0FF1">
        <w:trPr>
          <w:gridAfter w:val="1"/>
          <w:wAfter w:w="8" w:type="pct"/>
          <w:cantSplit/>
        </w:trPr>
        <w:tc>
          <w:tcPr>
            <w:tcW w:w="4992" w:type="pct"/>
          </w:tcPr>
          <w:p w14:paraId="7B655091" w14:textId="1263D991" w:rsidR="00C978F0" w:rsidRDefault="0083493B" w:rsidP="003365A5">
            <w:pPr>
              <w:pStyle w:val="Tabletextprimarysource"/>
            </w:pPr>
            <w:r>
              <w:t>Summary of additional information:</w:t>
            </w:r>
          </w:p>
          <w:p w14:paraId="78D0CBB3" w14:textId="605141A1" w:rsidR="0083493B" w:rsidRDefault="0083493B" w:rsidP="003365A5">
            <w:pPr>
              <w:pStyle w:val="Tabletextprimarysource"/>
            </w:pPr>
            <w:r>
              <w:t>Recommended OEL based on NOAEC of 0.7 ppm and LOAEC of 1.5 ppm for slight visual disturbances reported in a volunteer inhalation study</w:t>
            </w:r>
            <w:r w:rsidR="00A863D7">
              <w:t xml:space="preserve"> (also cited by ACGIH, 2018)</w:t>
            </w:r>
            <w:r>
              <w:t>. Agency considers study well-conducted and applies no UF to the NOAEC to derive an 8</w:t>
            </w:r>
            <w:r w:rsidR="000420F8">
              <w:t xml:space="preserve"> </w:t>
            </w:r>
            <w:r>
              <w:t>h TWA of 1 ppm. Recommended STEL based on reports of visual disturbance in 3</w:t>
            </w:r>
            <w:r w:rsidR="00D32A69">
              <w:t>/</w:t>
            </w:r>
            <w:r>
              <w:t xml:space="preserve">4 workers at a TWA of 2.6 ppm with peak exposure at 5.7 ppm in workplace study. Proposed limits are not contradicted by results of subchronic animal studies. </w:t>
            </w:r>
          </w:p>
          <w:p w14:paraId="7D238A22" w14:textId="77777777" w:rsidR="00A863D7" w:rsidRDefault="00A863D7" w:rsidP="003365A5">
            <w:pPr>
              <w:pStyle w:val="Tabletextprimarysource"/>
            </w:pPr>
            <w:r>
              <w:t>Skin notation recommended as dermal absorption could significantly contribute to overall body burden.</w:t>
            </w:r>
          </w:p>
          <w:p w14:paraId="57774125" w14:textId="1B9E5C1B" w:rsidR="00A863D7" w:rsidRDefault="00A863D7" w:rsidP="003365A5">
            <w:pPr>
              <w:pStyle w:val="Tabletextprimarysource"/>
            </w:pPr>
            <w:r>
              <w:t>Human data:</w:t>
            </w:r>
          </w:p>
          <w:p w14:paraId="150B1FF4" w14:textId="77777777" w:rsidR="00A863D7" w:rsidRDefault="00A863D7" w:rsidP="00A863D7">
            <w:pPr>
              <w:pStyle w:val="Tabletextprimarysource"/>
              <w:numPr>
                <w:ilvl w:val="0"/>
                <w:numId w:val="1"/>
              </w:numPr>
            </w:pPr>
            <w:r>
              <w:t>Odour threshold:0.6 ppm</w:t>
            </w:r>
          </w:p>
          <w:p w14:paraId="66D5A29D" w14:textId="108A01E6" w:rsidR="00A863D7" w:rsidRDefault="00A863D7" w:rsidP="00A863D7">
            <w:pPr>
              <w:pStyle w:val="Tabletextprimarysource"/>
              <w:numPr>
                <w:ilvl w:val="0"/>
                <w:numId w:val="1"/>
              </w:numPr>
            </w:pPr>
            <w:r>
              <w:t>“Blue haze” in vision reported by 3</w:t>
            </w:r>
            <w:r w:rsidR="00D32A69">
              <w:t>/</w:t>
            </w:r>
            <w:r>
              <w:t>4 workers exposed to average air concentration of 2.6</w:t>
            </w:r>
            <w:r w:rsidR="005B4DDE">
              <w:t> </w:t>
            </w:r>
            <w:r>
              <w:t>ppm and peak concentration of 5.7 ppm; no signs of permanent eye damage</w:t>
            </w:r>
          </w:p>
          <w:p w14:paraId="54DDF3A4" w14:textId="197784BC" w:rsidR="00A863D7" w:rsidRDefault="00A863D7" w:rsidP="003365A5">
            <w:pPr>
              <w:pStyle w:val="Tabletextprimarysource"/>
              <w:numPr>
                <w:ilvl w:val="0"/>
                <w:numId w:val="1"/>
              </w:numPr>
            </w:pPr>
            <w:r>
              <w:t>Minimal to moderate blurred vision and contrast sensitivity and mild corneal changes (not specified) in 3</w:t>
            </w:r>
            <w:r w:rsidR="00D32A69">
              <w:t>/</w:t>
            </w:r>
            <w:r>
              <w:t>4 volunteers in volunteer inhalation study with dose groups 0.7, 1.5 and 9.6 ppm (n=4, 4 h, also cited by ACGIH, 2018)</w:t>
            </w:r>
            <w:r w:rsidR="006347B6">
              <w:t>.</w:t>
            </w:r>
          </w:p>
          <w:p w14:paraId="2CCC4C1C" w14:textId="1B34D50C" w:rsidR="000E455F" w:rsidRPr="00DA352E" w:rsidRDefault="000E455F" w:rsidP="000E455F">
            <w:pPr>
              <w:pStyle w:val="Tabletextprimarysource"/>
              <w:ind w:left="720"/>
            </w:pPr>
          </w:p>
        </w:tc>
      </w:tr>
      <w:tr w:rsidR="00DA352E" w:rsidRPr="00DA352E" w14:paraId="4159709D" w14:textId="77777777" w:rsidTr="008E0FF1">
        <w:trPr>
          <w:gridAfter w:val="1"/>
          <w:wAfter w:w="8" w:type="pct"/>
          <w:cantSplit/>
        </w:trPr>
        <w:tc>
          <w:tcPr>
            <w:tcW w:w="4992" w:type="pct"/>
            <w:shd w:val="clear" w:color="auto" w:fill="F2F2F2" w:themeFill="background1" w:themeFillShade="F2"/>
          </w:tcPr>
          <w:p w14:paraId="2A09499A" w14:textId="77777777" w:rsidR="00DA352E" w:rsidRPr="00DA352E" w:rsidRDefault="00DA352E" w:rsidP="0051509C">
            <w:pPr>
              <w:pStyle w:val="Tablerowheadingitalic"/>
              <w:tabs>
                <w:tab w:val="clear" w:pos="2268"/>
                <w:tab w:val="clear" w:pos="5670"/>
                <w:tab w:val="left" w:pos="1418"/>
                <w:tab w:val="left" w:pos="2552"/>
              </w:tabs>
            </w:pPr>
            <w:r w:rsidRPr="00DA352E">
              <w:lastRenderedPageBreak/>
              <w:t>OARS/AIHA</w:t>
            </w:r>
            <w:r w:rsidR="00916EC0" w:rsidRPr="003365A5">
              <w:t xml:space="preserve"> </w:t>
            </w:r>
            <w:r w:rsidR="00916EC0" w:rsidRPr="003365A5">
              <w:tab/>
            </w:r>
            <w:sdt>
              <w:sdtPr>
                <w:id w:val="-936748013"/>
                <w:placeholder>
                  <w:docPart w:val="47E4EC2DB10B4B8E8A66F7A5C13653CB"/>
                </w:placeholder>
                <w:text/>
              </w:sdtPr>
              <w:sdtEndPr/>
              <w:sdtContent>
                <w:r w:rsidR="00744980">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r w:rsidR="00744980">
                  <w:t>NA</w:t>
                </w:r>
              </w:sdtContent>
            </w:sdt>
          </w:p>
        </w:tc>
      </w:tr>
      <w:tr w:rsidR="00DA352E" w:rsidRPr="00DA352E" w14:paraId="41CB12DC" w14:textId="77777777" w:rsidTr="008E0FF1">
        <w:trPr>
          <w:gridAfter w:val="1"/>
          <w:wAfter w:w="8" w:type="pct"/>
          <w:cantSplit/>
        </w:trPr>
        <w:tc>
          <w:tcPr>
            <w:tcW w:w="4992" w:type="pct"/>
          </w:tcPr>
          <w:p w14:paraId="1F41FE72" w14:textId="77777777" w:rsidR="00DA352E" w:rsidRPr="00DA352E" w:rsidRDefault="00744980" w:rsidP="003365A5">
            <w:pPr>
              <w:pStyle w:val="Tabletextprimarysource"/>
            </w:pPr>
            <w:r>
              <w:t>No report</w:t>
            </w:r>
            <w:r w:rsidR="006347B6">
              <w:t>.</w:t>
            </w:r>
          </w:p>
        </w:tc>
      </w:tr>
      <w:tr w:rsidR="00DA352E" w:rsidRPr="00DA352E" w14:paraId="4CF17E18" w14:textId="77777777" w:rsidTr="008E0FF1">
        <w:trPr>
          <w:gridAfter w:val="1"/>
          <w:wAfter w:w="8" w:type="pct"/>
          <w:cantSplit/>
        </w:trPr>
        <w:tc>
          <w:tcPr>
            <w:tcW w:w="4992" w:type="pct"/>
            <w:shd w:val="clear" w:color="auto" w:fill="F2F2F2" w:themeFill="background1" w:themeFillShade="F2"/>
          </w:tcPr>
          <w:p w14:paraId="269F6BA6" w14:textId="77777777" w:rsidR="00DA352E" w:rsidRPr="00DA352E" w:rsidRDefault="00DA352E" w:rsidP="0051509C">
            <w:pPr>
              <w:pStyle w:val="Tablerowheadingitalic"/>
              <w:tabs>
                <w:tab w:val="clear" w:pos="2268"/>
                <w:tab w:val="clear" w:pos="5670"/>
                <w:tab w:val="left" w:pos="1418"/>
                <w:tab w:val="left" w:pos="2552"/>
              </w:tabs>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744980">
                  <w:t>NA</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r w:rsidR="00744980">
                  <w:t>NA</w:t>
                </w:r>
              </w:sdtContent>
            </w:sdt>
          </w:p>
        </w:tc>
      </w:tr>
      <w:tr w:rsidR="00DA352E" w:rsidRPr="00DA352E" w14:paraId="17E5C966" w14:textId="77777777" w:rsidTr="008E0FF1">
        <w:trPr>
          <w:gridAfter w:val="1"/>
          <w:wAfter w:w="8" w:type="pct"/>
          <w:cantSplit/>
        </w:trPr>
        <w:tc>
          <w:tcPr>
            <w:tcW w:w="4992" w:type="pct"/>
          </w:tcPr>
          <w:p w14:paraId="677F40CC" w14:textId="77777777" w:rsidR="00DA352E" w:rsidRPr="00DA352E" w:rsidRDefault="00744980" w:rsidP="003365A5">
            <w:pPr>
              <w:pStyle w:val="Tabletextprimarysource"/>
            </w:pPr>
            <w:r>
              <w:t>No report</w:t>
            </w:r>
            <w:r w:rsidR="006347B6">
              <w:t>.</w:t>
            </w:r>
          </w:p>
        </w:tc>
      </w:tr>
    </w:tbl>
    <w:p w14:paraId="656C081F" w14:textId="77777777" w:rsidR="00A20751" w:rsidRPr="004C23F4" w:rsidRDefault="00A20751" w:rsidP="003365A5">
      <w:pPr>
        <w:pStyle w:val="Heading3"/>
      </w:pPr>
      <w:bookmarkStart w:id="0" w:name="SecondSource"/>
      <w:r w:rsidRPr="004C23F4">
        <w:t xml:space="preserve">Secondary </w:t>
      </w:r>
      <w:r w:rsidR="0088798F">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20" w:firstRow="1" w:lastRow="0" w:firstColumn="0" w:lastColumn="0" w:noHBand="1" w:noVBand="1"/>
        <w:tblCaption w:val="Table"/>
        <w:tblDescription w:val="Listing secondary sources with reports"/>
      </w:tblPr>
      <w:tblGrid>
        <w:gridCol w:w="1488"/>
        <w:gridCol w:w="422"/>
        <w:gridCol w:w="661"/>
        <w:gridCol w:w="6455"/>
      </w:tblGrid>
      <w:tr w:rsidR="004966BF" w:rsidRPr="00263255" w14:paraId="7756A991" w14:textId="77777777" w:rsidTr="008E0FF1">
        <w:trPr>
          <w:cnfStyle w:val="100000000000" w:firstRow="1" w:lastRow="0" w:firstColumn="0" w:lastColumn="0" w:oddVBand="0" w:evenVBand="0" w:oddHBand="0" w:evenHBand="0" w:firstRowFirstColumn="0" w:firstRowLastColumn="0" w:lastRowFirstColumn="0" w:lastRowLastColumn="0"/>
          <w:cantSplit/>
          <w:trHeight w:val="393"/>
          <w:tblHeader/>
        </w:trPr>
        <w:tc>
          <w:tcPr>
            <w:tcW w:w="1488" w:type="dxa"/>
            <w:shd w:val="clear" w:color="auto" w:fill="BFBFBF" w:themeFill="background1" w:themeFillShade="BF"/>
            <w:vAlign w:val="center"/>
          </w:tcPr>
          <w:p w14:paraId="7C8084B2" w14:textId="77777777" w:rsidR="004966BF" w:rsidRPr="00263255" w:rsidRDefault="004966BF" w:rsidP="00263255">
            <w:pPr>
              <w:pStyle w:val="Tableheader"/>
            </w:pPr>
            <w:r w:rsidRPr="00263255">
              <w:t>Source</w:t>
            </w:r>
          </w:p>
        </w:tc>
        <w:tc>
          <w:tcPr>
            <w:tcW w:w="422" w:type="dxa"/>
            <w:shd w:val="clear" w:color="auto" w:fill="BFBFBF" w:themeFill="background1" w:themeFillShade="BF"/>
            <w:vAlign w:val="center"/>
          </w:tcPr>
          <w:p w14:paraId="696F8F08" w14:textId="77777777" w:rsidR="004966BF" w:rsidRPr="00263255" w:rsidRDefault="004966BF" w:rsidP="00263255">
            <w:pPr>
              <w:pStyle w:val="Tableheader"/>
            </w:pPr>
          </w:p>
        </w:tc>
        <w:tc>
          <w:tcPr>
            <w:tcW w:w="661" w:type="dxa"/>
            <w:shd w:val="clear" w:color="auto" w:fill="BFBFBF" w:themeFill="background1" w:themeFillShade="BF"/>
            <w:vAlign w:val="center"/>
          </w:tcPr>
          <w:p w14:paraId="77CF152C" w14:textId="77777777" w:rsidR="004966BF" w:rsidRPr="00263255" w:rsidRDefault="004966BF" w:rsidP="00263255">
            <w:pPr>
              <w:pStyle w:val="Tableheader"/>
            </w:pPr>
            <w:r>
              <w:t>Year</w:t>
            </w:r>
          </w:p>
        </w:tc>
        <w:tc>
          <w:tcPr>
            <w:tcW w:w="6455" w:type="dxa"/>
            <w:shd w:val="clear" w:color="auto" w:fill="BFBFBF" w:themeFill="background1" w:themeFillShade="BF"/>
            <w:vAlign w:val="center"/>
          </w:tcPr>
          <w:p w14:paraId="5E6C2F12" w14:textId="77777777" w:rsidR="004966BF" w:rsidRPr="00263255" w:rsidRDefault="004966BF" w:rsidP="00263255">
            <w:pPr>
              <w:pStyle w:val="Tableheader"/>
            </w:pPr>
            <w:r>
              <w:t>Additional information</w:t>
            </w:r>
          </w:p>
        </w:tc>
      </w:tr>
      <w:tr w:rsidR="004966BF" w:rsidRPr="004C23F4" w14:paraId="7BC2F8C4" w14:textId="77777777" w:rsidTr="008E0FF1">
        <w:trPr>
          <w:cantSplit/>
        </w:trPr>
        <w:tc>
          <w:tcPr>
            <w:tcW w:w="1488" w:type="dxa"/>
          </w:tcPr>
          <w:p w14:paraId="52B40C52" w14:textId="77777777" w:rsidR="004966BF" w:rsidRPr="004C23F4" w:rsidRDefault="004966BF" w:rsidP="00224EE2">
            <w:pPr>
              <w:pStyle w:val="Tablefont"/>
            </w:pPr>
            <w:r>
              <w:t>NICNAS</w:t>
            </w:r>
          </w:p>
        </w:tc>
        <w:tc>
          <w:tcPr>
            <w:tcW w:w="422" w:type="dxa"/>
          </w:tcPr>
          <w:p w14:paraId="60498E50" w14:textId="77777777" w:rsidR="004966BF" w:rsidRPr="00CE617F" w:rsidRDefault="008E0FF1" w:rsidP="00AB43C4">
            <w:pPr>
              <w:spacing w:before="40"/>
              <w:jc w:val="center"/>
              <w:rPr>
                <w:rStyle w:val="checkbox"/>
              </w:rPr>
            </w:pPr>
            <w:sdt>
              <w:sdtPr>
                <w:rPr>
                  <w:rStyle w:val="checkbox"/>
                </w:rPr>
                <w:id w:val="1234131032"/>
                <w:placeholder>
                  <w:docPart w:val="C2B44F29000D47BD8588D2D5E8DFA6C8"/>
                </w:placeholder>
                <w:dropDownList>
                  <w:listItem w:displayText="" w:value=""/>
                  <w:listItem w:displayText="" w:value=""/>
                  <w:listItem w:displayText="" w:value=""/>
                </w:dropDownList>
              </w:sdtPr>
              <w:sdtEndPr>
                <w:rPr>
                  <w:rStyle w:val="checkbox"/>
                </w:rPr>
              </w:sdtEndPr>
              <w:sdtContent>
                <w:r w:rsidR="00C4783A">
                  <w:rPr>
                    <w:rStyle w:val="checkbox"/>
                  </w:rPr>
                  <w:t></w:t>
                </w:r>
              </w:sdtContent>
            </w:sdt>
          </w:p>
        </w:tc>
        <w:tc>
          <w:tcPr>
            <w:tcW w:w="661" w:type="dxa"/>
          </w:tcPr>
          <w:p w14:paraId="00E57BD1" w14:textId="77777777" w:rsidR="004966BF" w:rsidRPr="004C23F4" w:rsidRDefault="005E3BBA" w:rsidP="00717D45">
            <w:pPr>
              <w:pStyle w:val="Tablefont"/>
              <w:rPr>
                <w:rStyle w:val="checkbox"/>
                <w:rFonts w:ascii="Arial" w:hAnsi="Arial" w:cs="Arial"/>
              </w:rPr>
            </w:pPr>
            <w:r>
              <w:rPr>
                <w:rStyle w:val="checkbox"/>
                <w:rFonts w:ascii="Arial" w:hAnsi="Arial" w:cs="Arial"/>
              </w:rPr>
              <w:t>2016</w:t>
            </w:r>
          </w:p>
        </w:tc>
        <w:tc>
          <w:tcPr>
            <w:tcW w:w="6455" w:type="dxa"/>
          </w:tcPr>
          <w:p w14:paraId="7ECBB1DA" w14:textId="77777777" w:rsidR="00C4783A" w:rsidRPr="00C4783A" w:rsidRDefault="00C4783A" w:rsidP="00C4783A">
            <w:pPr>
              <w:pStyle w:val="Tablefont"/>
              <w:numPr>
                <w:ilvl w:val="0"/>
                <w:numId w:val="1"/>
              </w:numPr>
              <w:rPr>
                <w:rFonts w:cs="Arial"/>
              </w:rPr>
            </w:pPr>
            <w:r w:rsidRPr="00C4783A">
              <w:rPr>
                <w:rFonts w:cs="Arial"/>
              </w:rPr>
              <w:t>Grouped assessment with other tertiary aliphatic amines due to structural and toxicological similarities</w:t>
            </w:r>
          </w:p>
          <w:p w14:paraId="6772E97C" w14:textId="77777777" w:rsidR="00C4783A" w:rsidRDefault="00C4783A" w:rsidP="00C4783A">
            <w:pPr>
              <w:pStyle w:val="Tablefont"/>
              <w:numPr>
                <w:ilvl w:val="0"/>
                <w:numId w:val="1"/>
              </w:numPr>
              <w:rPr>
                <w:rFonts w:cs="Arial"/>
              </w:rPr>
            </w:pPr>
            <w:r>
              <w:rPr>
                <w:rFonts w:cs="Arial"/>
              </w:rPr>
              <w:t>Acutely toxic following dermal exposure in OECD-compliant dermal application study (rats)</w:t>
            </w:r>
          </w:p>
          <w:p w14:paraId="3E743800" w14:textId="7AC50A43" w:rsidR="00C4783A" w:rsidRDefault="00C4783A" w:rsidP="00C4783A">
            <w:pPr>
              <w:pStyle w:val="Tablefont"/>
              <w:numPr>
                <w:ilvl w:val="0"/>
                <w:numId w:val="1"/>
              </w:numPr>
              <w:rPr>
                <w:rFonts w:cs="Arial"/>
              </w:rPr>
            </w:pPr>
            <w:r>
              <w:rPr>
                <w:rFonts w:cs="Arial"/>
              </w:rPr>
              <w:t>Dermal LD</w:t>
            </w:r>
            <w:r>
              <w:rPr>
                <w:rFonts w:cs="Arial"/>
                <w:vertAlign w:val="subscript"/>
              </w:rPr>
              <w:t>50</w:t>
            </w:r>
            <w:r>
              <w:rPr>
                <w:rFonts w:cs="Arial"/>
              </w:rPr>
              <w:t>: 580 mg/kg undiluted (rats)</w:t>
            </w:r>
            <w:r w:rsidR="000E455F">
              <w:rPr>
                <w:rFonts w:cs="Arial"/>
              </w:rPr>
              <w:t>:</w:t>
            </w:r>
            <w:r>
              <w:rPr>
                <w:rFonts w:cs="Arial"/>
              </w:rPr>
              <w:t xml:space="preserve"> </w:t>
            </w:r>
          </w:p>
          <w:p w14:paraId="0B953ECE" w14:textId="77777777" w:rsidR="00C4783A" w:rsidRDefault="00C4783A" w:rsidP="006347B6">
            <w:pPr>
              <w:pStyle w:val="Tablefont"/>
              <w:numPr>
                <w:ilvl w:val="1"/>
                <w:numId w:val="1"/>
              </w:numPr>
              <w:ind w:left="1149"/>
              <w:rPr>
                <w:rFonts w:cs="Arial"/>
              </w:rPr>
            </w:pPr>
            <w:r>
              <w:rPr>
                <w:rFonts w:cs="Arial"/>
              </w:rPr>
              <w:t>dermal necrosis and scabs observed at application site</w:t>
            </w:r>
          </w:p>
          <w:p w14:paraId="77972067" w14:textId="38A0AE6A" w:rsidR="004966BF" w:rsidRPr="00C4783A" w:rsidRDefault="00C4783A" w:rsidP="006347B6">
            <w:pPr>
              <w:pStyle w:val="Tablefont"/>
              <w:numPr>
                <w:ilvl w:val="1"/>
                <w:numId w:val="1"/>
              </w:numPr>
              <w:ind w:left="1149"/>
              <w:rPr>
                <w:rStyle w:val="checkbox"/>
                <w:rFonts w:ascii="Arial" w:hAnsi="Arial" w:cs="Arial"/>
              </w:rPr>
            </w:pPr>
            <w:r>
              <w:rPr>
                <w:rFonts w:cs="Arial"/>
              </w:rPr>
              <w:t>darkened lungs, kidneys and mottled/pale liver and spleen observed at necropsy</w:t>
            </w:r>
            <w:r w:rsidR="006347B6">
              <w:rPr>
                <w:rFonts w:cs="Arial"/>
              </w:rPr>
              <w:t>.</w:t>
            </w:r>
          </w:p>
        </w:tc>
      </w:tr>
      <w:tr w:rsidR="004966BF" w:rsidRPr="004C23F4" w14:paraId="3EA97284" w14:textId="77777777" w:rsidTr="008E0FF1">
        <w:trPr>
          <w:cantSplit/>
        </w:trPr>
        <w:tc>
          <w:tcPr>
            <w:tcW w:w="1488" w:type="dxa"/>
          </w:tcPr>
          <w:p w14:paraId="01CE6008" w14:textId="77777777" w:rsidR="004966BF" w:rsidRPr="004C23F4" w:rsidRDefault="004966BF" w:rsidP="00224EE2">
            <w:pPr>
              <w:pStyle w:val="Tablefont"/>
            </w:pPr>
            <w:r>
              <w:t>OECD</w:t>
            </w:r>
          </w:p>
        </w:tc>
        <w:tc>
          <w:tcPr>
            <w:tcW w:w="422" w:type="dxa"/>
          </w:tcPr>
          <w:p w14:paraId="6546CAE0" w14:textId="77777777" w:rsidR="004966BF" w:rsidRPr="00CE617F" w:rsidRDefault="008E0FF1" w:rsidP="00AB43C4">
            <w:pPr>
              <w:spacing w:before="40"/>
              <w:jc w:val="center"/>
              <w:rPr>
                <w:rStyle w:val="checkbox"/>
              </w:rPr>
            </w:pPr>
            <w:sdt>
              <w:sdtPr>
                <w:rPr>
                  <w:rStyle w:val="checkbox"/>
                </w:rPr>
                <w:id w:val="-491947220"/>
                <w:placeholder>
                  <w:docPart w:val="320A77D155374054996F168A20882C28"/>
                </w:placeholder>
                <w:dropDownList>
                  <w:listItem w:displayText="" w:value=""/>
                  <w:listItem w:displayText="" w:value=""/>
                  <w:listItem w:displayText="" w:value=""/>
                </w:dropDownList>
              </w:sdtPr>
              <w:sdtEndPr>
                <w:rPr>
                  <w:rStyle w:val="checkbox"/>
                </w:rPr>
              </w:sdtEndPr>
              <w:sdtContent>
                <w:r w:rsidR="002224B6">
                  <w:rPr>
                    <w:rStyle w:val="checkbox"/>
                  </w:rPr>
                  <w:t></w:t>
                </w:r>
              </w:sdtContent>
            </w:sdt>
          </w:p>
        </w:tc>
        <w:tc>
          <w:tcPr>
            <w:tcW w:w="661" w:type="dxa"/>
          </w:tcPr>
          <w:p w14:paraId="67E1E784" w14:textId="77777777" w:rsidR="004966BF" w:rsidRPr="004C23F4" w:rsidRDefault="002224B6" w:rsidP="00717D45">
            <w:pPr>
              <w:pStyle w:val="Tablefont"/>
              <w:rPr>
                <w:rStyle w:val="checkbox"/>
                <w:rFonts w:ascii="Arial" w:hAnsi="Arial" w:cs="Arial"/>
              </w:rPr>
            </w:pPr>
            <w:r>
              <w:rPr>
                <w:rStyle w:val="checkbox"/>
                <w:rFonts w:ascii="Arial" w:hAnsi="Arial" w:cs="Arial"/>
              </w:rPr>
              <w:t>2012</w:t>
            </w:r>
          </w:p>
        </w:tc>
        <w:tc>
          <w:tcPr>
            <w:tcW w:w="6455" w:type="dxa"/>
          </w:tcPr>
          <w:p w14:paraId="607B9243" w14:textId="77777777" w:rsidR="002224B6" w:rsidRDefault="00A863D7" w:rsidP="002224B6">
            <w:pPr>
              <w:pStyle w:val="Tablefont"/>
              <w:numPr>
                <w:ilvl w:val="0"/>
                <w:numId w:val="1"/>
              </w:numPr>
              <w:rPr>
                <w:rStyle w:val="checkbox"/>
                <w:rFonts w:ascii="Arial" w:hAnsi="Arial" w:cs="Arial"/>
              </w:rPr>
            </w:pPr>
            <w:r>
              <w:rPr>
                <w:rStyle w:val="checkbox"/>
                <w:rFonts w:ascii="Arial" w:hAnsi="Arial" w:cs="Arial"/>
              </w:rPr>
              <w:t xml:space="preserve">Grouped assessment with other </w:t>
            </w:r>
            <w:r w:rsidR="002224B6">
              <w:rPr>
                <w:rStyle w:val="checkbox"/>
                <w:rFonts w:ascii="Arial" w:hAnsi="Arial" w:cs="Arial"/>
              </w:rPr>
              <w:t>tertiary aliphatic amines due to structural and toxicological similarities</w:t>
            </w:r>
          </w:p>
          <w:p w14:paraId="7FA6EFF9" w14:textId="7427A87E" w:rsidR="005E3BBA" w:rsidRDefault="00B45B69" w:rsidP="002224B6">
            <w:pPr>
              <w:pStyle w:val="Tablefont"/>
              <w:numPr>
                <w:ilvl w:val="0"/>
                <w:numId w:val="1"/>
              </w:numPr>
              <w:rPr>
                <w:rStyle w:val="checkbox"/>
                <w:rFonts w:ascii="Arial" w:hAnsi="Arial" w:cs="Arial"/>
              </w:rPr>
            </w:pPr>
            <w:r>
              <w:rPr>
                <w:rStyle w:val="checkbox"/>
                <w:rFonts w:ascii="Arial" w:hAnsi="Arial" w:cs="Arial"/>
              </w:rPr>
              <w:t>No histopathological changes to reproductive organs at 22.7 or 231.8 ppm in sub</w:t>
            </w:r>
            <w:r w:rsidR="000E455F">
              <w:rPr>
                <w:rStyle w:val="checkbox"/>
                <w:rFonts w:ascii="Arial" w:hAnsi="Arial" w:cs="Arial"/>
              </w:rPr>
              <w:t>-</w:t>
            </w:r>
            <w:r>
              <w:rPr>
                <w:rStyle w:val="checkbox"/>
                <w:rFonts w:ascii="Arial" w:hAnsi="Arial" w:cs="Arial"/>
              </w:rPr>
              <w:t xml:space="preserve">chronic inhalation reproductive study (rats, 6 h/d, 5 d/wk, 28 wk) </w:t>
            </w:r>
          </w:p>
          <w:p w14:paraId="42512947" w14:textId="77777777" w:rsidR="004966BF" w:rsidRPr="004C23F4" w:rsidRDefault="00A863D7" w:rsidP="002224B6">
            <w:pPr>
              <w:pStyle w:val="Tablefont"/>
              <w:numPr>
                <w:ilvl w:val="0"/>
                <w:numId w:val="1"/>
              </w:numPr>
              <w:rPr>
                <w:rStyle w:val="checkbox"/>
                <w:rFonts w:ascii="Arial" w:hAnsi="Arial" w:cs="Arial"/>
              </w:rPr>
            </w:pPr>
            <w:r>
              <w:rPr>
                <w:rStyle w:val="checkbox"/>
                <w:rFonts w:ascii="Arial" w:hAnsi="Arial" w:cs="Arial"/>
              </w:rPr>
              <w:t>No carcinogenicity data available</w:t>
            </w:r>
            <w:r w:rsidR="002224B6">
              <w:rPr>
                <w:rStyle w:val="checkbox"/>
                <w:rFonts w:ascii="Arial" w:hAnsi="Arial" w:cs="Arial"/>
              </w:rPr>
              <w:t xml:space="preserve"> for chemicals in the group</w:t>
            </w:r>
            <w:r w:rsidR="006347B6">
              <w:rPr>
                <w:rStyle w:val="checkbox"/>
                <w:rFonts w:ascii="Arial" w:hAnsi="Arial" w:cs="Arial"/>
              </w:rPr>
              <w:t>.</w:t>
            </w:r>
          </w:p>
        </w:tc>
        <w:bookmarkStart w:id="1" w:name="_GoBack"/>
        <w:bookmarkEnd w:id="1"/>
      </w:tr>
      <w:tr w:rsidR="004966BF" w:rsidRPr="004C23F4" w14:paraId="6566A526" w14:textId="77777777" w:rsidTr="008E0FF1">
        <w:trPr>
          <w:cantSplit/>
        </w:trPr>
        <w:tc>
          <w:tcPr>
            <w:tcW w:w="1488" w:type="dxa"/>
          </w:tcPr>
          <w:p w14:paraId="059B171C" w14:textId="77777777" w:rsidR="004966BF" w:rsidRDefault="004966BF" w:rsidP="00224EE2">
            <w:pPr>
              <w:pStyle w:val="Tablefont"/>
            </w:pPr>
            <w:r>
              <w:t>US NIOSH</w:t>
            </w:r>
          </w:p>
        </w:tc>
        <w:tc>
          <w:tcPr>
            <w:tcW w:w="422" w:type="dxa"/>
          </w:tcPr>
          <w:p w14:paraId="29D248E4" w14:textId="77777777" w:rsidR="004966BF" w:rsidRDefault="008E0FF1" w:rsidP="00AB43C4">
            <w:pPr>
              <w:spacing w:before="40"/>
              <w:jc w:val="center"/>
              <w:rPr>
                <w:rStyle w:val="checkbox"/>
              </w:rPr>
            </w:pPr>
            <w:sdt>
              <w:sdtPr>
                <w:rPr>
                  <w:rStyle w:val="checkbox"/>
                </w:rPr>
                <w:id w:val="-1814863282"/>
                <w:placeholder>
                  <w:docPart w:val="EA51C8540A4D4F0A9062F5B1698DCBB0"/>
                </w:placeholder>
                <w:dropDownList>
                  <w:listItem w:displayText="" w:value=""/>
                  <w:listItem w:displayText="" w:value=""/>
                  <w:listItem w:displayText="" w:value=""/>
                </w:dropDownList>
              </w:sdtPr>
              <w:sdtEndPr>
                <w:rPr>
                  <w:rStyle w:val="checkbox"/>
                </w:rPr>
              </w:sdtEndPr>
              <w:sdtContent>
                <w:r w:rsidR="002224B6">
                  <w:rPr>
                    <w:rStyle w:val="checkbox"/>
                  </w:rPr>
                  <w:t></w:t>
                </w:r>
              </w:sdtContent>
            </w:sdt>
          </w:p>
        </w:tc>
        <w:tc>
          <w:tcPr>
            <w:tcW w:w="661" w:type="dxa"/>
          </w:tcPr>
          <w:p w14:paraId="034323C1" w14:textId="77777777" w:rsidR="004966BF" w:rsidRPr="004C23F4" w:rsidRDefault="002224B6" w:rsidP="00717D45">
            <w:pPr>
              <w:pStyle w:val="Tablefont"/>
              <w:rPr>
                <w:rStyle w:val="checkbox"/>
                <w:rFonts w:ascii="Arial" w:hAnsi="Arial" w:cs="Arial"/>
              </w:rPr>
            </w:pPr>
            <w:r>
              <w:rPr>
                <w:rStyle w:val="checkbox"/>
                <w:rFonts w:ascii="Arial" w:hAnsi="Arial" w:cs="Arial"/>
              </w:rPr>
              <w:t>1994</w:t>
            </w:r>
          </w:p>
        </w:tc>
        <w:tc>
          <w:tcPr>
            <w:tcW w:w="6455" w:type="dxa"/>
          </w:tcPr>
          <w:p w14:paraId="41BF5D2F" w14:textId="77777777" w:rsidR="004966BF" w:rsidRPr="004C23F4" w:rsidRDefault="002224B6" w:rsidP="002224B6">
            <w:pPr>
              <w:pStyle w:val="Tablefont"/>
              <w:numPr>
                <w:ilvl w:val="0"/>
                <w:numId w:val="1"/>
              </w:numPr>
              <w:rPr>
                <w:rStyle w:val="checkbox"/>
                <w:rFonts w:ascii="Arial" w:hAnsi="Arial" w:cs="Arial"/>
              </w:rPr>
            </w:pPr>
            <w:r w:rsidRPr="002224B6">
              <w:rPr>
                <w:rFonts w:cs="Arial"/>
              </w:rPr>
              <w:t>IDLH based on acute inhalation toxicity data in animals</w:t>
            </w:r>
            <w:r w:rsidR="006347B6">
              <w:rPr>
                <w:rFonts w:cs="Arial"/>
              </w:rPr>
              <w:t>.</w:t>
            </w:r>
          </w:p>
        </w:tc>
      </w:tr>
    </w:tbl>
    <w:bookmarkEnd w:id="0"/>
    <w:p w14:paraId="32B2EEB1" w14:textId="77777777" w:rsidR="007E2A4B" w:rsidRDefault="007E2A4B" w:rsidP="007E2A4B">
      <w:pPr>
        <w:pStyle w:val="Heading3"/>
      </w:pPr>
      <w:r>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603"/>
        <w:gridCol w:w="2423"/>
      </w:tblGrid>
      <w:tr w:rsidR="002E0D61" w14:paraId="205480DE" w14:textId="77777777" w:rsidTr="002224B6">
        <w:trPr>
          <w:trHeight w:val="454"/>
          <w:tblHeader/>
        </w:trPr>
        <w:tc>
          <w:tcPr>
            <w:tcW w:w="6603" w:type="dxa"/>
            <w:vAlign w:val="center"/>
          </w:tcPr>
          <w:p w14:paraId="157BC5E2" w14:textId="77777777" w:rsidR="002E0D61" w:rsidRDefault="00B1422A" w:rsidP="00C3091E">
            <w:pPr>
              <w:pStyle w:val="Tablefont"/>
              <w:keepNext/>
              <w:keepLines/>
              <w:spacing w:before="40" w:after="40"/>
            </w:pPr>
            <w:bookmarkStart w:id="2" w:name="GCQuest"/>
            <w:r>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3" w:type="dxa"/>
                <w:vAlign w:val="center"/>
              </w:tcPr>
              <w:p w14:paraId="486330D0" w14:textId="77777777" w:rsidR="002E0D61" w:rsidRDefault="002224B6" w:rsidP="00C3091E">
                <w:pPr>
                  <w:pStyle w:val="Tablefont"/>
                  <w:keepNext/>
                  <w:keepLines/>
                  <w:spacing w:before="40" w:after="40"/>
                </w:pPr>
                <w:r>
                  <w:t>No</w:t>
                </w:r>
              </w:p>
            </w:tc>
          </w:sdtContent>
        </w:sdt>
      </w:tr>
      <w:tr w:rsidR="008A36CF" w14:paraId="040CEDA4" w14:textId="77777777" w:rsidTr="002224B6">
        <w:trPr>
          <w:trHeight w:val="454"/>
        </w:trPr>
        <w:sdt>
          <w:sdtPr>
            <w:rPr>
              <w:b/>
            </w:rPr>
            <w:id w:val="1830936485"/>
            <w:placeholder>
              <w:docPart w:val="CAD2D506A5824AB88D896BC2795BCEDE"/>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6603" w:type="dxa"/>
                <w:vAlign w:val="center"/>
              </w:tcPr>
              <w:p w14:paraId="64E08E4D" w14:textId="77777777" w:rsidR="008A36CF" w:rsidRPr="006901A2" w:rsidRDefault="002224B6" w:rsidP="008A36CF">
                <w:pPr>
                  <w:pStyle w:val="Tablefont"/>
                  <w:keepNext/>
                  <w:keepLines/>
                  <w:spacing w:before="40" w:after="40"/>
                  <w:rPr>
                    <w:b/>
                  </w:rPr>
                </w:pPr>
                <w:r>
                  <w:rPr>
                    <w:b/>
                  </w:rPr>
                  <w:t>The chemical is not a non-threshold based genotoxic carcinogen.</w:t>
                </w:r>
              </w:p>
            </w:tc>
          </w:sdtContent>
        </w:sdt>
        <w:tc>
          <w:tcPr>
            <w:tcW w:w="2423" w:type="dxa"/>
            <w:vAlign w:val="center"/>
          </w:tcPr>
          <w:p w14:paraId="15C00F05" w14:textId="77777777" w:rsidR="008A36CF" w:rsidRDefault="008A36CF" w:rsidP="008A36CF">
            <w:pPr>
              <w:pStyle w:val="Tablefont"/>
              <w:keepNext/>
              <w:keepLines/>
              <w:spacing w:before="40" w:after="40"/>
            </w:pPr>
          </w:p>
        </w:tc>
      </w:tr>
    </w:tbl>
    <w:bookmarkEnd w:id="2"/>
    <w:p w14:paraId="7F05503E" w14:textId="77777777" w:rsidR="00687890" w:rsidRPr="004C23F4" w:rsidRDefault="00B479A9"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20" w:firstRow="1" w:lastRow="0" w:firstColumn="0" w:lastColumn="0" w:noHBand="1" w:noVBand="1"/>
        <w:tblCaption w:val="Table"/>
        <w:tblDescription w:val="Listing notations"/>
      </w:tblPr>
      <w:tblGrid>
        <w:gridCol w:w="3153"/>
        <w:gridCol w:w="5873"/>
      </w:tblGrid>
      <w:tr w:rsidR="00687890" w:rsidRPr="004C23F4" w14:paraId="1FF9D0F6" w14:textId="77777777" w:rsidTr="008E0FF1">
        <w:trPr>
          <w:cnfStyle w:val="100000000000" w:firstRow="1" w:lastRow="0" w:firstColumn="0" w:lastColumn="0" w:oddVBand="0" w:evenVBand="0" w:oddHBand="0" w:evenHBand="0" w:firstRowFirstColumn="0" w:firstRowLastColumn="0" w:lastRowFirstColumn="0" w:lastRowLastColumn="0"/>
          <w:cantSplit/>
          <w:tblHeader/>
        </w:trPr>
        <w:tc>
          <w:tcPr>
            <w:tcW w:w="3227" w:type="dxa"/>
            <w:shd w:val="clear" w:color="auto" w:fill="BFBFBF" w:themeFill="background1" w:themeFillShade="BF"/>
            <w:vAlign w:val="center"/>
          </w:tcPr>
          <w:p w14:paraId="09E4460D" w14:textId="77777777" w:rsidR="00687890" w:rsidRPr="004C23F4" w:rsidRDefault="00687890" w:rsidP="00263255">
            <w:pPr>
              <w:pStyle w:val="Tableheader"/>
            </w:pPr>
            <w:bookmarkStart w:id="3" w:name="Notations"/>
            <w:r w:rsidRPr="004C23F4">
              <w:t>Source</w:t>
            </w:r>
          </w:p>
        </w:tc>
        <w:tc>
          <w:tcPr>
            <w:tcW w:w="6015" w:type="dxa"/>
            <w:shd w:val="clear" w:color="auto" w:fill="BFBFBF" w:themeFill="background1" w:themeFillShade="BF"/>
            <w:vAlign w:val="center"/>
          </w:tcPr>
          <w:p w14:paraId="15600704" w14:textId="77777777" w:rsidR="00687890" w:rsidRPr="004C23F4" w:rsidRDefault="00687890" w:rsidP="00F4402E">
            <w:pPr>
              <w:pStyle w:val="Tableheader"/>
              <w:tabs>
                <w:tab w:val="right" w:pos="5272"/>
              </w:tabs>
            </w:pPr>
            <w:r w:rsidRPr="004C23F4">
              <w:t>Notations</w:t>
            </w:r>
            <w:r w:rsidR="003A2B94">
              <w:tab/>
            </w:r>
          </w:p>
        </w:tc>
      </w:tr>
      <w:tr w:rsidR="00687890" w:rsidRPr="004C23F4" w14:paraId="15314065" w14:textId="77777777" w:rsidTr="008E0FF1">
        <w:trPr>
          <w:cantSplit/>
        </w:trPr>
        <w:tc>
          <w:tcPr>
            <w:tcW w:w="3227" w:type="dxa"/>
          </w:tcPr>
          <w:p w14:paraId="4DD24329" w14:textId="77777777" w:rsidR="004079B4" w:rsidRPr="004C23F4" w:rsidRDefault="00084513" w:rsidP="00F4402E">
            <w:pPr>
              <w:pStyle w:val="Tablefont"/>
            </w:pPr>
            <w:r w:rsidRPr="004C23F4">
              <w:t>SWA</w:t>
            </w:r>
          </w:p>
        </w:tc>
        <w:tc>
          <w:tcPr>
            <w:tcW w:w="6015" w:type="dxa"/>
          </w:tcPr>
          <w:p w14:paraId="166754EA" w14:textId="77777777" w:rsidR="00687890" w:rsidRPr="00DD2F9B" w:rsidRDefault="00A46FEB" w:rsidP="00DD2F9B">
            <w:pPr>
              <w:pStyle w:val="Tablefont"/>
            </w:pPr>
            <w:r>
              <w:t>—</w:t>
            </w:r>
          </w:p>
        </w:tc>
      </w:tr>
      <w:tr w:rsidR="007925F0" w:rsidRPr="004C23F4" w14:paraId="6AC6B01F" w14:textId="77777777" w:rsidTr="008E0FF1">
        <w:trPr>
          <w:cantSplit/>
        </w:trPr>
        <w:tc>
          <w:tcPr>
            <w:tcW w:w="3227" w:type="dxa"/>
          </w:tcPr>
          <w:p w14:paraId="1D801CB0" w14:textId="77777777" w:rsidR="004079B4" w:rsidRPr="004C23F4" w:rsidRDefault="007925F0" w:rsidP="00F4402E">
            <w:pPr>
              <w:pStyle w:val="Tablefont"/>
            </w:pPr>
            <w:r>
              <w:t>HCIS</w:t>
            </w:r>
          </w:p>
        </w:tc>
        <w:tc>
          <w:tcPr>
            <w:tcW w:w="6015" w:type="dxa"/>
          </w:tcPr>
          <w:p w14:paraId="56D9560A" w14:textId="77777777" w:rsidR="007925F0" w:rsidRPr="00DD2F9B" w:rsidRDefault="002224B6" w:rsidP="00DD2F9B">
            <w:pPr>
              <w:pStyle w:val="Tablefont"/>
            </w:pPr>
            <w:r>
              <w:t>—</w:t>
            </w:r>
          </w:p>
        </w:tc>
      </w:tr>
      <w:tr w:rsidR="00AF483F" w:rsidRPr="004C23F4" w14:paraId="5435AB8B" w14:textId="77777777" w:rsidTr="008E0FF1">
        <w:trPr>
          <w:cantSplit/>
        </w:trPr>
        <w:tc>
          <w:tcPr>
            <w:tcW w:w="3227" w:type="dxa"/>
          </w:tcPr>
          <w:p w14:paraId="635F8414" w14:textId="77777777" w:rsidR="00AF483F" w:rsidRPr="004C23F4" w:rsidRDefault="00AF483F" w:rsidP="00F4402E">
            <w:pPr>
              <w:pStyle w:val="Tablefont"/>
            </w:pPr>
            <w:r>
              <w:t>NICNAS</w:t>
            </w:r>
          </w:p>
        </w:tc>
        <w:tc>
          <w:tcPr>
            <w:tcW w:w="6015" w:type="dxa"/>
          </w:tcPr>
          <w:p w14:paraId="625AE5FB" w14:textId="77777777" w:rsidR="00AF483F" w:rsidRPr="00DD2F9B" w:rsidRDefault="002224B6" w:rsidP="00DD2F9B">
            <w:pPr>
              <w:pStyle w:val="Tablefont"/>
            </w:pPr>
            <w:r>
              <w:t>—</w:t>
            </w:r>
          </w:p>
        </w:tc>
      </w:tr>
      <w:tr w:rsidR="00687890" w:rsidRPr="004C23F4" w14:paraId="4672ED3F" w14:textId="77777777" w:rsidTr="008E0FF1">
        <w:trPr>
          <w:cantSplit/>
        </w:trPr>
        <w:tc>
          <w:tcPr>
            <w:tcW w:w="3227" w:type="dxa"/>
          </w:tcPr>
          <w:p w14:paraId="2A02D9C6" w14:textId="77777777" w:rsidR="004079B4" w:rsidRPr="004C23F4" w:rsidRDefault="00687890" w:rsidP="00F4402E">
            <w:pPr>
              <w:pStyle w:val="Tablefont"/>
            </w:pPr>
            <w:r w:rsidRPr="004C23F4">
              <w:t>EU Annex</w:t>
            </w:r>
          </w:p>
        </w:tc>
        <w:tc>
          <w:tcPr>
            <w:tcW w:w="6015" w:type="dxa"/>
          </w:tcPr>
          <w:p w14:paraId="4A695872" w14:textId="77777777" w:rsidR="00687890" w:rsidRPr="00DD2F9B" w:rsidRDefault="002224B6" w:rsidP="00DD2F9B">
            <w:pPr>
              <w:pStyle w:val="Tablefont"/>
            </w:pPr>
            <w:r>
              <w:t>—</w:t>
            </w:r>
          </w:p>
        </w:tc>
      </w:tr>
      <w:tr w:rsidR="00E41A26" w:rsidRPr="004C23F4" w14:paraId="29829818" w14:textId="77777777" w:rsidTr="008E0FF1">
        <w:trPr>
          <w:cantSplit/>
        </w:trPr>
        <w:tc>
          <w:tcPr>
            <w:tcW w:w="3227" w:type="dxa"/>
          </w:tcPr>
          <w:p w14:paraId="42046FF0" w14:textId="77777777" w:rsidR="00E41A26" w:rsidRDefault="00E41A26" w:rsidP="00F4402E">
            <w:pPr>
              <w:pStyle w:val="Tablefont"/>
            </w:pPr>
            <w:r>
              <w:t>ECHA</w:t>
            </w:r>
          </w:p>
        </w:tc>
        <w:tc>
          <w:tcPr>
            <w:tcW w:w="6015" w:type="dxa"/>
          </w:tcPr>
          <w:p w14:paraId="3F47332A" w14:textId="77777777" w:rsidR="00E41A26" w:rsidRPr="00DD2F9B" w:rsidRDefault="002224B6" w:rsidP="00DD2F9B">
            <w:pPr>
              <w:pStyle w:val="Tablefont"/>
            </w:pPr>
            <w:r>
              <w:t>—</w:t>
            </w:r>
          </w:p>
        </w:tc>
      </w:tr>
      <w:tr w:rsidR="002E0D61" w:rsidRPr="004C23F4" w14:paraId="503179F3" w14:textId="77777777" w:rsidTr="008E0FF1">
        <w:trPr>
          <w:cantSplit/>
        </w:trPr>
        <w:tc>
          <w:tcPr>
            <w:tcW w:w="3227" w:type="dxa"/>
          </w:tcPr>
          <w:p w14:paraId="12118F49" w14:textId="77777777" w:rsidR="004079B4" w:rsidRPr="004C23F4" w:rsidRDefault="002E0D61" w:rsidP="00F4402E">
            <w:pPr>
              <w:pStyle w:val="Tablefont"/>
            </w:pPr>
            <w:r>
              <w:t>ACGIH</w:t>
            </w:r>
          </w:p>
        </w:tc>
        <w:tc>
          <w:tcPr>
            <w:tcW w:w="6015" w:type="dxa"/>
          </w:tcPr>
          <w:p w14:paraId="46B2B0B2" w14:textId="77777777" w:rsidR="002E0D61" w:rsidRPr="00DD2F9B" w:rsidRDefault="00E32A09" w:rsidP="00DD2F9B">
            <w:pPr>
              <w:pStyle w:val="Tablefont"/>
            </w:pPr>
            <w:r w:rsidRPr="00E32A09">
              <w:t>Carcinogenicity – A4</w:t>
            </w:r>
            <w:r>
              <w:t>, Skin</w:t>
            </w:r>
          </w:p>
        </w:tc>
      </w:tr>
      <w:tr w:rsidR="002E0D61" w:rsidRPr="004C23F4" w14:paraId="5BC2BD72" w14:textId="77777777" w:rsidTr="008E0FF1">
        <w:trPr>
          <w:cantSplit/>
        </w:trPr>
        <w:tc>
          <w:tcPr>
            <w:tcW w:w="3227" w:type="dxa"/>
          </w:tcPr>
          <w:p w14:paraId="15203E97" w14:textId="77777777" w:rsidR="004079B4" w:rsidRPr="004C23F4" w:rsidRDefault="002E0D61" w:rsidP="00F4402E">
            <w:pPr>
              <w:pStyle w:val="Tablefont"/>
            </w:pPr>
            <w:r>
              <w:t>DFG</w:t>
            </w:r>
          </w:p>
        </w:tc>
        <w:tc>
          <w:tcPr>
            <w:tcW w:w="6015" w:type="dxa"/>
          </w:tcPr>
          <w:p w14:paraId="110DDC22" w14:textId="77777777" w:rsidR="002E0D61" w:rsidRPr="00DD2F9B" w:rsidRDefault="00A46FEB" w:rsidP="00DD2F9B">
            <w:pPr>
              <w:pStyle w:val="Tablefont"/>
            </w:pPr>
            <w:r>
              <w:t>—</w:t>
            </w:r>
          </w:p>
        </w:tc>
      </w:tr>
      <w:tr w:rsidR="002E0D61" w:rsidRPr="004C23F4" w14:paraId="2BAFF1F3" w14:textId="77777777" w:rsidTr="008E0FF1">
        <w:trPr>
          <w:cantSplit/>
        </w:trPr>
        <w:tc>
          <w:tcPr>
            <w:tcW w:w="3227" w:type="dxa"/>
          </w:tcPr>
          <w:p w14:paraId="58EAA7FD" w14:textId="77777777" w:rsidR="004079B4" w:rsidRPr="004C23F4" w:rsidRDefault="002E0D61" w:rsidP="00F4402E">
            <w:pPr>
              <w:pStyle w:val="Tablefont"/>
            </w:pPr>
            <w:r>
              <w:t>SCOEL</w:t>
            </w:r>
          </w:p>
        </w:tc>
        <w:tc>
          <w:tcPr>
            <w:tcW w:w="6015" w:type="dxa"/>
          </w:tcPr>
          <w:p w14:paraId="3D3B6C21" w14:textId="77777777" w:rsidR="002E0D61" w:rsidRPr="00DD2F9B" w:rsidRDefault="00476903" w:rsidP="00DD2F9B">
            <w:pPr>
              <w:pStyle w:val="Tablefont"/>
            </w:pPr>
            <w:r>
              <w:t>Skin</w:t>
            </w:r>
          </w:p>
        </w:tc>
      </w:tr>
      <w:tr w:rsidR="002E0D61" w:rsidRPr="004C23F4" w14:paraId="576B8788" w14:textId="77777777" w:rsidTr="008E0FF1">
        <w:trPr>
          <w:cantSplit/>
        </w:trPr>
        <w:tc>
          <w:tcPr>
            <w:tcW w:w="3227" w:type="dxa"/>
          </w:tcPr>
          <w:p w14:paraId="17E1C774" w14:textId="77777777" w:rsidR="004079B4" w:rsidRDefault="002E0D61" w:rsidP="00F4402E">
            <w:pPr>
              <w:pStyle w:val="Tablefont"/>
            </w:pPr>
            <w:r>
              <w:lastRenderedPageBreak/>
              <w:t>HCOTN</w:t>
            </w:r>
          </w:p>
        </w:tc>
        <w:tc>
          <w:tcPr>
            <w:tcW w:w="6015" w:type="dxa"/>
          </w:tcPr>
          <w:p w14:paraId="4BAD6E41" w14:textId="77777777" w:rsidR="002E0D61" w:rsidRPr="00DD2F9B" w:rsidRDefault="00744980" w:rsidP="00DD2F9B">
            <w:pPr>
              <w:pStyle w:val="Tablefont"/>
            </w:pPr>
            <w:r>
              <w:t>NA</w:t>
            </w:r>
          </w:p>
        </w:tc>
      </w:tr>
      <w:tr w:rsidR="00386093" w:rsidRPr="004C23F4" w14:paraId="13D8DEDA" w14:textId="77777777" w:rsidTr="008E0FF1">
        <w:trPr>
          <w:cantSplit/>
        </w:trPr>
        <w:tc>
          <w:tcPr>
            <w:tcW w:w="3227" w:type="dxa"/>
          </w:tcPr>
          <w:p w14:paraId="533B5707" w14:textId="77777777" w:rsidR="004079B4" w:rsidRDefault="00386093" w:rsidP="00F4402E">
            <w:pPr>
              <w:pStyle w:val="Tablefont"/>
            </w:pPr>
            <w:r>
              <w:t>IARC</w:t>
            </w:r>
          </w:p>
        </w:tc>
        <w:tc>
          <w:tcPr>
            <w:tcW w:w="6015" w:type="dxa"/>
          </w:tcPr>
          <w:p w14:paraId="26869397" w14:textId="77777777" w:rsidR="00386093" w:rsidRPr="00DD2F9B" w:rsidRDefault="00290764" w:rsidP="00DD2F9B">
            <w:pPr>
              <w:pStyle w:val="Tablefont"/>
            </w:pPr>
            <w:r>
              <w:t>NA</w:t>
            </w:r>
          </w:p>
        </w:tc>
      </w:tr>
      <w:tr w:rsidR="00386093" w:rsidRPr="004C23F4" w14:paraId="0A1ECC61" w14:textId="77777777" w:rsidTr="008E0FF1">
        <w:trPr>
          <w:cantSplit/>
        </w:trPr>
        <w:tc>
          <w:tcPr>
            <w:tcW w:w="3227" w:type="dxa"/>
          </w:tcPr>
          <w:p w14:paraId="01EA0041" w14:textId="77777777" w:rsidR="004079B4" w:rsidRDefault="00386093" w:rsidP="00F4402E">
            <w:pPr>
              <w:pStyle w:val="Tablefont"/>
              <w:keepNext/>
            </w:pPr>
            <w:r>
              <w:t>US NIOSH</w:t>
            </w:r>
          </w:p>
        </w:tc>
        <w:tc>
          <w:tcPr>
            <w:tcW w:w="6015" w:type="dxa"/>
          </w:tcPr>
          <w:p w14:paraId="091873CA" w14:textId="77777777" w:rsidR="00386093" w:rsidRPr="00DD2F9B" w:rsidRDefault="0070054B" w:rsidP="00D87570">
            <w:pPr>
              <w:pStyle w:val="Tablefont"/>
              <w:keepNext/>
            </w:pPr>
            <w:r>
              <w:t>NA</w:t>
            </w:r>
          </w:p>
        </w:tc>
      </w:tr>
    </w:tbl>
    <w:bookmarkEnd w:id="3"/>
    <w:p w14:paraId="5A934DFD"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6023CCA9" w14:textId="77777777" w:rsidR="00474E33" w:rsidRDefault="00474E3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4327F423" w14:textId="77777777" w:rsidTr="00EA6243">
        <w:trPr>
          <w:cantSplit/>
          <w:tblHeader/>
        </w:trPr>
        <w:tc>
          <w:tcPr>
            <w:tcW w:w="5000" w:type="pct"/>
            <w:shd w:val="clear" w:color="auto" w:fill="BFBFBF" w:themeFill="background1" w:themeFillShade="BF"/>
            <w:vAlign w:val="center"/>
          </w:tcPr>
          <w:p w14:paraId="586F5BF7" w14:textId="77777777" w:rsidR="00932DCE" w:rsidRPr="004C23F4" w:rsidRDefault="00932DCE" w:rsidP="00F4402E">
            <w:pPr>
              <w:pStyle w:val="Tableheader"/>
              <w:keepNext/>
              <w:tabs>
                <w:tab w:val="right" w:pos="8800"/>
              </w:tabs>
            </w:pPr>
            <w:bookmarkStart w:id="4" w:name="SkinNot"/>
            <w:r>
              <w:t>Calculation</w:t>
            </w:r>
            <w:r w:rsidR="00177CA1">
              <w:tab/>
            </w:r>
          </w:p>
        </w:tc>
      </w:tr>
      <w:tr w:rsidR="00932DCE" w:rsidRPr="004C23F4" w14:paraId="753F0D96" w14:textId="77777777" w:rsidTr="00EA6243">
        <w:trPr>
          <w:cantSplit/>
          <w:tblHeader/>
        </w:trPr>
        <w:tc>
          <w:tcPr>
            <w:tcW w:w="5000" w:type="pct"/>
            <w:vAlign w:val="center"/>
          </w:tcPr>
          <w:tbl>
            <w:tblPr>
              <w:tblW w:w="9206" w:type="dxa"/>
              <w:tblLook w:val="04A0" w:firstRow="1" w:lastRow="0" w:firstColumn="1" w:lastColumn="0" w:noHBand="0" w:noVBand="1"/>
            </w:tblPr>
            <w:tblGrid>
              <w:gridCol w:w="3580"/>
              <w:gridCol w:w="1061"/>
              <w:gridCol w:w="1061"/>
              <w:gridCol w:w="3108"/>
            </w:tblGrid>
            <w:tr w:rsidR="00CB76BC" w:rsidRPr="00CB76BC" w14:paraId="252E69A7" w14:textId="77777777" w:rsidTr="00CB76BC">
              <w:trPr>
                <w:trHeight w:val="231"/>
              </w:trPr>
              <w:tc>
                <w:tcPr>
                  <w:tcW w:w="3748" w:type="dxa"/>
                  <w:tcBorders>
                    <w:top w:val="nil"/>
                    <w:left w:val="nil"/>
                    <w:bottom w:val="nil"/>
                    <w:right w:val="nil"/>
                  </w:tcBorders>
                  <w:shd w:val="clear" w:color="000000" w:fill="C5D9F1"/>
                  <w:noWrap/>
                  <w:vAlign w:val="center"/>
                  <w:hideMark/>
                </w:tcPr>
                <w:p w14:paraId="6ECDC1A5" w14:textId="77777777" w:rsidR="00CB76BC" w:rsidRPr="00CB76BC" w:rsidRDefault="00CB76BC" w:rsidP="00CB76BC">
                  <w:pPr>
                    <w:spacing w:after="0" w:line="240" w:lineRule="auto"/>
                    <w:jc w:val="right"/>
                    <w:rPr>
                      <w:rFonts w:ascii="Segoe UI" w:eastAsia="Times New Roman" w:hAnsi="Segoe UI" w:cs="Segoe UI"/>
                      <w:color w:val="000000"/>
                      <w:sz w:val="18"/>
                      <w:szCs w:val="18"/>
                      <w:lang w:eastAsia="en-AU"/>
                    </w:rPr>
                  </w:pPr>
                  <w:r w:rsidRPr="00CB76BC">
                    <w:rPr>
                      <w:rFonts w:ascii="Segoe UI" w:eastAsia="Times New Roman" w:hAnsi="Segoe UI" w:cs="Segoe UI"/>
                      <w:color w:val="000000"/>
                      <w:sz w:val="18"/>
                      <w:szCs w:val="18"/>
                      <w:lang w:eastAsia="en-AU"/>
                    </w:rPr>
                    <w:t>Adverse effects in human case study:</w:t>
                  </w:r>
                </w:p>
              </w:tc>
              <w:tc>
                <w:tcPr>
                  <w:tcW w:w="1103" w:type="dxa"/>
                  <w:tcBorders>
                    <w:top w:val="nil"/>
                    <w:left w:val="nil"/>
                    <w:bottom w:val="nil"/>
                    <w:right w:val="nil"/>
                  </w:tcBorders>
                  <w:shd w:val="clear" w:color="000000" w:fill="C5D9F1"/>
                  <w:noWrap/>
                  <w:vAlign w:val="center"/>
                  <w:hideMark/>
                </w:tcPr>
                <w:p w14:paraId="668ADC76" w14:textId="77777777" w:rsidR="00CB76BC" w:rsidRPr="00CB76BC" w:rsidRDefault="00CB76BC" w:rsidP="00CB76BC">
                  <w:pPr>
                    <w:spacing w:after="0" w:line="240" w:lineRule="auto"/>
                    <w:jc w:val="center"/>
                    <w:rPr>
                      <w:rFonts w:ascii="Segoe UI" w:eastAsia="Times New Roman" w:hAnsi="Segoe UI" w:cs="Segoe UI"/>
                      <w:color w:val="000000"/>
                      <w:sz w:val="18"/>
                      <w:szCs w:val="18"/>
                      <w:lang w:eastAsia="en-AU"/>
                    </w:rPr>
                  </w:pPr>
                  <w:r w:rsidRPr="00CB76BC">
                    <w:rPr>
                      <w:rFonts w:ascii="Segoe UI" w:eastAsia="Times New Roman" w:hAnsi="Segoe UI" w:cs="Segoe UI"/>
                      <w:color w:val="000000"/>
                      <w:sz w:val="18"/>
                      <w:szCs w:val="18"/>
                      <w:lang w:eastAsia="en-AU"/>
                    </w:rPr>
                    <w:t> </w:t>
                  </w:r>
                </w:p>
              </w:tc>
              <w:tc>
                <w:tcPr>
                  <w:tcW w:w="1103" w:type="dxa"/>
                  <w:tcBorders>
                    <w:top w:val="nil"/>
                    <w:left w:val="nil"/>
                    <w:bottom w:val="nil"/>
                    <w:right w:val="nil"/>
                  </w:tcBorders>
                  <w:shd w:val="clear" w:color="000000" w:fill="C5D9F1"/>
                  <w:noWrap/>
                  <w:vAlign w:val="center"/>
                  <w:hideMark/>
                </w:tcPr>
                <w:p w14:paraId="78388F14" w14:textId="77777777" w:rsidR="00CB76BC" w:rsidRPr="00CB76BC" w:rsidRDefault="00CB76BC" w:rsidP="00CB76BC">
                  <w:pPr>
                    <w:spacing w:after="0" w:line="240" w:lineRule="auto"/>
                    <w:rPr>
                      <w:rFonts w:ascii="Segoe UI" w:eastAsia="Times New Roman" w:hAnsi="Segoe UI" w:cs="Segoe UI"/>
                      <w:color w:val="C5D9F1"/>
                      <w:sz w:val="18"/>
                      <w:szCs w:val="18"/>
                      <w:lang w:eastAsia="en-AU"/>
                    </w:rPr>
                  </w:pPr>
                  <w:r w:rsidRPr="00CB76BC">
                    <w:rPr>
                      <w:rFonts w:ascii="Segoe UI" w:eastAsia="Times New Roman" w:hAnsi="Segoe UI" w:cs="Segoe UI"/>
                      <w:color w:val="C5D9F1"/>
                      <w:sz w:val="18"/>
                      <w:szCs w:val="18"/>
                      <w:lang w:eastAsia="en-AU"/>
                    </w:rPr>
                    <w:t> </w:t>
                  </w:r>
                </w:p>
              </w:tc>
              <w:tc>
                <w:tcPr>
                  <w:tcW w:w="3252" w:type="dxa"/>
                  <w:tcBorders>
                    <w:top w:val="nil"/>
                    <w:left w:val="nil"/>
                    <w:bottom w:val="nil"/>
                    <w:right w:val="nil"/>
                  </w:tcBorders>
                  <w:shd w:val="clear" w:color="000000" w:fill="C5D9F1"/>
                  <w:noWrap/>
                  <w:vAlign w:val="center"/>
                  <w:hideMark/>
                </w:tcPr>
                <w:p w14:paraId="2CD5E7E8" w14:textId="77777777" w:rsidR="00CB76BC" w:rsidRPr="00CB76BC" w:rsidRDefault="00CB76BC" w:rsidP="00CB76BC">
                  <w:pPr>
                    <w:spacing w:after="0" w:line="240" w:lineRule="auto"/>
                    <w:rPr>
                      <w:rFonts w:ascii="Segoe UI" w:eastAsia="Times New Roman" w:hAnsi="Segoe UI" w:cs="Segoe UI"/>
                      <w:color w:val="000000"/>
                      <w:sz w:val="18"/>
                      <w:szCs w:val="18"/>
                      <w:lang w:eastAsia="en-AU"/>
                    </w:rPr>
                  </w:pPr>
                  <w:r w:rsidRPr="00CB76BC">
                    <w:rPr>
                      <w:rFonts w:ascii="Segoe UI" w:eastAsia="Times New Roman" w:hAnsi="Segoe UI" w:cs="Segoe UI"/>
                      <w:color w:val="000000"/>
                      <w:sz w:val="18"/>
                      <w:szCs w:val="18"/>
                      <w:lang w:eastAsia="en-AU"/>
                    </w:rPr>
                    <w:t> </w:t>
                  </w:r>
                </w:p>
              </w:tc>
            </w:tr>
            <w:tr w:rsidR="00CB76BC" w:rsidRPr="00CB76BC" w14:paraId="4227B236" w14:textId="77777777" w:rsidTr="00CB76BC">
              <w:trPr>
                <w:trHeight w:val="231"/>
              </w:trPr>
              <w:tc>
                <w:tcPr>
                  <w:tcW w:w="3748" w:type="dxa"/>
                  <w:tcBorders>
                    <w:top w:val="nil"/>
                    <w:left w:val="nil"/>
                    <w:bottom w:val="nil"/>
                    <w:right w:val="nil"/>
                  </w:tcBorders>
                  <w:shd w:val="clear" w:color="000000" w:fill="C5D9F1"/>
                  <w:noWrap/>
                  <w:vAlign w:val="center"/>
                  <w:hideMark/>
                </w:tcPr>
                <w:p w14:paraId="0097F241" w14:textId="77777777" w:rsidR="00CB76BC" w:rsidRPr="00CB76BC" w:rsidRDefault="00CB76BC" w:rsidP="00CB76BC">
                  <w:pPr>
                    <w:spacing w:after="0" w:line="240" w:lineRule="auto"/>
                    <w:jc w:val="right"/>
                    <w:rPr>
                      <w:rFonts w:ascii="Segoe UI" w:eastAsia="Times New Roman" w:hAnsi="Segoe UI" w:cs="Segoe UI"/>
                      <w:color w:val="000000"/>
                      <w:sz w:val="18"/>
                      <w:szCs w:val="18"/>
                      <w:lang w:eastAsia="en-AU"/>
                    </w:rPr>
                  </w:pPr>
                  <w:r w:rsidRPr="00CB76BC">
                    <w:rPr>
                      <w:rFonts w:ascii="Segoe UI" w:eastAsia="Times New Roman" w:hAnsi="Segoe UI" w:cs="Segoe UI"/>
                      <w:color w:val="000000"/>
                      <w:sz w:val="18"/>
                      <w:szCs w:val="18"/>
                      <w:lang w:eastAsia="en-AU"/>
                    </w:rPr>
                    <w:t>Dermal LD</w:t>
                  </w:r>
                  <w:r w:rsidRPr="00CB76BC">
                    <w:rPr>
                      <w:rFonts w:ascii="Segoe UI" w:eastAsia="Times New Roman" w:hAnsi="Segoe UI" w:cs="Segoe UI"/>
                      <w:color w:val="000000"/>
                      <w:sz w:val="18"/>
                      <w:szCs w:val="18"/>
                      <w:vertAlign w:val="subscript"/>
                      <w:lang w:eastAsia="en-AU"/>
                    </w:rPr>
                    <w:t>50</w:t>
                  </w:r>
                  <w:r w:rsidRPr="00CB76BC">
                    <w:rPr>
                      <w:rFonts w:ascii="Segoe UI" w:eastAsia="Times New Roman" w:hAnsi="Segoe UI" w:cs="Segoe UI"/>
                      <w:color w:val="000000"/>
                      <w:sz w:val="18"/>
                      <w:szCs w:val="18"/>
                      <w:lang w:eastAsia="en-AU"/>
                    </w:rPr>
                    <w:t xml:space="preserve"> ≤1000 mg/kg:</w:t>
                  </w:r>
                </w:p>
              </w:tc>
              <w:tc>
                <w:tcPr>
                  <w:tcW w:w="1103" w:type="dxa"/>
                  <w:tcBorders>
                    <w:top w:val="nil"/>
                    <w:left w:val="nil"/>
                    <w:bottom w:val="nil"/>
                    <w:right w:val="nil"/>
                  </w:tcBorders>
                  <w:shd w:val="clear" w:color="000000" w:fill="FFEB9C"/>
                  <w:noWrap/>
                  <w:vAlign w:val="center"/>
                  <w:hideMark/>
                </w:tcPr>
                <w:p w14:paraId="60355F22" w14:textId="77777777" w:rsidR="00CB76BC" w:rsidRPr="00CB76BC" w:rsidRDefault="00CB76BC" w:rsidP="00CB76BC">
                  <w:pPr>
                    <w:spacing w:after="0" w:line="240" w:lineRule="auto"/>
                    <w:jc w:val="center"/>
                    <w:rPr>
                      <w:rFonts w:ascii="Segoe UI" w:eastAsia="Times New Roman" w:hAnsi="Segoe UI" w:cs="Segoe UI"/>
                      <w:color w:val="9C6500"/>
                      <w:sz w:val="18"/>
                      <w:szCs w:val="18"/>
                      <w:lang w:eastAsia="en-AU"/>
                    </w:rPr>
                  </w:pPr>
                  <w:r w:rsidRPr="00CB76BC">
                    <w:rPr>
                      <w:rFonts w:ascii="Segoe UI" w:eastAsia="Times New Roman" w:hAnsi="Segoe UI" w:cs="Segoe UI"/>
                      <w:color w:val="9C6500"/>
                      <w:sz w:val="18"/>
                      <w:szCs w:val="18"/>
                      <w:lang w:eastAsia="en-AU"/>
                    </w:rPr>
                    <w:t>yes</w:t>
                  </w:r>
                </w:p>
              </w:tc>
              <w:tc>
                <w:tcPr>
                  <w:tcW w:w="1103" w:type="dxa"/>
                  <w:tcBorders>
                    <w:top w:val="nil"/>
                    <w:left w:val="nil"/>
                    <w:bottom w:val="nil"/>
                    <w:right w:val="nil"/>
                  </w:tcBorders>
                  <w:shd w:val="clear" w:color="000000" w:fill="C5D9F1"/>
                  <w:noWrap/>
                  <w:vAlign w:val="center"/>
                  <w:hideMark/>
                </w:tcPr>
                <w:p w14:paraId="7A8F8C0B" w14:textId="77777777" w:rsidR="00CB76BC" w:rsidRPr="00CB76BC" w:rsidRDefault="00CB76BC" w:rsidP="00CB76BC">
                  <w:pPr>
                    <w:spacing w:after="0" w:line="240" w:lineRule="auto"/>
                    <w:jc w:val="right"/>
                    <w:rPr>
                      <w:rFonts w:ascii="Segoe UI" w:eastAsia="Times New Roman" w:hAnsi="Segoe UI" w:cs="Segoe UI"/>
                      <w:color w:val="C5D9F1"/>
                      <w:sz w:val="18"/>
                      <w:szCs w:val="18"/>
                      <w:lang w:eastAsia="en-AU"/>
                    </w:rPr>
                  </w:pPr>
                  <w:r w:rsidRPr="00CB76BC">
                    <w:rPr>
                      <w:rFonts w:ascii="Segoe UI" w:eastAsia="Times New Roman" w:hAnsi="Segoe UI" w:cs="Segoe UI"/>
                      <w:color w:val="C5D9F1"/>
                      <w:sz w:val="18"/>
                      <w:szCs w:val="18"/>
                      <w:lang w:eastAsia="en-AU"/>
                    </w:rPr>
                    <w:t>3.00</w:t>
                  </w:r>
                </w:p>
              </w:tc>
              <w:tc>
                <w:tcPr>
                  <w:tcW w:w="3252" w:type="dxa"/>
                  <w:tcBorders>
                    <w:top w:val="nil"/>
                    <w:left w:val="nil"/>
                    <w:bottom w:val="nil"/>
                    <w:right w:val="nil"/>
                  </w:tcBorders>
                  <w:shd w:val="clear" w:color="000000" w:fill="C5D9F1"/>
                  <w:noWrap/>
                  <w:vAlign w:val="center"/>
                  <w:hideMark/>
                </w:tcPr>
                <w:p w14:paraId="6FFC6E7D" w14:textId="77777777" w:rsidR="00CB76BC" w:rsidRPr="00CB76BC" w:rsidRDefault="00CB76BC" w:rsidP="00CB76BC">
                  <w:pPr>
                    <w:spacing w:after="0" w:line="240" w:lineRule="auto"/>
                    <w:rPr>
                      <w:rFonts w:ascii="Segoe UI" w:eastAsia="Times New Roman" w:hAnsi="Segoe UI" w:cs="Segoe UI"/>
                      <w:color w:val="000000"/>
                      <w:sz w:val="18"/>
                      <w:szCs w:val="18"/>
                      <w:lang w:eastAsia="en-AU"/>
                    </w:rPr>
                  </w:pPr>
                  <w:r w:rsidRPr="00CB76BC">
                    <w:rPr>
                      <w:rFonts w:ascii="Segoe UI" w:eastAsia="Times New Roman" w:hAnsi="Segoe UI" w:cs="Segoe UI"/>
                      <w:color w:val="000000"/>
                      <w:sz w:val="18"/>
                      <w:szCs w:val="18"/>
                      <w:lang w:eastAsia="en-AU"/>
                    </w:rPr>
                    <w:t> </w:t>
                  </w:r>
                </w:p>
              </w:tc>
            </w:tr>
            <w:tr w:rsidR="00CB76BC" w:rsidRPr="00CB76BC" w14:paraId="22139DFA" w14:textId="77777777" w:rsidTr="00CB76BC">
              <w:trPr>
                <w:trHeight w:val="231"/>
              </w:trPr>
              <w:tc>
                <w:tcPr>
                  <w:tcW w:w="3748" w:type="dxa"/>
                  <w:tcBorders>
                    <w:top w:val="nil"/>
                    <w:left w:val="nil"/>
                    <w:bottom w:val="nil"/>
                    <w:right w:val="nil"/>
                  </w:tcBorders>
                  <w:shd w:val="clear" w:color="000000" w:fill="C5D9F1"/>
                  <w:noWrap/>
                  <w:vAlign w:val="center"/>
                  <w:hideMark/>
                </w:tcPr>
                <w:p w14:paraId="07ECA4C0" w14:textId="77777777" w:rsidR="00CB76BC" w:rsidRPr="00CB76BC" w:rsidRDefault="00CB76BC" w:rsidP="00CB76BC">
                  <w:pPr>
                    <w:spacing w:after="0" w:line="240" w:lineRule="auto"/>
                    <w:jc w:val="right"/>
                    <w:rPr>
                      <w:rFonts w:ascii="Segoe UI" w:eastAsia="Times New Roman" w:hAnsi="Segoe UI" w:cs="Segoe UI"/>
                      <w:color w:val="000000"/>
                      <w:sz w:val="18"/>
                      <w:szCs w:val="18"/>
                      <w:lang w:eastAsia="en-AU"/>
                    </w:rPr>
                  </w:pPr>
                  <w:r w:rsidRPr="00CB76BC">
                    <w:rPr>
                      <w:rFonts w:ascii="Segoe UI" w:eastAsia="Times New Roman" w:hAnsi="Segoe UI" w:cs="Segoe UI"/>
                      <w:color w:val="000000"/>
                      <w:sz w:val="18"/>
                      <w:szCs w:val="18"/>
                      <w:lang w:eastAsia="en-AU"/>
                    </w:rPr>
                    <w:t>Dermal repeat-dose NOAEL ≤200 mg/kg:</w:t>
                  </w:r>
                </w:p>
              </w:tc>
              <w:tc>
                <w:tcPr>
                  <w:tcW w:w="1103" w:type="dxa"/>
                  <w:tcBorders>
                    <w:top w:val="nil"/>
                    <w:left w:val="nil"/>
                    <w:bottom w:val="nil"/>
                    <w:right w:val="nil"/>
                  </w:tcBorders>
                  <w:shd w:val="clear" w:color="000000" w:fill="C5D9F1"/>
                  <w:noWrap/>
                  <w:vAlign w:val="center"/>
                  <w:hideMark/>
                </w:tcPr>
                <w:p w14:paraId="1C791924" w14:textId="77777777" w:rsidR="00CB76BC" w:rsidRPr="00CB76BC" w:rsidRDefault="00CB76BC" w:rsidP="00CB76BC">
                  <w:pPr>
                    <w:spacing w:after="0" w:line="240" w:lineRule="auto"/>
                    <w:jc w:val="center"/>
                    <w:rPr>
                      <w:rFonts w:ascii="Segoe UI" w:eastAsia="Times New Roman" w:hAnsi="Segoe UI" w:cs="Segoe UI"/>
                      <w:color w:val="000000"/>
                      <w:sz w:val="18"/>
                      <w:szCs w:val="18"/>
                      <w:lang w:eastAsia="en-AU"/>
                    </w:rPr>
                  </w:pPr>
                  <w:r w:rsidRPr="00CB76BC">
                    <w:rPr>
                      <w:rFonts w:ascii="Segoe UI" w:eastAsia="Times New Roman" w:hAnsi="Segoe UI" w:cs="Segoe UI"/>
                      <w:color w:val="000000"/>
                      <w:sz w:val="18"/>
                      <w:szCs w:val="18"/>
                      <w:lang w:eastAsia="en-AU"/>
                    </w:rPr>
                    <w:t> </w:t>
                  </w:r>
                </w:p>
              </w:tc>
              <w:tc>
                <w:tcPr>
                  <w:tcW w:w="1103" w:type="dxa"/>
                  <w:tcBorders>
                    <w:top w:val="nil"/>
                    <w:left w:val="nil"/>
                    <w:bottom w:val="nil"/>
                    <w:right w:val="nil"/>
                  </w:tcBorders>
                  <w:shd w:val="clear" w:color="000000" w:fill="C5D9F1"/>
                  <w:noWrap/>
                  <w:vAlign w:val="center"/>
                  <w:hideMark/>
                </w:tcPr>
                <w:p w14:paraId="6CC6472D" w14:textId="77777777" w:rsidR="00CB76BC" w:rsidRPr="00CB76BC" w:rsidRDefault="00CB76BC" w:rsidP="00CB76BC">
                  <w:pPr>
                    <w:spacing w:after="0" w:line="240" w:lineRule="auto"/>
                    <w:rPr>
                      <w:rFonts w:ascii="Segoe UI" w:eastAsia="Times New Roman" w:hAnsi="Segoe UI" w:cs="Segoe UI"/>
                      <w:color w:val="C5D9F1"/>
                      <w:sz w:val="18"/>
                      <w:szCs w:val="18"/>
                      <w:lang w:eastAsia="en-AU"/>
                    </w:rPr>
                  </w:pPr>
                  <w:r w:rsidRPr="00CB76BC">
                    <w:rPr>
                      <w:rFonts w:ascii="Segoe UI" w:eastAsia="Times New Roman" w:hAnsi="Segoe UI" w:cs="Segoe UI"/>
                      <w:color w:val="C5D9F1"/>
                      <w:sz w:val="18"/>
                      <w:szCs w:val="18"/>
                      <w:lang w:eastAsia="en-AU"/>
                    </w:rPr>
                    <w:t> </w:t>
                  </w:r>
                </w:p>
              </w:tc>
              <w:tc>
                <w:tcPr>
                  <w:tcW w:w="3252" w:type="dxa"/>
                  <w:tcBorders>
                    <w:top w:val="nil"/>
                    <w:left w:val="nil"/>
                    <w:bottom w:val="nil"/>
                    <w:right w:val="nil"/>
                  </w:tcBorders>
                  <w:shd w:val="clear" w:color="000000" w:fill="C5D9F1"/>
                  <w:noWrap/>
                  <w:vAlign w:val="center"/>
                  <w:hideMark/>
                </w:tcPr>
                <w:p w14:paraId="0DA58608" w14:textId="77777777" w:rsidR="00CB76BC" w:rsidRPr="00CB76BC" w:rsidRDefault="00CB76BC" w:rsidP="00CB76BC">
                  <w:pPr>
                    <w:spacing w:after="0" w:line="240" w:lineRule="auto"/>
                    <w:rPr>
                      <w:rFonts w:ascii="Segoe UI" w:eastAsia="Times New Roman" w:hAnsi="Segoe UI" w:cs="Segoe UI"/>
                      <w:color w:val="000000"/>
                      <w:sz w:val="18"/>
                      <w:szCs w:val="18"/>
                      <w:lang w:eastAsia="en-AU"/>
                    </w:rPr>
                  </w:pPr>
                  <w:r w:rsidRPr="00CB76BC">
                    <w:rPr>
                      <w:rFonts w:ascii="Segoe UI" w:eastAsia="Times New Roman" w:hAnsi="Segoe UI" w:cs="Segoe UI"/>
                      <w:color w:val="000000"/>
                      <w:sz w:val="18"/>
                      <w:szCs w:val="18"/>
                      <w:lang w:eastAsia="en-AU"/>
                    </w:rPr>
                    <w:t> </w:t>
                  </w:r>
                </w:p>
              </w:tc>
            </w:tr>
            <w:tr w:rsidR="00CB76BC" w:rsidRPr="00CB76BC" w14:paraId="3A31BFC2" w14:textId="77777777" w:rsidTr="00CB76BC">
              <w:trPr>
                <w:trHeight w:val="231"/>
              </w:trPr>
              <w:tc>
                <w:tcPr>
                  <w:tcW w:w="3748" w:type="dxa"/>
                  <w:tcBorders>
                    <w:top w:val="nil"/>
                    <w:left w:val="nil"/>
                    <w:bottom w:val="nil"/>
                    <w:right w:val="nil"/>
                  </w:tcBorders>
                  <w:shd w:val="clear" w:color="000000" w:fill="C5D9F1"/>
                  <w:noWrap/>
                  <w:vAlign w:val="center"/>
                  <w:hideMark/>
                </w:tcPr>
                <w:p w14:paraId="65A034B8" w14:textId="77777777" w:rsidR="00CB76BC" w:rsidRPr="00CB76BC" w:rsidRDefault="00CB76BC" w:rsidP="00CB76BC">
                  <w:pPr>
                    <w:spacing w:after="0" w:line="240" w:lineRule="auto"/>
                    <w:jc w:val="right"/>
                    <w:rPr>
                      <w:rFonts w:ascii="Segoe UI" w:eastAsia="Times New Roman" w:hAnsi="Segoe UI" w:cs="Segoe UI"/>
                      <w:color w:val="000000"/>
                      <w:sz w:val="18"/>
                      <w:szCs w:val="18"/>
                      <w:lang w:eastAsia="en-AU"/>
                    </w:rPr>
                  </w:pPr>
                  <w:r w:rsidRPr="00CB76BC">
                    <w:rPr>
                      <w:rFonts w:ascii="Segoe UI" w:eastAsia="Times New Roman" w:hAnsi="Segoe UI" w:cs="Segoe UI"/>
                      <w:color w:val="000000"/>
                      <w:sz w:val="18"/>
                      <w:szCs w:val="18"/>
                      <w:lang w:eastAsia="en-AU"/>
                    </w:rPr>
                    <w:t>Dermal LD</w:t>
                  </w:r>
                  <w:r w:rsidRPr="00CB76BC">
                    <w:rPr>
                      <w:rFonts w:ascii="Segoe UI" w:eastAsia="Times New Roman" w:hAnsi="Segoe UI" w:cs="Segoe UI"/>
                      <w:color w:val="000000"/>
                      <w:sz w:val="18"/>
                      <w:szCs w:val="18"/>
                      <w:vertAlign w:val="subscript"/>
                      <w:lang w:eastAsia="en-AU"/>
                    </w:rPr>
                    <w:t>50</w:t>
                  </w:r>
                  <w:r w:rsidRPr="00CB76BC">
                    <w:rPr>
                      <w:rFonts w:ascii="Segoe UI" w:eastAsia="Times New Roman" w:hAnsi="Segoe UI" w:cs="Segoe UI"/>
                      <w:color w:val="000000"/>
                      <w:sz w:val="18"/>
                      <w:szCs w:val="18"/>
                      <w:lang w:eastAsia="en-AU"/>
                    </w:rPr>
                    <w:t>/Inhalation LD</w:t>
                  </w:r>
                  <w:r w:rsidRPr="00CB76BC">
                    <w:rPr>
                      <w:rFonts w:ascii="Segoe UI" w:eastAsia="Times New Roman" w:hAnsi="Segoe UI" w:cs="Segoe UI"/>
                      <w:color w:val="000000"/>
                      <w:sz w:val="18"/>
                      <w:szCs w:val="18"/>
                      <w:vertAlign w:val="subscript"/>
                      <w:lang w:eastAsia="en-AU"/>
                    </w:rPr>
                    <w:t>50</w:t>
                  </w:r>
                  <w:r w:rsidRPr="00CB76BC">
                    <w:rPr>
                      <w:rFonts w:ascii="Segoe UI" w:eastAsia="Times New Roman" w:hAnsi="Segoe UI" w:cs="Segoe UI"/>
                      <w:color w:val="000000"/>
                      <w:sz w:val="18"/>
                      <w:szCs w:val="18"/>
                      <w:lang w:eastAsia="en-AU"/>
                    </w:rPr>
                    <w:t xml:space="preserve"> &lt;10:</w:t>
                  </w:r>
                </w:p>
              </w:tc>
              <w:tc>
                <w:tcPr>
                  <w:tcW w:w="1103" w:type="dxa"/>
                  <w:tcBorders>
                    <w:top w:val="nil"/>
                    <w:left w:val="nil"/>
                    <w:bottom w:val="nil"/>
                    <w:right w:val="nil"/>
                  </w:tcBorders>
                  <w:shd w:val="clear" w:color="000000" w:fill="FFEB9C"/>
                  <w:noWrap/>
                  <w:vAlign w:val="center"/>
                  <w:hideMark/>
                </w:tcPr>
                <w:p w14:paraId="4E1359D3" w14:textId="77777777" w:rsidR="00CB76BC" w:rsidRPr="00CB76BC" w:rsidRDefault="00CB76BC" w:rsidP="00CB76BC">
                  <w:pPr>
                    <w:spacing w:after="0" w:line="240" w:lineRule="auto"/>
                    <w:jc w:val="center"/>
                    <w:rPr>
                      <w:rFonts w:ascii="Segoe UI" w:eastAsia="Times New Roman" w:hAnsi="Segoe UI" w:cs="Segoe UI"/>
                      <w:color w:val="9C6500"/>
                      <w:sz w:val="18"/>
                      <w:szCs w:val="18"/>
                      <w:lang w:eastAsia="en-AU"/>
                    </w:rPr>
                  </w:pPr>
                  <w:r w:rsidRPr="00CB76BC">
                    <w:rPr>
                      <w:rFonts w:ascii="Segoe UI" w:eastAsia="Times New Roman" w:hAnsi="Segoe UI" w:cs="Segoe UI"/>
                      <w:color w:val="9C6500"/>
                      <w:sz w:val="18"/>
                      <w:szCs w:val="18"/>
                      <w:lang w:eastAsia="en-AU"/>
                    </w:rPr>
                    <w:t>yes</w:t>
                  </w:r>
                </w:p>
              </w:tc>
              <w:tc>
                <w:tcPr>
                  <w:tcW w:w="1103" w:type="dxa"/>
                  <w:tcBorders>
                    <w:top w:val="nil"/>
                    <w:left w:val="nil"/>
                    <w:bottom w:val="nil"/>
                    <w:right w:val="nil"/>
                  </w:tcBorders>
                  <w:shd w:val="clear" w:color="000000" w:fill="C5D9F1"/>
                  <w:noWrap/>
                  <w:vAlign w:val="center"/>
                  <w:hideMark/>
                </w:tcPr>
                <w:p w14:paraId="5769CB78" w14:textId="77777777" w:rsidR="00CB76BC" w:rsidRPr="00CB76BC" w:rsidRDefault="00CB76BC" w:rsidP="00CB76BC">
                  <w:pPr>
                    <w:spacing w:after="0" w:line="240" w:lineRule="auto"/>
                    <w:jc w:val="right"/>
                    <w:rPr>
                      <w:rFonts w:ascii="Segoe UI" w:eastAsia="Times New Roman" w:hAnsi="Segoe UI" w:cs="Segoe UI"/>
                      <w:color w:val="C5D9F1"/>
                      <w:sz w:val="18"/>
                      <w:szCs w:val="18"/>
                      <w:lang w:eastAsia="en-AU"/>
                    </w:rPr>
                  </w:pPr>
                  <w:r w:rsidRPr="00CB76BC">
                    <w:rPr>
                      <w:rFonts w:ascii="Segoe UI" w:eastAsia="Times New Roman" w:hAnsi="Segoe UI" w:cs="Segoe UI"/>
                      <w:color w:val="C5D9F1"/>
                      <w:sz w:val="18"/>
                      <w:szCs w:val="18"/>
                      <w:lang w:eastAsia="en-AU"/>
                    </w:rPr>
                    <w:t>3.00</w:t>
                  </w:r>
                </w:p>
              </w:tc>
              <w:tc>
                <w:tcPr>
                  <w:tcW w:w="3252" w:type="dxa"/>
                  <w:tcBorders>
                    <w:top w:val="nil"/>
                    <w:left w:val="nil"/>
                    <w:bottom w:val="nil"/>
                    <w:right w:val="nil"/>
                  </w:tcBorders>
                  <w:shd w:val="clear" w:color="000000" w:fill="C5D9F1"/>
                  <w:noWrap/>
                  <w:vAlign w:val="center"/>
                  <w:hideMark/>
                </w:tcPr>
                <w:p w14:paraId="10AF8FF1" w14:textId="77777777" w:rsidR="00CB76BC" w:rsidRPr="00CB76BC" w:rsidRDefault="00CB76BC" w:rsidP="00CB76BC">
                  <w:pPr>
                    <w:spacing w:after="0" w:line="240" w:lineRule="auto"/>
                    <w:rPr>
                      <w:rFonts w:ascii="Segoe UI" w:eastAsia="Times New Roman" w:hAnsi="Segoe UI" w:cs="Segoe UI"/>
                      <w:color w:val="000000"/>
                      <w:sz w:val="18"/>
                      <w:szCs w:val="18"/>
                      <w:lang w:eastAsia="en-AU"/>
                    </w:rPr>
                  </w:pPr>
                  <w:r w:rsidRPr="00CB76BC">
                    <w:rPr>
                      <w:rFonts w:ascii="Segoe UI" w:eastAsia="Times New Roman" w:hAnsi="Segoe UI" w:cs="Segoe UI"/>
                      <w:color w:val="000000"/>
                      <w:sz w:val="18"/>
                      <w:szCs w:val="18"/>
                      <w:lang w:eastAsia="en-AU"/>
                    </w:rPr>
                    <w:t> </w:t>
                  </w:r>
                </w:p>
              </w:tc>
            </w:tr>
            <w:tr w:rsidR="00CB76BC" w:rsidRPr="00CB76BC" w14:paraId="2E60ADD2" w14:textId="77777777" w:rsidTr="00CB76BC">
              <w:trPr>
                <w:trHeight w:val="231"/>
              </w:trPr>
              <w:tc>
                <w:tcPr>
                  <w:tcW w:w="3748" w:type="dxa"/>
                  <w:tcBorders>
                    <w:top w:val="nil"/>
                    <w:left w:val="nil"/>
                    <w:bottom w:val="nil"/>
                    <w:right w:val="nil"/>
                  </w:tcBorders>
                  <w:shd w:val="clear" w:color="000000" w:fill="C5D9F1"/>
                  <w:noWrap/>
                  <w:vAlign w:val="center"/>
                  <w:hideMark/>
                </w:tcPr>
                <w:p w14:paraId="21963997" w14:textId="77777777" w:rsidR="00CB76BC" w:rsidRPr="00CB76BC" w:rsidRDefault="00CB76BC" w:rsidP="00CB76BC">
                  <w:pPr>
                    <w:spacing w:after="0" w:line="240" w:lineRule="auto"/>
                    <w:jc w:val="right"/>
                    <w:rPr>
                      <w:rFonts w:ascii="Segoe UI" w:eastAsia="Times New Roman" w:hAnsi="Segoe UI" w:cs="Segoe UI"/>
                      <w:i/>
                      <w:iCs/>
                      <w:color w:val="000000"/>
                      <w:sz w:val="18"/>
                      <w:szCs w:val="18"/>
                      <w:lang w:eastAsia="en-AU"/>
                    </w:rPr>
                  </w:pPr>
                  <w:r w:rsidRPr="00CB76BC">
                    <w:rPr>
                      <w:rFonts w:ascii="Segoe UI" w:eastAsia="Times New Roman" w:hAnsi="Segoe UI" w:cs="Segoe UI"/>
                      <w:i/>
                      <w:iCs/>
                      <w:color w:val="000000"/>
                      <w:sz w:val="18"/>
                      <w:szCs w:val="18"/>
                      <w:lang w:eastAsia="en-AU"/>
                    </w:rPr>
                    <w:t>In vivo</w:t>
                  </w:r>
                  <w:r w:rsidRPr="00CB76BC">
                    <w:rPr>
                      <w:rFonts w:ascii="Segoe UI" w:eastAsia="Times New Roman" w:hAnsi="Segoe UI" w:cs="Segoe UI"/>
                      <w:color w:val="000000"/>
                      <w:sz w:val="18"/>
                      <w:szCs w:val="18"/>
                      <w:lang w:eastAsia="en-AU"/>
                    </w:rPr>
                    <w:t xml:space="preserve"> dermal absorption rate &gt;10%:</w:t>
                  </w:r>
                </w:p>
              </w:tc>
              <w:tc>
                <w:tcPr>
                  <w:tcW w:w="1103" w:type="dxa"/>
                  <w:tcBorders>
                    <w:top w:val="nil"/>
                    <w:left w:val="nil"/>
                    <w:bottom w:val="nil"/>
                    <w:right w:val="nil"/>
                  </w:tcBorders>
                  <w:shd w:val="clear" w:color="000000" w:fill="C5D9F1"/>
                  <w:noWrap/>
                  <w:vAlign w:val="center"/>
                  <w:hideMark/>
                </w:tcPr>
                <w:p w14:paraId="1B2C0D9B" w14:textId="77777777" w:rsidR="00CB76BC" w:rsidRPr="00CB76BC" w:rsidRDefault="00CB76BC" w:rsidP="00CB76BC">
                  <w:pPr>
                    <w:spacing w:after="0" w:line="240" w:lineRule="auto"/>
                    <w:jc w:val="center"/>
                    <w:rPr>
                      <w:rFonts w:ascii="Segoe UI" w:eastAsia="Times New Roman" w:hAnsi="Segoe UI" w:cs="Segoe UI"/>
                      <w:color w:val="000000"/>
                      <w:sz w:val="18"/>
                      <w:szCs w:val="18"/>
                      <w:lang w:eastAsia="en-AU"/>
                    </w:rPr>
                  </w:pPr>
                  <w:r w:rsidRPr="00CB76BC">
                    <w:rPr>
                      <w:rFonts w:ascii="Segoe UI" w:eastAsia="Times New Roman" w:hAnsi="Segoe UI" w:cs="Segoe UI"/>
                      <w:color w:val="000000"/>
                      <w:sz w:val="18"/>
                      <w:szCs w:val="18"/>
                      <w:lang w:eastAsia="en-AU"/>
                    </w:rPr>
                    <w:t> </w:t>
                  </w:r>
                </w:p>
              </w:tc>
              <w:tc>
                <w:tcPr>
                  <w:tcW w:w="1103" w:type="dxa"/>
                  <w:tcBorders>
                    <w:top w:val="nil"/>
                    <w:left w:val="nil"/>
                    <w:bottom w:val="nil"/>
                    <w:right w:val="nil"/>
                  </w:tcBorders>
                  <w:shd w:val="clear" w:color="000000" w:fill="C5D9F1"/>
                  <w:noWrap/>
                  <w:vAlign w:val="center"/>
                  <w:hideMark/>
                </w:tcPr>
                <w:p w14:paraId="0412AC2F" w14:textId="77777777" w:rsidR="00CB76BC" w:rsidRPr="00CB76BC" w:rsidRDefault="00CB76BC" w:rsidP="00CB76BC">
                  <w:pPr>
                    <w:spacing w:after="0" w:line="240" w:lineRule="auto"/>
                    <w:rPr>
                      <w:rFonts w:ascii="Segoe UI" w:eastAsia="Times New Roman" w:hAnsi="Segoe UI" w:cs="Segoe UI"/>
                      <w:color w:val="C5D9F1"/>
                      <w:sz w:val="18"/>
                      <w:szCs w:val="18"/>
                      <w:lang w:eastAsia="en-AU"/>
                    </w:rPr>
                  </w:pPr>
                  <w:r w:rsidRPr="00CB76BC">
                    <w:rPr>
                      <w:rFonts w:ascii="Segoe UI" w:eastAsia="Times New Roman" w:hAnsi="Segoe UI" w:cs="Segoe UI"/>
                      <w:color w:val="C5D9F1"/>
                      <w:sz w:val="18"/>
                      <w:szCs w:val="18"/>
                      <w:lang w:eastAsia="en-AU"/>
                    </w:rPr>
                    <w:t> </w:t>
                  </w:r>
                </w:p>
              </w:tc>
              <w:tc>
                <w:tcPr>
                  <w:tcW w:w="3252" w:type="dxa"/>
                  <w:tcBorders>
                    <w:top w:val="nil"/>
                    <w:left w:val="nil"/>
                    <w:bottom w:val="nil"/>
                    <w:right w:val="nil"/>
                  </w:tcBorders>
                  <w:shd w:val="clear" w:color="000000" w:fill="C5D9F1"/>
                  <w:noWrap/>
                  <w:vAlign w:val="center"/>
                  <w:hideMark/>
                </w:tcPr>
                <w:p w14:paraId="5B643561" w14:textId="77777777" w:rsidR="00CB76BC" w:rsidRPr="00CB76BC" w:rsidRDefault="00CB76BC" w:rsidP="00CB76BC">
                  <w:pPr>
                    <w:spacing w:after="0" w:line="240" w:lineRule="auto"/>
                    <w:rPr>
                      <w:rFonts w:ascii="Segoe UI" w:eastAsia="Times New Roman" w:hAnsi="Segoe UI" w:cs="Segoe UI"/>
                      <w:color w:val="000000"/>
                      <w:sz w:val="18"/>
                      <w:szCs w:val="18"/>
                      <w:lang w:eastAsia="en-AU"/>
                    </w:rPr>
                  </w:pPr>
                  <w:r w:rsidRPr="00CB76BC">
                    <w:rPr>
                      <w:rFonts w:ascii="Segoe UI" w:eastAsia="Times New Roman" w:hAnsi="Segoe UI" w:cs="Segoe UI"/>
                      <w:color w:val="000000"/>
                      <w:sz w:val="18"/>
                      <w:szCs w:val="18"/>
                      <w:lang w:eastAsia="en-AU"/>
                    </w:rPr>
                    <w:t> </w:t>
                  </w:r>
                </w:p>
              </w:tc>
            </w:tr>
            <w:tr w:rsidR="00CB76BC" w:rsidRPr="00CB76BC" w14:paraId="22D8855C" w14:textId="77777777" w:rsidTr="00CB76BC">
              <w:trPr>
                <w:trHeight w:val="231"/>
              </w:trPr>
              <w:tc>
                <w:tcPr>
                  <w:tcW w:w="3748" w:type="dxa"/>
                  <w:tcBorders>
                    <w:top w:val="nil"/>
                    <w:left w:val="nil"/>
                    <w:bottom w:val="nil"/>
                    <w:right w:val="nil"/>
                  </w:tcBorders>
                  <w:shd w:val="clear" w:color="000000" w:fill="C5D9F1"/>
                  <w:noWrap/>
                  <w:vAlign w:val="center"/>
                  <w:hideMark/>
                </w:tcPr>
                <w:p w14:paraId="4DF91420" w14:textId="77777777" w:rsidR="00CB76BC" w:rsidRPr="00CB76BC" w:rsidRDefault="00CB76BC" w:rsidP="00CB76BC">
                  <w:pPr>
                    <w:spacing w:after="0" w:line="240" w:lineRule="auto"/>
                    <w:jc w:val="right"/>
                    <w:rPr>
                      <w:rFonts w:ascii="Segoe UI" w:eastAsia="Times New Roman" w:hAnsi="Segoe UI" w:cs="Segoe UI"/>
                      <w:color w:val="000000"/>
                      <w:sz w:val="18"/>
                      <w:szCs w:val="18"/>
                      <w:lang w:eastAsia="en-AU"/>
                    </w:rPr>
                  </w:pPr>
                  <w:r w:rsidRPr="00CB76BC">
                    <w:rPr>
                      <w:rFonts w:ascii="Segoe UI" w:eastAsia="Times New Roman" w:hAnsi="Segoe UI" w:cs="Segoe UI"/>
                      <w:color w:val="000000"/>
                      <w:sz w:val="18"/>
                      <w:szCs w:val="18"/>
                      <w:lang w:eastAsia="en-AU"/>
                    </w:rPr>
                    <w:t>Estimated dermal exposure at WES &gt;10%:</w:t>
                  </w:r>
                </w:p>
              </w:tc>
              <w:tc>
                <w:tcPr>
                  <w:tcW w:w="1103" w:type="dxa"/>
                  <w:tcBorders>
                    <w:top w:val="nil"/>
                    <w:left w:val="nil"/>
                    <w:bottom w:val="nil"/>
                    <w:right w:val="nil"/>
                  </w:tcBorders>
                  <w:shd w:val="clear" w:color="000000" w:fill="C5D9F1"/>
                  <w:noWrap/>
                  <w:vAlign w:val="center"/>
                  <w:hideMark/>
                </w:tcPr>
                <w:p w14:paraId="6785EA5C" w14:textId="77777777" w:rsidR="00CB76BC" w:rsidRPr="00CB76BC" w:rsidRDefault="00CB76BC" w:rsidP="00CB76BC">
                  <w:pPr>
                    <w:spacing w:after="0" w:line="240" w:lineRule="auto"/>
                    <w:jc w:val="center"/>
                    <w:rPr>
                      <w:rFonts w:ascii="Segoe UI" w:eastAsia="Times New Roman" w:hAnsi="Segoe UI" w:cs="Segoe UI"/>
                      <w:color w:val="000000"/>
                      <w:sz w:val="18"/>
                      <w:szCs w:val="18"/>
                      <w:lang w:eastAsia="en-AU"/>
                    </w:rPr>
                  </w:pPr>
                  <w:r w:rsidRPr="00CB76BC">
                    <w:rPr>
                      <w:rFonts w:ascii="Segoe UI" w:eastAsia="Times New Roman" w:hAnsi="Segoe UI" w:cs="Segoe UI"/>
                      <w:color w:val="000000"/>
                      <w:sz w:val="18"/>
                      <w:szCs w:val="18"/>
                      <w:lang w:eastAsia="en-AU"/>
                    </w:rPr>
                    <w:t> </w:t>
                  </w:r>
                </w:p>
              </w:tc>
              <w:tc>
                <w:tcPr>
                  <w:tcW w:w="1103" w:type="dxa"/>
                  <w:tcBorders>
                    <w:top w:val="nil"/>
                    <w:left w:val="nil"/>
                    <w:bottom w:val="nil"/>
                    <w:right w:val="nil"/>
                  </w:tcBorders>
                  <w:shd w:val="clear" w:color="000000" w:fill="C5D9F1"/>
                  <w:noWrap/>
                  <w:vAlign w:val="center"/>
                  <w:hideMark/>
                </w:tcPr>
                <w:p w14:paraId="177CCA5A" w14:textId="77777777" w:rsidR="00CB76BC" w:rsidRPr="00CB76BC" w:rsidRDefault="00CB76BC" w:rsidP="00CB76BC">
                  <w:pPr>
                    <w:spacing w:after="0" w:line="240" w:lineRule="auto"/>
                    <w:rPr>
                      <w:rFonts w:ascii="Segoe UI" w:eastAsia="Times New Roman" w:hAnsi="Segoe UI" w:cs="Segoe UI"/>
                      <w:color w:val="C5D9F1"/>
                      <w:sz w:val="18"/>
                      <w:szCs w:val="18"/>
                      <w:lang w:eastAsia="en-AU"/>
                    </w:rPr>
                  </w:pPr>
                  <w:r w:rsidRPr="00CB76BC">
                    <w:rPr>
                      <w:rFonts w:ascii="Segoe UI" w:eastAsia="Times New Roman" w:hAnsi="Segoe UI" w:cs="Segoe UI"/>
                      <w:color w:val="C5D9F1"/>
                      <w:sz w:val="18"/>
                      <w:szCs w:val="18"/>
                      <w:lang w:eastAsia="en-AU"/>
                    </w:rPr>
                    <w:t> </w:t>
                  </w:r>
                </w:p>
              </w:tc>
              <w:tc>
                <w:tcPr>
                  <w:tcW w:w="3252" w:type="dxa"/>
                  <w:tcBorders>
                    <w:top w:val="nil"/>
                    <w:left w:val="nil"/>
                    <w:bottom w:val="nil"/>
                    <w:right w:val="nil"/>
                  </w:tcBorders>
                  <w:shd w:val="clear" w:color="000000" w:fill="C5D9F1"/>
                  <w:noWrap/>
                  <w:vAlign w:val="center"/>
                  <w:hideMark/>
                </w:tcPr>
                <w:p w14:paraId="296BACFF" w14:textId="77777777" w:rsidR="00CB76BC" w:rsidRPr="00CB76BC" w:rsidRDefault="00CB76BC" w:rsidP="00CB76BC">
                  <w:pPr>
                    <w:spacing w:after="0" w:line="240" w:lineRule="auto"/>
                    <w:rPr>
                      <w:rFonts w:ascii="Segoe UI" w:eastAsia="Times New Roman" w:hAnsi="Segoe UI" w:cs="Segoe UI"/>
                      <w:color w:val="000000"/>
                      <w:sz w:val="18"/>
                      <w:szCs w:val="18"/>
                      <w:lang w:eastAsia="en-AU"/>
                    </w:rPr>
                  </w:pPr>
                  <w:r w:rsidRPr="00CB76BC">
                    <w:rPr>
                      <w:rFonts w:ascii="Segoe UI" w:eastAsia="Times New Roman" w:hAnsi="Segoe UI" w:cs="Segoe UI"/>
                      <w:color w:val="000000"/>
                      <w:sz w:val="18"/>
                      <w:szCs w:val="18"/>
                      <w:lang w:eastAsia="en-AU"/>
                    </w:rPr>
                    <w:t> </w:t>
                  </w:r>
                </w:p>
              </w:tc>
            </w:tr>
            <w:tr w:rsidR="00CB76BC" w:rsidRPr="00CB76BC" w14:paraId="3DF8C5D7" w14:textId="77777777" w:rsidTr="00CB76BC">
              <w:trPr>
                <w:trHeight w:val="231"/>
              </w:trPr>
              <w:tc>
                <w:tcPr>
                  <w:tcW w:w="3748" w:type="dxa"/>
                  <w:tcBorders>
                    <w:top w:val="nil"/>
                    <w:left w:val="nil"/>
                    <w:bottom w:val="nil"/>
                    <w:right w:val="nil"/>
                  </w:tcBorders>
                  <w:shd w:val="clear" w:color="000000" w:fill="C5D9F1"/>
                  <w:noWrap/>
                  <w:vAlign w:val="center"/>
                  <w:hideMark/>
                </w:tcPr>
                <w:p w14:paraId="6780E247" w14:textId="77777777" w:rsidR="00CB76BC" w:rsidRPr="00CB76BC" w:rsidRDefault="00CB76BC" w:rsidP="00CB76BC">
                  <w:pPr>
                    <w:spacing w:after="0" w:line="240" w:lineRule="auto"/>
                    <w:jc w:val="right"/>
                    <w:rPr>
                      <w:rFonts w:ascii="Segoe UI" w:eastAsia="Times New Roman" w:hAnsi="Segoe UI" w:cs="Segoe UI"/>
                      <w:color w:val="000000"/>
                      <w:sz w:val="18"/>
                      <w:szCs w:val="18"/>
                      <w:lang w:eastAsia="en-AU"/>
                    </w:rPr>
                  </w:pPr>
                  <w:r w:rsidRPr="00CB76BC">
                    <w:rPr>
                      <w:rFonts w:ascii="Segoe UI" w:eastAsia="Times New Roman" w:hAnsi="Segoe UI" w:cs="Segoe UI"/>
                      <w:color w:val="000000"/>
                      <w:sz w:val="18"/>
                      <w:szCs w:val="18"/>
                      <w:lang w:eastAsia="en-AU"/>
                    </w:rPr>
                    <w:t> </w:t>
                  </w:r>
                </w:p>
              </w:tc>
              <w:tc>
                <w:tcPr>
                  <w:tcW w:w="1103" w:type="dxa"/>
                  <w:tcBorders>
                    <w:top w:val="nil"/>
                    <w:left w:val="nil"/>
                    <w:bottom w:val="nil"/>
                    <w:right w:val="nil"/>
                  </w:tcBorders>
                  <w:shd w:val="clear" w:color="000000" w:fill="C5D9F1"/>
                  <w:noWrap/>
                  <w:vAlign w:val="center"/>
                  <w:hideMark/>
                </w:tcPr>
                <w:p w14:paraId="56759F0D" w14:textId="77777777" w:rsidR="00CB76BC" w:rsidRPr="00CB76BC" w:rsidRDefault="00CB76BC" w:rsidP="00CB76BC">
                  <w:pPr>
                    <w:spacing w:after="0" w:line="240" w:lineRule="auto"/>
                    <w:jc w:val="center"/>
                    <w:rPr>
                      <w:rFonts w:ascii="Segoe UI" w:eastAsia="Times New Roman" w:hAnsi="Segoe UI" w:cs="Segoe UI"/>
                      <w:color w:val="000000"/>
                      <w:sz w:val="18"/>
                      <w:szCs w:val="18"/>
                      <w:lang w:eastAsia="en-AU"/>
                    </w:rPr>
                  </w:pPr>
                  <w:r w:rsidRPr="00CB76BC">
                    <w:rPr>
                      <w:rFonts w:ascii="Segoe UI" w:eastAsia="Times New Roman" w:hAnsi="Segoe UI" w:cs="Segoe UI"/>
                      <w:color w:val="000000"/>
                      <w:sz w:val="18"/>
                      <w:szCs w:val="18"/>
                      <w:lang w:eastAsia="en-AU"/>
                    </w:rPr>
                    <w:t> </w:t>
                  </w:r>
                </w:p>
              </w:tc>
              <w:tc>
                <w:tcPr>
                  <w:tcW w:w="1103" w:type="dxa"/>
                  <w:tcBorders>
                    <w:top w:val="nil"/>
                    <w:left w:val="nil"/>
                    <w:bottom w:val="nil"/>
                    <w:right w:val="nil"/>
                  </w:tcBorders>
                  <w:shd w:val="clear" w:color="000000" w:fill="C5D9F1"/>
                  <w:noWrap/>
                  <w:vAlign w:val="center"/>
                  <w:hideMark/>
                </w:tcPr>
                <w:p w14:paraId="796386B8" w14:textId="77777777" w:rsidR="00CB76BC" w:rsidRPr="00CB76BC" w:rsidRDefault="00CB76BC" w:rsidP="00CB76BC">
                  <w:pPr>
                    <w:spacing w:after="0" w:line="240" w:lineRule="auto"/>
                    <w:jc w:val="right"/>
                    <w:rPr>
                      <w:rFonts w:ascii="Segoe UI" w:eastAsia="Times New Roman" w:hAnsi="Segoe UI" w:cs="Segoe UI"/>
                      <w:color w:val="C5D9F1"/>
                      <w:sz w:val="18"/>
                      <w:szCs w:val="18"/>
                      <w:lang w:eastAsia="en-AU"/>
                    </w:rPr>
                  </w:pPr>
                  <w:r w:rsidRPr="00CB76BC">
                    <w:rPr>
                      <w:rFonts w:ascii="Segoe UI" w:eastAsia="Times New Roman" w:hAnsi="Segoe UI" w:cs="Segoe UI"/>
                      <w:color w:val="C5D9F1"/>
                      <w:sz w:val="18"/>
                      <w:szCs w:val="18"/>
                      <w:lang w:eastAsia="en-AU"/>
                    </w:rPr>
                    <w:t>3</w:t>
                  </w:r>
                </w:p>
              </w:tc>
              <w:tc>
                <w:tcPr>
                  <w:tcW w:w="3252" w:type="dxa"/>
                  <w:tcBorders>
                    <w:top w:val="nil"/>
                    <w:left w:val="nil"/>
                    <w:bottom w:val="nil"/>
                    <w:right w:val="nil"/>
                  </w:tcBorders>
                  <w:shd w:val="clear" w:color="000000" w:fill="C5D9F1"/>
                  <w:noWrap/>
                  <w:vAlign w:val="center"/>
                  <w:hideMark/>
                </w:tcPr>
                <w:p w14:paraId="7A34283E" w14:textId="77777777" w:rsidR="00CB76BC" w:rsidRPr="00CB76BC" w:rsidRDefault="00CB76BC" w:rsidP="00CB76BC">
                  <w:pPr>
                    <w:spacing w:after="0" w:line="240" w:lineRule="auto"/>
                    <w:rPr>
                      <w:rFonts w:ascii="Segoe UI" w:eastAsia="Times New Roman" w:hAnsi="Segoe UI" w:cs="Segoe UI"/>
                      <w:b/>
                      <w:bCs/>
                      <w:color w:val="000000"/>
                      <w:sz w:val="18"/>
                      <w:szCs w:val="18"/>
                      <w:lang w:eastAsia="en-AU"/>
                    </w:rPr>
                  </w:pPr>
                  <w:r w:rsidRPr="00CB76BC">
                    <w:rPr>
                      <w:rFonts w:ascii="Segoe UI" w:eastAsia="Times New Roman" w:hAnsi="Segoe UI" w:cs="Segoe UI"/>
                      <w:b/>
                      <w:bCs/>
                      <w:color w:val="000000"/>
                      <w:sz w:val="18"/>
                      <w:szCs w:val="18"/>
                      <w:lang w:eastAsia="en-AU"/>
                    </w:rPr>
                    <w:t>consider assigning a skin notation</w:t>
                  </w:r>
                </w:p>
              </w:tc>
            </w:tr>
          </w:tbl>
          <w:p w14:paraId="0BCA9191" w14:textId="77777777" w:rsidR="00932DCE" w:rsidRPr="004C23F4" w:rsidRDefault="00932DCE" w:rsidP="00F9496B">
            <w:pPr>
              <w:pStyle w:val="Tablefont"/>
            </w:pPr>
          </w:p>
        </w:tc>
      </w:tr>
    </w:tbl>
    <w:bookmarkEnd w:id="4"/>
    <w:p w14:paraId="0EF93040" w14:textId="77777777"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8"/>
        <w:gridCol w:w="4758"/>
      </w:tblGrid>
      <w:tr w:rsidR="00EB3D1B" w14:paraId="1BB44EA5" w14:textId="77777777" w:rsidTr="00610F2E">
        <w:trPr>
          <w:trHeight w:val="454"/>
          <w:tblHeader/>
        </w:trPr>
        <w:tc>
          <w:tcPr>
            <w:tcW w:w="4361" w:type="dxa"/>
            <w:vAlign w:val="center"/>
          </w:tcPr>
          <w:p w14:paraId="08BCCB5D"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4DD26688" w14:textId="77777777" w:rsidR="00EB3D1B" w:rsidRDefault="000154BC" w:rsidP="00EB3D1B">
                <w:pPr>
                  <w:pStyle w:val="Tablefont"/>
                </w:pPr>
                <w:r>
                  <w:t>Yes</w:t>
                </w:r>
              </w:p>
            </w:tc>
          </w:sdtContent>
        </w:sdt>
      </w:tr>
    </w:tbl>
    <w:p w14:paraId="6F39BE3F" w14:textId="77777777" w:rsidR="00687890" w:rsidRPr="004C23F4" w:rsidRDefault="00B479A9" w:rsidP="00474E33">
      <w:pPr>
        <w:pStyle w:val="Heading2"/>
      </w:pPr>
      <w:r w:rsidRPr="004C23F4">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6"/>
        <w:gridCol w:w="5030"/>
      </w:tblGrid>
      <w:tr w:rsidR="001B79E5" w:rsidRPr="004C23F4" w14:paraId="549BE692" w14:textId="77777777" w:rsidTr="00EA6243">
        <w:trPr>
          <w:cantSplit/>
          <w:tblHeader/>
        </w:trPr>
        <w:tc>
          <w:tcPr>
            <w:tcW w:w="4077" w:type="dxa"/>
            <w:vAlign w:val="center"/>
          </w:tcPr>
          <w:p w14:paraId="15445A78"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7A4F7080" w14:textId="77777777" w:rsidR="001B79E5" w:rsidRDefault="009625D6" w:rsidP="001B79E5">
                <w:pPr>
                  <w:pStyle w:val="Tablefont"/>
                </w:pPr>
                <w:r>
                  <w:t>101.19</w:t>
                </w:r>
              </w:p>
            </w:tc>
          </w:sdtContent>
        </w:sdt>
      </w:tr>
      <w:tr w:rsidR="00A31D99" w:rsidRPr="004C23F4" w14:paraId="1BDE1A8F" w14:textId="77777777" w:rsidTr="00EA6243">
        <w:trPr>
          <w:cantSplit/>
          <w:tblHeader/>
        </w:trPr>
        <w:tc>
          <w:tcPr>
            <w:tcW w:w="4077" w:type="dxa"/>
            <w:vAlign w:val="center"/>
          </w:tcPr>
          <w:p w14:paraId="7BE9437B" w14:textId="77777777" w:rsidR="00A31D99" w:rsidRPr="00263255" w:rsidRDefault="00A31D99" w:rsidP="00A31D99">
            <w:pPr>
              <w:pStyle w:val="Tablefont"/>
            </w:pPr>
            <w:r>
              <w:t>Conversion factors at 25</w:t>
            </w:r>
            <w:r>
              <w:rPr>
                <w:rFonts w:cs="Arial"/>
              </w:rPr>
              <w:t>°</w:t>
            </w:r>
            <w:r>
              <w:t xml:space="preserve">C and 101.3 kPa: </w:t>
            </w:r>
          </w:p>
        </w:tc>
        <w:tc>
          <w:tcPr>
            <w:tcW w:w="5165" w:type="dxa"/>
            <w:vAlign w:val="center"/>
          </w:tcPr>
          <w:p w14:paraId="3ECEBAB9" w14:textId="2B9CCA3B" w:rsidR="00A31D99" w:rsidRDefault="00A0643F" w:rsidP="00A174CC">
            <w:pPr>
              <w:pStyle w:val="Tablefont"/>
            </w:pPr>
            <w:r>
              <w:t xml:space="preserve">1 ppm = </w:t>
            </w:r>
            <w:sdt>
              <w:sdtPr>
                <w:id w:val="-371151491"/>
                <w:placeholder>
                  <w:docPart w:val="A7231FB73EFF4B2B92EB3BD21C0CEA01"/>
                </w:placeholder>
              </w:sdtPr>
              <w:sdtEndPr/>
              <w:sdtContent>
                <w:r w:rsidR="00D32A69">
                  <w:t>4.14</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r w:rsidR="00010407" w:rsidRPr="00EA5E03">
                  <w:t>0.24</w:t>
                </w:r>
              </w:sdtContent>
            </w:sdt>
            <w:r>
              <w:t xml:space="preserve"> ppm</w:t>
            </w:r>
          </w:p>
        </w:tc>
      </w:tr>
      <w:tr w:rsidR="00687890" w:rsidRPr="004C23F4" w14:paraId="399D7873" w14:textId="77777777" w:rsidTr="00EA6243">
        <w:trPr>
          <w:cantSplit/>
          <w:tblHeader/>
        </w:trPr>
        <w:tc>
          <w:tcPr>
            <w:tcW w:w="4077" w:type="dxa"/>
            <w:vAlign w:val="center"/>
          </w:tcPr>
          <w:p w14:paraId="32ADA123" w14:textId="77777777" w:rsidR="00687890" w:rsidRPr="00263255" w:rsidRDefault="00687890" w:rsidP="00263255">
            <w:pPr>
              <w:pStyle w:val="Tablefont"/>
            </w:pPr>
            <w:r w:rsidRPr="00263255">
              <w:t>This chemical is used as a pesticide:</w:t>
            </w:r>
          </w:p>
        </w:tc>
        <w:sdt>
          <w:sdtPr>
            <w:id w:val="1704441067"/>
            <w14:checkbox>
              <w14:checked w14:val="0"/>
              <w14:checkedState w14:val="00FC" w14:font="Wingdings"/>
              <w14:uncheckedState w14:val="2610" w14:font="MS Gothic"/>
            </w14:checkbox>
          </w:sdtPr>
          <w:sdtEndPr/>
          <w:sdtContent>
            <w:tc>
              <w:tcPr>
                <w:tcW w:w="5165" w:type="dxa"/>
                <w:vAlign w:val="center"/>
              </w:tcPr>
              <w:p w14:paraId="4A0B969A" w14:textId="77777777" w:rsidR="00687890" w:rsidRPr="004C23F4" w:rsidRDefault="00E46BCB" w:rsidP="00717D45">
                <w:pPr>
                  <w:pStyle w:val="Tablefont"/>
                </w:pPr>
                <w:r w:rsidRPr="004C23F4">
                  <w:rPr>
                    <w:rFonts w:ascii="MS Gothic" w:eastAsia="MS Gothic" w:hAnsi="MS Gothic" w:cs="MS Gothic" w:hint="eastAsia"/>
                  </w:rPr>
                  <w:t>☐</w:t>
                </w:r>
              </w:p>
            </w:tc>
          </w:sdtContent>
        </w:sdt>
      </w:tr>
      <w:tr w:rsidR="00687890" w:rsidRPr="004C23F4" w14:paraId="628150CB" w14:textId="77777777" w:rsidTr="00EA6243">
        <w:trPr>
          <w:cantSplit/>
        </w:trPr>
        <w:tc>
          <w:tcPr>
            <w:tcW w:w="4077" w:type="dxa"/>
            <w:vAlign w:val="center"/>
          </w:tcPr>
          <w:p w14:paraId="692299D5" w14:textId="77777777"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6F747A36" w14:textId="77777777" w:rsidR="00687890" w:rsidRPr="004C23F4" w:rsidRDefault="00A20751" w:rsidP="00717D45">
                <w:pPr>
                  <w:pStyle w:val="Tablefont"/>
                </w:pPr>
                <w:r w:rsidRPr="004C23F4">
                  <w:rPr>
                    <w:rFonts w:ascii="MS Gothic" w:eastAsia="MS Gothic" w:hAnsi="MS Gothic" w:cs="MS Gothic" w:hint="eastAsia"/>
                  </w:rPr>
                  <w:t>☐</w:t>
                </w:r>
              </w:p>
            </w:tc>
          </w:sdtContent>
        </w:sdt>
      </w:tr>
      <w:tr w:rsidR="00687890" w:rsidRPr="004C23F4" w14:paraId="0E2C22DF" w14:textId="77777777" w:rsidTr="00EA6243">
        <w:trPr>
          <w:cantSplit/>
        </w:trPr>
        <w:tc>
          <w:tcPr>
            <w:tcW w:w="4077" w:type="dxa"/>
            <w:vAlign w:val="center"/>
          </w:tcPr>
          <w:p w14:paraId="16055A3C" w14:textId="77777777" w:rsidR="00687890" w:rsidRPr="00263255" w:rsidRDefault="00687890" w:rsidP="00263255">
            <w:pPr>
              <w:pStyle w:val="Tablefont"/>
            </w:pPr>
            <w:r w:rsidRPr="00263255">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14:paraId="66636525" w14:textId="77777777" w:rsidR="00687890" w:rsidRPr="004C23F4" w:rsidRDefault="00687890" w:rsidP="00717D45">
                <w:pPr>
                  <w:pStyle w:val="Tablefont"/>
                </w:pPr>
                <w:r w:rsidRPr="004C23F4">
                  <w:rPr>
                    <w:rFonts w:ascii="MS Gothic" w:eastAsia="MS Gothic" w:hAnsi="MS Gothic" w:cs="MS Gothic" w:hint="eastAsia"/>
                  </w:rPr>
                  <w:t>☐</w:t>
                </w:r>
              </w:p>
            </w:tc>
          </w:sdtContent>
        </w:sdt>
      </w:tr>
      <w:tr w:rsidR="00E06F40" w:rsidRPr="004C23F4" w14:paraId="75DE8D11" w14:textId="77777777" w:rsidTr="00EA6243">
        <w:trPr>
          <w:cantSplit/>
        </w:trPr>
        <w:tc>
          <w:tcPr>
            <w:tcW w:w="4077" w:type="dxa"/>
            <w:vAlign w:val="center"/>
          </w:tcPr>
          <w:p w14:paraId="4E42841A"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68D2B109" w14:textId="77777777" w:rsidR="00E06F40" w:rsidRPr="00A006A0" w:rsidRDefault="008E0FF1" w:rsidP="00B40C60">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ACGIH</w:t>
            </w:r>
            <w:r w:rsidR="00E06F40">
              <w:tab/>
            </w:r>
            <w:sdt>
              <w:sdtPr>
                <w:id w:val="129367724"/>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DFG</w:t>
            </w:r>
            <w:r w:rsidR="00E06F40">
              <w:tab/>
            </w:r>
            <w:sdt>
              <w:sdtPr>
                <w:id w:val="-1535876012"/>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SCOEL</w:t>
            </w:r>
            <w:r w:rsidR="00E06F40">
              <w:tab/>
            </w:r>
          </w:p>
        </w:tc>
      </w:tr>
    </w:tbl>
    <w:p w14:paraId="75D6CD78" w14:textId="77777777" w:rsidR="007F1005" w:rsidRPr="004C23F4" w:rsidRDefault="007F1005" w:rsidP="00EB3D1B">
      <w:pPr>
        <w:pStyle w:val="Heading2"/>
        <w:keepLines/>
      </w:pPr>
      <w:r w:rsidRPr="004C23F4">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7B00FE27" w14:textId="77777777" w:rsidTr="00F053FA">
        <w:trPr>
          <w:tblHeader/>
        </w:trPr>
        <w:tc>
          <w:tcPr>
            <w:tcW w:w="4077" w:type="dxa"/>
            <w:shd w:val="clear" w:color="auto" w:fill="BFBFBF" w:themeFill="background1" w:themeFillShade="BF"/>
            <w:vAlign w:val="center"/>
          </w:tcPr>
          <w:p w14:paraId="4C955E04" w14:textId="77777777" w:rsidR="00224EE2" w:rsidRPr="004C23F4" w:rsidRDefault="00224EE2" w:rsidP="00EB3D1B">
            <w:pPr>
              <w:pStyle w:val="Tableheader"/>
              <w:keepNext/>
              <w:keepLines/>
            </w:pPr>
            <w:bookmarkStart w:id="5" w:name="History" w:colFirst="0" w:colLast="1"/>
            <w:r>
              <w:t>Year</w:t>
            </w:r>
          </w:p>
        </w:tc>
        <w:tc>
          <w:tcPr>
            <w:tcW w:w="5165" w:type="dxa"/>
            <w:shd w:val="clear" w:color="auto" w:fill="BFBFBF" w:themeFill="background1" w:themeFillShade="BF"/>
            <w:vAlign w:val="center"/>
          </w:tcPr>
          <w:p w14:paraId="1944AF2D" w14:textId="77777777" w:rsidR="00224EE2" w:rsidRPr="004C23F4" w:rsidRDefault="00224EE2" w:rsidP="00EB3D1B">
            <w:pPr>
              <w:pStyle w:val="Tableheader"/>
              <w:keepNext/>
              <w:keepLines/>
            </w:pPr>
            <w:r>
              <w:t>Standard</w:t>
            </w:r>
          </w:p>
        </w:tc>
      </w:tr>
      <w:tr w:rsidR="007F1005" w:rsidRPr="004C23F4" w14:paraId="415B299F" w14:textId="77777777" w:rsidTr="00F053FA">
        <w:trPr>
          <w:tblHeader/>
        </w:trPr>
        <w:sdt>
          <w:sdtPr>
            <w:id w:val="-25557549"/>
            <w:placeholder>
              <w:docPart w:val="2BF891C0AB704CDAB9BC6E80D556473F"/>
            </w:placeholder>
            <w:showingPlcHdr/>
            <w:text/>
          </w:sdtPr>
          <w:sdtEndPr/>
          <w:sdtContent>
            <w:tc>
              <w:tcPr>
                <w:tcW w:w="4077" w:type="dxa"/>
                <w:vAlign w:val="center"/>
              </w:tcPr>
              <w:p w14:paraId="70230FD5"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0C234D5A" w14:textId="77777777" w:rsidR="007F1005" w:rsidRPr="004C23F4" w:rsidRDefault="007F1005" w:rsidP="00EB3D1B">
            <w:pPr>
              <w:pStyle w:val="Tablefont"/>
              <w:keepLines/>
            </w:pPr>
          </w:p>
        </w:tc>
      </w:tr>
    </w:tbl>
    <w:bookmarkEnd w:id="5"/>
    <w:p w14:paraId="61588DE1" w14:textId="77777777" w:rsidR="00F87D92" w:rsidRDefault="00F87D92" w:rsidP="00EF7F78">
      <w:pPr>
        <w:pStyle w:val="Heading2"/>
        <w:tabs>
          <w:tab w:val="right" w:pos="8505"/>
        </w:tabs>
      </w:pPr>
      <w:r>
        <w:t>References</w:t>
      </w:r>
      <w:r w:rsidR="00EF7F78">
        <w:tab/>
      </w:r>
    </w:p>
    <w:p w14:paraId="1D47D7C4" w14:textId="77777777" w:rsidR="007F1005"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7"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14:paraId="682D4AAD" w14:textId="77777777" w:rsidR="008E4F1F" w:rsidRDefault="008E4F1F" w:rsidP="008E4F1F">
      <w:pPr>
        <w:rPr>
          <w:b/>
        </w:rPr>
      </w:pPr>
      <w:r w:rsidRPr="002022B6">
        <w:t>Deutsche Forschungsgemeinschaft (DFG)</w:t>
      </w:r>
      <w:r>
        <w:t xml:space="preserve"> (</w:t>
      </w:r>
      <w:r w:rsidR="000154BC">
        <w:t>1999</w:t>
      </w:r>
      <w:r>
        <w:t xml:space="preserve">) </w:t>
      </w:r>
      <w:r w:rsidR="000154BC" w:rsidRPr="000154BC">
        <w:t>Triethylamine</w:t>
      </w:r>
      <w:r>
        <w:t xml:space="preserve"> – MAK value documentation.</w:t>
      </w:r>
    </w:p>
    <w:p w14:paraId="2C96ABD6" w14:textId="77777777" w:rsidR="008E4F1F" w:rsidRDefault="008E4F1F" w:rsidP="008E4F1F">
      <w:pPr>
        <w:rPr>
          <w:b/>
        </w:rPr>
      </w:pPr>
      <w:r w:rsidRPr="002022B6">
        <w:t>EU Scientific Committee on Occupational Exposure Limits (SCOEL)</w:t>
      </w:r>
      <w:r>
        <w:t xml:space="preserve"> (</w:t>
      </w:r>
      <w:r w:rsidR="000154BC">
        <w:t>1999</w:t>
      </w:r>
      <w:r>
        <w:t xml:space="preserve">) Recommendation from the Scientific Committee on Occupational Exposure Limits for </w:t>
      </w:r>
      <w:r w:rsidR="000154BC" w:rsidRPr="000154BC">
        <w:t>Triethylamine</w:t>
      </w:r>
      <w:r>
        <w:t>. SCOEL/</w:t>
      </w:r>
      <w:r w:rsidR="000154BC" w:rsidRPr="000154BC">
        <w:t>SUM/55</w:t>
      </w:r>
      <w:r>
        <w:t>.</w:t>
      </w:r>
    </w:p>
    <w:p w14:paraId="2B4AF42E" w14:textId="77777777" w:rsidR="00C4783A" w:rsidRDefault="00C4783A" w:rsidP="00C4783A">
      <w:r w:rsidRPr="00DB0A36">
        <w:lastRenderedPageBreak/>
        <w:t xml:space="preserve">National Industrial Chemicals Notification and Assessment Scheme (NICNAS) (2016) </w:t>
      </w:r>
      <w:r w:rsidRPr="00C4783A">
        <w:t>Short chain (C2-3) alkyl amines</w:t>
      </w:r>
      <w:r w:rsidRPr="00DB0A36">
        <w:t>:</w:t>
      </w:r>
      <w:r>
        <w:t xml:space="preserve"> </w:t>
      </w:r>
      <w:r w:rsidRPr="00DB0A36">
        <w:t xml:space="preserve">Human </w:t>
      </w:r>
      <w:r w:rsidRPr="004633BA">
        <w:t xml:space="preserve">health </w:t>
      </w:r>
      <w:sdt>
        <w:sdtPr>
          <w:id w:val="-1295753243"/>
          <w:temporary/>
          <w:showingPlcHdr/>
        </w:sdtPr>
        <w:sdtEndPr/>
        <w:sdtContent>
          <w:r w:rsidRPr="005F4305">
            <w:t>tier II</w:t>
          </w:r>
        </w:sdtContent>
      </w:sdt>
      <w:r w:rsidRPr="004633BA">
        <w:t xml:space="preserve"> assessment </w:t>
      </w:r>
      <w:r w:rsidRPr="00DB0A36">
        <w:t>– IMAP report.</w:t>
      </w:r>
    </w:p>
    <w:p w14:paraId="75864E77" w14:textId="77777777" w:rsidR="006347B6" w:rsidRDefault="006347B6" w:rsidP="008E4F1F">
      <w:r w:rsidRPr="00E819F5">
        <w:t>Organisation for Economic Cooperation and Development (OECD) (</w:t>
      </w:r>
      <w:r>
        <w:t>2002</w:t>
      </w:r>
      <w:r w:rsidRPr="00E819F5">
        <w:t xml:space="preserve">) SIDS initial assessment profile – </w:t>
      </w:r>
      <w:r w:rsidRPr="00C4783A">
        <w:t>Tertiary Amines</w:t>
      </w:r>
      <w:r w:rsidRPr="00D86E03">
        <w:t xml:space="preserve"> </w:t>
      </w:r>
    </w:p>
    <w:p w14:paraId="3C7D2F8E" w14:textId="77777777" w:rsidR="008E4F1F" w:rsidRDefault="008E4F1F" w:rsidP="008E4F1F">
      <w:r w:rsidRPr="00D86E03">
        <w:t>US National Institute for Occupational Safety and Health (NIOSH)</w:t>
      </w:r>
      <w:r>
        <w:t xml:space="preserve"> (</w:t>
      </w:r>
      <w:sdt>
        <w:sdtPr>
          <w:id w:val="-1194999823"/>
          <w:placeholder>
            <w:docPart w:val="FB0307FD2095404C9CFBE1E594ADF091"/>
          </w:placeholder>
          <w:temporary/>
          <w:showingPlcHdr/>
        </w:sdtPr>
        <w:sdtEndPr/>
        <w:sdtContent>
          <w:r w:rsidRPr="0032513F">
            <w:rPr>
              <w:color w:val="000000" w:themeColor="text1"/>
            </w:rPr>
            <w:t>1994</w:t>
          </w:r>
        </w:sdtContent>
      </w:sdt>
      <w:r>
        <w:t xml:space="preserve">) Immediately dangerous to life or health concentrations – </w:t>
      </w:r>
      <w:r w:rsidR="0032513F">
        <w:t>t</w:t>
      </w:r>
      <w:r w:rsidR="0032513F" w:rsidRPr="0032513F">
        <w:t>riethylamine</w:t>
      </w:r>
      <w:r>
        <w:t>.</w:t>
      </w:r>
    </w:p>
    <w:p w14:paraId="29962C09" w14:textId="77777777" w:rsidR="008E4F1F" w:rsidRPr="00351FE0" w:rsidRDefault="008E4F1F" w:rsidP="00084859"/>
    <w:sectPr w:rsidR="008E4F1F" w:rsidRPr="00351FE0" w:rsidSect="00B87D4C">
      <w:headerReference w:type="default" r:id="rId18"/>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36009" w14:textId="77777777" w:rsidR="00622625" w:rsidRDefault="00622625" w:rsidP="00F43AD5">
      <w:pPr>
        <w:spacing w:after="0" w:line="240" w:lineRule="auto"/>
      </w:pPr>
      <w:r>
        <w:separator/>
      </w:r>
    </w:p>
  </w:endnote>
  <w:endnote w:type="continuationSeparator" w:id="0">
    <w:p w14:paraId="5D4D494B" w14:textId="77777777" w:rsidR="00622625" w:rsidRDefault="00622625"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5E0C4" w14:textId="77777777" w:rsidR="008E0FF1" w:rsidRDefault="008E0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787447"/>
      <w:docPartObj>
        <w:docPartGallery w:val="Page Numbers (Bottom of Page)"/>
        <w:docPartUnique/>
      </w:docPartObj>
    </w:sdtPr>
    <w:sdtEndPr>
      <w:rPr>
        <w:noProof/>
        <w:sz w:val="18"/>
        <w:szCs w:val="18"/>
      </w:rPr>
    </w:sdtEndPr>
    <w:sdtContent>
      <w:p w14:paraId="3BD53023" w14:textId="77777777" w:rsidR="008A36CF" w:rsidRDefault="00017609" w:rsidP="0034744C">
        <w:pPr>
          <w:pStyle w:val="Footer"/>
          <w:rPr>
            <w:sz w:val="18"/>
            <w:szCs w:val="18"/>
          </w:rPr>
        </w:pPr>
        <w:r w:rsidRPr="00017609">
          <w:rPr>
            <w:b/>
            <w:sz w:val="18"/>
            <w:szCs w:val="18"/>
          </w:rPr>
          <w:t>Triethylamine</w:t>
        </w:r>
        <w:r w:rsidR="008A36CF">
          <w:rPr>
            <w:b/>
            <w:sz w:val="18"/>
            <w:szCs w:val="18"/>
          </w:rPr>
          <w:t xml:space="preserve"> (</w:t>
        </w:r>
        <w:r>
          <w:rPr>
            <w:b/>
            <w:sz w:val="18"/>
            <w:szCs w:val="18"/>
          </w:rPr>
          <w:t>121-44-8</w:t>
        </w:r>
        <w:r w:rsidR="008A36CF">
          <w:rPr>
            <w:b/>
            <w:sz w:val="18"/>
            <w:szCs w:val="18"/>
          </w:rPr>
          <w:t>)</w:t>
        </w:r>
        <w:r w:rsidR="008A36CF" w:rsidRPr="00F43AD5">
          <w:rPr>
            <w:sz w:val="18"/>
            <w:szCs w:val="18"/>
          </w:rPr>
          <w:br/>
          <w:t xml:space="preserve">Safe Work Australia </w:t>
        </w:r>
        <w:r w:rsidR="008A36CF" w:rsidRPr="00F43AD5">
          <w:rPr>
            <w:rFonts w:ascii="Courier New" w:hAnsi="Courier New" w:cs="Courier New"/>
            <w:sz w:val="18"/>
            <w:szCs w:val="18"/>
          </w:rPr>
          <w:t>—</w:t>
        </w:r>
        <w:r w:rsidR="008A36CF" w:rsidRPr="00F43AD5">
          <w:rPr>
            <w:sz w:val="18"/>
            <w:szCs w:val="18"/>
          </w:rPr>
          <w:t xml:space="preserve"> 20</w:t>
        </w:r>
        <w:r w:rsidR="00D706CB">
          <w:rPr>
            <w:sz w:val="18"/>
            <w:szCs w:val="18"/>
          </w:rPr>
          <w:t>20</w:t>
        </w:r>
      </w:p>
      <w:p w14:paraId="7CA48E3F" w14:textId="4D84719C" w:rsidR="008A36CF" w:rsidRPr="00F43AD5" w:rsidRDefault="008A36CF"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357516">
          <w:rPr>
            <w:noProof/>
            <w:sz w:val="18"/>
            <w:szCs w:val="18"/>
          </w:rPr>
          <w:t>2</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A5CED" w14:textId="77777777" w:rsidR="008E0FF1" w:rsidRDefault="008E0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6CD89" w14:textId="77777777" w:rsidR="00622625" w:rsidRDefault="00622625" w:rsidP="00F43AD5">
      <w:pPr>
        <w:spacing w:after="0" w:line="240" w:lineRule="auto"/>
      </w:pPr>
      <w:r>
        <w:separator/>
      </w:r>
    </w:p>
  </w:footnote>
  <w:footnote w:type="continuationSeparator" w:id="0">
    <w:p w14:paraId="56A0D220" w14:textId="77777777" w:rsidR="00622625" w:rsidRDefault="00622625"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0AE9B" w14:textId="77777777" w:rsidR="008E0FF1" w:rsidRDefault="008E0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A796F" w14:textId="76655C6C" w:rsidR="008A36CF" w:rsidRPr="008E0FF1" w:rsidRDefault="008E0FF1" w:rsidP="008E0FF1">
    <w:pPr>
      <w:pStyle w:val="Header"/>
      <w:jc w:val="right"/>
    </w:pPr>
    <w:r>
      <w:pict w14:anchorId="6E4FCE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764580" o:spid="_x0000_s10241" type="#_x0000_t136" style="position:absolute;left:0;text-align:left;margin-left:0;margin-top:0;width:454.5pt;height:181.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en-AU"/>
      </w:rPr>
      <w:drawing>
        <wp:inline distT="0" distB="0" distL="0" distR="0" wp14:anchorId="06A7FBDD" wp14:editId="6960D79A">
          <wp:extent cx="2957195" cy="605790"/>
          <wp:effectExtent l="0" t="0" r="0" b="3810"/>
          <wp:docPr id="3" name="Picture 3" descr="Safe Work Australia logo" title="Image"/>
          <wp:cNvGraphicFramePr/>
          <a:graphic xmlns:a="http://schemas.openxmlformats.org/drawingml/2006/main">
            <a:graphicData uri="http://schemas.openxmlformats.org/drawingml/2006/picture">
              <pic:pic xmlns:pic="http://schemas.openxmlformats.org/drawingml/2006/picture">
                <pic:nvPicPr>
                  <pic:cNvPr id="3" name="Picture 3"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7195" cy="6057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B438F" w14:textId="77777777" w:rsidR="008E0FF1" w:rsidRDefault="008E0F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E0A36" w14:textId="4C713C7E" w:rsidR="008A36CF" w:rsidRDefault="008E0FF1" w:rsidP="008E0FF1">
    <w:pPr>
      <w:pStyle w:val="Header"/>
      <w:jc w:val="right"/>
    </w:pPr>
    <w:r>
      <w:pict w14:anchorId="1198C1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42" type="#_x0000_t136" style="position:absolute;left:0;text-align:left;margin-left:0;margin-top:0;width:454.5pt;height:181.8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en-AU"/>
      </w:rPr>
      <w:drawing>
        <wp:inline distT="0" distB="0" distL="0" distR="0" wp14:anchorId="2C3A4795" wp14:editId="4847D922">
          <wp:extent cx="2957195" cy="605790"/>
          <wp:effectExtent l="0" t="0" r="0" b="3810"/>
          <wp:docPr id="1" name="Picture 1" descr="Safe Work Australia logo" title="Image"/>
          <wp:cNvGraphicFramePr/>
          <a:graphic xmlns:a="http://schemas.openxmlformats.org/drawingml/2006/main">
            <a:graphicData uri="http://schemas.openxmlformats.org/drawingml/2006/picture">
              <pic:pic xmlns:pic="http://schemas.openxmlformats.org/drawingml/2006/picture">
                <pic:nvPicPr>
                  <pic:cNvPr id="3" name="Picture 3"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7195" cy="6057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72D46"/>
    <w:multiLevelType w:val="hybridMultilevel"/>
    <w:tmpl w:val="AFC833FC"/>
    <w:lvl w:ilvl="0" w:tplc="4DAC1CD6">
      <w:start w:val="1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F785960"/>
    <w:multiLevelType w:val="hybridMultilevel"/>
    <w:tmpl w:val="DC60CCD2"/>
    <w:lvl w:ilvl="0" w:tplc="3EF0C966">
      <w:start w:val="1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AppendixName" w:val="Appendix"/>
  </w:docVars>
  <w:rsids>
    <w:rsidRoot w:val="00610F2E"/>
    <w:rsid w:val="00000109"/>
    <w:rsid w:val="00007B80"/>
    <w:rsid w:val="00010407"/>
    <w:rsid w:val="00013A22"/>
    <w:rsid w:val="00014C3F"/>
    <w:rsid w:val="000154BC"/>
    <w:rsid w:val="00017609"/>
    <w:rsid w:val="00017C82"/>
    <w:rsid w:val="00032B88"/>
    <w:rsid w:val="0003379E"/>
    <w:rsid w:val="0003445C"/>
    <w:rsid w:val="00037E52"/>
    <w:rsid w:val="000420F8"/>
    <w:rsid w:val="00046DF5"/>
    <w:rsid w:val="00052060"/>
    <w:rsid w:val="0005574A"/>
    <w:rsid w:val="00055FE1"/>
    <w:rsid w:val="00056EC2"/>
    <w:rsid w:val="00060B48"/>
    <w:rsid w:val="00067F32"/>
    <w:rsid w:val="00071807"/>
    <w:rsid w:val="000719AF"/>
    <w:rsid w:val="00073A11"/>
    <w:rsid w:val="000803E1"/>
    <w:rsid w:val="00084513"/>
    <w:rsid w:val="00084859"/>
    <w:rsid w:val="00092D94"/>
    <w:rsid w:val="00096217"/>
    <w:rsid w:val="000B0868"/>
    <w:rsid w:val="000B3E12"/>
    <w:rsid w:val="000B3E78"/>
    <w:rsid w:val="000B7B48"/>
    <w:rsid w:val="000C096D"/>
    <w:rsid w:val="000C139A"/>
    <w:rsid w:val="000C2053"/>
    <w:rsid w:val="000C248C"/>
    <w:rsid w:val="000D291C"/>
    <w:rsid w:val="000E455F"/>
    <w:rsid w:val="000E5A54"/>
    <w:rsid w:val="000E63D3"/>
    <w:rsid w:val="000E67CF"/>
    <w:rsid w:val="0010461E"/>
    <w:rsid w:val="00106FAA"/>
    <w:rsid w:val="00107CFD"/>
    <w:rsid w:val="00113443"/>
    <w:rsid w:val="00124407"/>
    <w:rsid w:val="001269A7"/>
    <w:rsid w:val="00131092"/>
    <w:rsid w:val="00140E6A"/>
    <w:rsid w:val="00146545"/>
    <w:rsid w:val="00146B75"/>
    <w:rsid w:val="0015266D"/>
    <w:rsid w:val="0015288A"/>
    <w:rsid w:val="00155999"/>
    <w:rsid w:val="00160F47"/>
    <w:rsid w:val="00176340"/>
    <w:rsid w:val="00177CA1"/>
    <w:rsid w:val="00183823"/>
    <w:rsid w:val="00183942"/>
    <w:rsid w:val="001915F6"/>
    <w:rsid w:val="001A009E"/>
    <w:rsid w:val="001A1287"/>
    <w:rsid w:val="001A3859"/>
    <w:rsid w:val="001A3C9D"/>
    <w:rsid w:val="001A43F8"/>
    <w:rsid w:val="001A4DB0"/>
    <w:rsid w:val="001B5C5B"/>
    <w:rsid w:val="001B79E5"/>
    <w:rsid w:val="001D56F0"/>
    <w:rsid w:val="001D663B"/>
    <w:rsid w:val="001D7B41"/>
    <w:rsid w:val="001E46DA"/>
    <w:rsid w:val="001E7D80"/>
    <w:rsid w:val="001F47CB"/>
    <w:rsid w:val="001F4B6C"/>
    <w:rsid w:val="001F62CB"/>
    <w:rsid w:val="001F6ED0"/>
    <w:rsid w:val="001F72E6"/>
    <w:rsid w:val="001F73C5"/>
    <w:rsid w:val="002046A6"/>
    <w:rsid w:val="00204956"/>
    <w:rsid w:val="002054A6"/>
    <w:rsid w:val="00213640"/>
    <w:rsid w:val="00221547"/>
    <w:rsid w:val="002216FC"/>
    <w:rsid w:val="002224B6"/>
    <w:rsid w:val="00222533"/>
    <w:rsid w:val="00222F30"/>
    <w:rsid w:val="00224EE2"/>
    <w:rsid w:val="002269C1"/>
    <w:rsid w:val="00227EC7"/>
    <w:rsid w:val="00244AD1"/>
    <w:rsid w:val="002463BC"/>
    <w:rsid w:val="002465CE"/>
    <w:rsid w:val="0025734A"/>
    <w:rsid w:val="00263255"/>
    <w:rsid w:val="00276494"/>
    <w:rsid w:val="00277B0C"/>
    <w:rsid w:val="00286F62"/>
    <w:rsid w:val="00290764"/>
    <w:rsid w:val="002B1A2C"/>
    <w:rsid w:val="002B5EE8"/>
    <w:rsid w:val="002C34F2"/>
    <w:rsid w:val="002C5069"/>
    <w:rsid w:val="002C58FF"/>
    <w:rsid w:val="002C7AFE"/>
    <w:rsid w:val="002D05D2"/>
    <w:rsid w:val="002E0D61"/>
    <w:rsid w:val="002E4C7B"/>
    <w:rsid w:val="0030740C"/>
    <w:rsid w:val="00315833"/>
    <w:rsid w:val="003215EE"/>
    <w:rsid w:val="00321835"/>
    <w:rsid w:val="003224BF"/>
    <w:rsid w:val="003241A8"/>
    <w:rsid w:val="0032513F"/>
    <w:rsid w:val="003253F0"/>
    <w:rsid w:val="003337DA"/>
    <w:rsid w:val="00334EFB"/>
    <w:rsid w:val="00335CDE"/>
    <w:rsid w:val="003365A5"/>
    <w:rsid w:val="00347192"/>
    <w:rsid w:val="0034744C"/>
    <w:rsid w:val="00351FE0"/>
    <w:rsid w:val="00352615"/>
    <w:rsid w:val="0035412B"/>
    <w:rsid w:val="003567A8"/>
    <w:rsid w:val="00357516"/>
    <w:rsid w:val="00362895"/>
    <w:rsid w:val="00370DBF"/>
    <w:rsid w:val="00386093"/>
    <w:rsid w:val="003904A4"/>
    <w:rsid w:val="00391841"/>
    <w:rsid w:val="00391B6D"/>
    <w:rsid w:val="00394922"/>
    <w:rsid w:val="003A0E32"/>
    <w:rsid w:val="003A0F44"/>
    <w:rsid w:val="003A2B94"/>
    <w:rsid w:val="003B387D"/>
    <w:rsid w:val="003C0D58"/>
    <w:rsid w:val="003D4FA3"/>
    <w:rsid w:val="003E0807"/>
    <w:rsid w:val="003E51FB"/>
    <w:rsid w:val="003E6916"/>
    <w:rsid w:val="003E6B39"/>
    <w:rsid w:val="003F07E1"/>
    <w:rsid w:val="004030BC"/>
    <w:rsid w:val="00403F7D"/>
    <w:rsid w:val="00406785"/>
    <w:rsid w:val="004079B4"/>
    <w:rsid w:val="00417A56"/>
    <w:rsid w:val="00420957"/>
    <w:rsid w:val="00422A10"/>
    <w:rsid w:val="00430179"/>
    <w:rsid w:val="00430F6F"/>
    <w:rsid w:val="004414B5"/>
    <w:rsid w:val="00444482"/>
    <w:rsid w:val="00444B42"/>
    <w:rsid w:val="00445E44"/>
    <w:rsid w:val="004509E2"/>
    <w:rsid w:val="004515EE"/>
    <w:rsid w:val="004529F0"/>
    <w:rsid w:val="00460A03"/>
    <w:rsid w:val="00472A11"/>
    <w:rsid w:val="00472AAD"/>
    <w:rsid w:val="00474E33"/>
    <w:rsid w:val="00476803"/>
    <w:rsid w:val="00476903"/>
    <w:rsid w:val="00485BFD"/>
    <w:rsid w:val="004867A2"/>
    <w:rsid w:val="004873F2"/>
    <w:rsid w:val="00490D4C"/>
    <w:rsid w:val="00493A35"/>
    <w:rsid w:val="0049527A"/>
    <w:rsid w:val="004966BF"/>
    <w:rsid w:val="00497984"/>
    <w:rsid w:val="004A1A3B"/>
    <w:rsid w:val="004A5088"/>
    <w:rsid w:val="004C1E3F"/>
    <w:rsid w:val="004C23F4"/>
    <w:rsid w:val="004C3475"/>
    <w:rsid w:val="004C58B6"/>
    <w:rsid w:val="004D16A3"/>
    <w:rsid w:val="004D4AA1"/>
    <w:rsid w:val="004D6D68"/>
    <w:rsid w:val="004E5EDD"/>
    <w:rsid w:val="004F448A"/>
    <w:rsid w:val="004F493D"/>
    <w:rsid w:val="004F65E8"/>
    <w:rsid w:val="0050005E"/>
    <w:rsid w:val="00502B88"/>
    <w:rsid w:val="005142C4"/>
    <w:rsid w:val="0051509C"/>
    <w:rsid w:val="0052022F"/>
    <w:rsid w:val="005272E2"/>
    <w:rsid w:val="0053108F"/>
    <w:rsid w:val="00532B56"/>
    <w:rsid w:val="00534B10"/>
    <w:rsid w:val="005446A2"/>
    <w:rsid w:val="00544D2F"/>
    <w:rsid w:val="005509AA"/>
    <w:rsid w:val="00551BD8"/>
    <w:rsid w:val="005637AB"/>
    <w:rsid w:val="00581055"/>
    <w:rsid w:val="00591E38"/>
    <w:rsid w:val="005A19C5"/>
    <w:rsid w:val="005A3034"/>
    <w:rsid w:val="005A462D"/>
    <w:rsid w:val="005B253B"/>
    <w:rsid w:val="005B4DDE"/>
    <w:rsid w:val="005B771D"/>
    <w:rsid w:val="005C5D16"/>
    <w:rsid w:val="005C7D47"/>
    <w:rsid w:val="005D3193"/>
    <w:rsid w:val="005D4A6E"/>
    <w:rsid w:val="005D72D7"/>
    <w:rsid w:val="005E3BBA"/>
    <w:rsid w:val="005E6979"/>
    <w:rsid w:val="005E75CB"/>
    <w:rsid w:val="0060105E"/>
    <w:rsid w:val="006013C1"/>
    <w:rsid w:val="0060669E"/>
    <w:rsid w:val="00610F2E"/>
    <w:rsid w:val="00611399"/>
    <w:rsid w:val="00622625"/>
    <w:rsid w:val="00624C4E"/>
    <w:rsid w:val="00625200"/>
    <w:rsid w:val="00631E12"/>
    <w:rsid w:val="006347B6"/>
    <w:rsid w:val="006363A8"/>
    <w:rsid w:val="00636DB7"/>
    <w:rsid w:val="00650905"/>
    <w:rsid w:val="006532ED"/>
    <w:rsid w:val="006549F2"/>
    <w:rsid w:val="006567B7"/>
    <w:rsid w:val="00657BFB"/>
    <w:rsid w:val="0066333C"/>
    <w:rsid w:val="006639B4"/>
    <w:rsid w:val="006650FE"/>
    <w:rsid w:val="0067305D"/>
    <w:rsid w:val="00677D9B"/>
    <w:rsid w:val="006867F3"/>
    <w:rsid w:val="00687890"/>
    <w:rsid w:val="006901A2"/>
    <w:rsid w:val="00690368"/>
    <w:rsid w:val="0069079C"/>
    <w:rsid w:val="00690B53"/>
    <w:rsid w:val="00695B72"/>
    <w:rsid w:val="006B160A"/>
    <w:rsid w:val="006B4E6C"/>
    <w:rsid w:val="006B50B6"/>
    <w:rsid w:val="006D79EA"/>
    <w:rsid w:val="006E5D05"/>
    <w:rsid w:val="0070054B"/>
    <w:rsid w:val="00701053"/>
    <w:rsid w:val="00701507"/>
    <w:rsid w:val="00714021"/>
    <w:rsid w:val="00716A0F"/>
    <w:rsid w:val="00717D45"/>
    <w:rsid w:val="007208F7"/>
    <w:rsid w:val="007218AF"/>
    <w:rsid w:val="007365D1"/>
    <w:rsid w:val="00740E0E"/>
    <w:rsid w:val="00744980"/>
    <w:rsid w:val="00750212"/>
    <w:rsid w:val="00754779"/>
    <w:rsid w:val="0075716D"/>
    <w:rsid w:val="00765F14"/>
    <w:rsid w:val="00770E31"/>
    <w:rsid w:val="007770F1"/>
    <w:rsid w:val="00783FB1"/>
    <w:rsid w:val="00785CDD"/>
    <w:rsid w:val="00791847"/>
    <w:rsid w:val="007925F0"/>
    <w:rsid w:val="007939B3"/>
    <w:rsid w:val="0079509C"/>
    <w:rsid w:val="00796708"/>
    <w:rsid w:val="007B1B42"/>
    <w:rsid w:val="007C268C"/>
    <w:rsid w:val="007C30EB"/>
    <w:rsid w:val="007E063C"/>
    <w:rsid w:val="007E2A4B"/>
    <w:rsid w:val="007E307D"/>
    <w:rsid w:val="007E6A4E"/>
    <w:rsid w:val="007E6C94"/>
    <w:rsid w:val="007F1005"/>
    <w:rsid w:val="007F25E0"/>
    <w:rsid w:val="007F5328"/>
    <w:rsid w:val="00804F5A"/>
    <w:rsid w:val="00810C6D"/>
    <w:rsid w:val="00812887"/>
    <w:rsid w:val="008219A7"/>
    <w:rsid w:val="008250BC"/>
    <w:rsid w:val="00826F21"/>
    <w:rsid w:val="0083493B"/>
    <w:rsid w:val="00834CC8"/>
    <w:rsid w:val="00835E00"/>
    <w:rsid w:val="00837113"/>
    <w:rsid w:val="00837436"/>
    <w:rsid w:val="008414E4"/>
    <w:rsid w:val="00843E21"/>
    <w:rsid w:val="0084508E"/>
    <w:rsid w:val="0085045F"/>
    <w:rsid w:val="00857A8A"/>
    <w:rsid w:val="008630EE"/>
    <w:rsid w:val="00864D13"/>
    <w:rsid w:val="00871CD5"/>
    <w:rsid w:val="008745A2"/>
    <w:rsid w:val="008768A8"/>
    <w:rsid w:val="0088253B"/>
    <w:rsid w:val="0088798F"/>
    <w:rsid w:val="00887E4B"/>
    <w:rsid w:val="008915C8"/>
    <w:rsid w:val="008A36CF"/>
    <w:rsid w:val="008A3BC4"/>
    <w:rsid w:val="008B3218"/>
    <w:rsid w:val="008B403C"/>
    <w:rsid w:val="008B7983"/>
    <w:rsid w:val="008C2511"/>
    <w:rsid w:val="008C4F4C"/>
    <w:rsid w:val="008D026D"/>
    <w:rsid w:val="008D23AB"/>
    <w:rsid w:val="008D4B8B"/>
    <w:rsid w:val="008D5A78"/>
    <w:rsid w:val="008E0FF1"/>
    <w:rsid w:val="008E4F1F"/>
    <w:rsid w:val="008E7B64"/>
    <w:rsid w:val="008F5DCD"/>
    <w:rsid w:val="00900951"/>
    <w:rsid w:val="009118A6"/>
    <w:rsid w:val="00914224"/>
    <w:rsid w:val="00916909"/>
    <w:rsid w:val="00916EC0"/>
    <w:rsid w:val="00920467"/>
    <w:rsid w:val="00921DE7"/>
    <w:rsid w:val="0093041A"/>
    <w:rsid w:val="00930714"/>
    <w:rsid w:val="00931B03"/>
    <w:rsid w:val="009323B9"/>
    <w:rsid w:val="00932DCE"/>
    <w:rsid w:val="0093327E"/>
    <w:rsid w:val="00934028"/>
    <w:rsid w:val="0093760E"/>
    <w:rsid w:val="00945EDB"/>
    <w:rsid w:val="00946044"/>
    <w:rsid w:val="0094660B"/>
    <w:rsid w:val="00946A33"/>
    <w:rsid w:val="0095260E"/>
    <w:rsid w:val="009578DD"/>
    <w:rsid w:val="00961124"/>
    <w:rsid w:val="009621B6"/>
    <w:rsid w:val="009625D6"/>
    <w:rsid w:val="00972647"/>
    <w:rsid w:val="00974F2D"/>
    <w:rsid w:val="00977524"/>
    <w:rsid w:val="00977E88"/>
    <w:rsid w:val="00984519"/>
    <w:rsid w:val="00984920"/>
    <w:rsid w:val="0099303A"/>
    <w:rsid w:val="009971C2"/>
    <w:rsid w:val="009A1254"/>
    <w:rsid w:val="009B2FF2"/>
    <w:rsid w:val="009B380C"/>
    <w:rsid w:val="009B4843"/>
    <w:rsid w:val="009B6543"/>
    <w:rsid w:val="009C199D"/>
    <w:rsid w:val="009C278F"/>
    <w:rsid w:val="009C2B94"/>
    <w:rsid w:val="009C5874"/>
    <w:rsid w:val="009D3B5A"/>
    <w:rsid w:val="009E0C05"/>
    <w:rsid w:val="009E0D1C"/>
    <w:rsid w:val="009E2214"/>
    <w:rsid w:val="009E355A"/>
    <w:rsid w:val="009E63E2"/>
    <w:rsid w:val="009F04D2"/>
    <w:rsid w:val="009F05CF"/>
    <w:rsid w:val="009F0F3A"/>
    <w:rsid w:val="00A01D0C"/>
    <w:rsid w:val="00A0643F"/>
    <w:rsid w:val="00A067EE"/>
    <w:rsid w:val="00A10FCE"/>
    <w:rsid w:val="00A16D91"/>
    <w:rsid w:val="00A174CC"/>
    <w:rsid w:val="00A2073D"/>
    <w:rsid w:val="00A20751"/>
    <w:rsid w:val="00A20E54"/>
    <w:rsid w:val="00A23E81"/>
    <w:rsid w:val="00A27E2D"/>
    <w:rsid w:val="00A31D99"/>
    <w:rsid w:val="00A357BA"/>
    <w:rsid w:val="00A35ADC"/>
    <w:rsid w:val="00A402A3"/>
    <w:rsid w:val="00A46FEB"/>
    <w:rsid w:val="00A53681"/>
    <w:rsid w:val="00A617CF"/>
    <w:rsid w:val="00A633D4"/>
    <w:rsid w:val="00A6461A"/>
    <w:rsid w:val="00A729BA"/>
    <w:rsid w:val="00A84504"/>
    <w:rsid w:val="00A863D7"/>
    <w:rsid w:val="00A8672F"/>
    <w:rsid w:val="00A93057"/>
    <w:rsid w:val="00A968B0"/>
    <w:rsid w:val="00AB2672"/>
    <w:rsid w:val="00AB2817"/>
    <w:rsid w:val="00AB43C4"/>
    <w:rsid w:val="00AC32E7"/>
    <w:rsid w:val="00AC3A9F"/>
    <w:rsid w:val="00AC6D2F"/>
    <w:rsid w:val="00AE2745"/>
    <w:rsid w:val="00AE2F64"/>
    <w:rsid w:val="00AF42CB"/>
    <w:rsid w:val="00AF483F"/>
    <w:rsid w:val="00AF5E07"/>
    <w:rsid w:val="00AF5F06"/>
    <w:rsid w:val="00B00A25"/>
    <w:rsid w:val="00B015CF"/>
    <w:rsid w:val="00B05AF3"/>
    <w:rsid w:val="00B1422A"/>
    <w:rsid w:val="00B1765C"/>
    <w:rsid w:val="00B213C4"/>
    <w:rsid w:val="00B40C60"/>
    <w:rsid w:val="00B45B69"/>
    <w:rsid w:val="00B479A9"/>
    <w:rsid w:val="00B52EDF"/>
    <w:rsid w:val="00B71188"/>
    <w:rsid w:val="00B76A41"/>
    <w:rsid w:val="00B87D4C"/>
    <w:rsid w:val="00B93646"/>
    <w:rsid w:val="00BA0B38"/>
    <w:rsid w:val="00BA0B54"/>
    <w:rsid w:val="00BA1DBB"/>
    <w:rsid w:val="00BA4510"/>
    <w:rsid w:val="00BA529A"/>
    <w:rsid w:val="00BB612A"/>
    <w:rsid w:val="00BD499F"/>
    <w:rsid w:val="00BD56DE"/>
    <w:rsid w:val="00BF2406"/>
    <w:rsid w:val="00C06E43"/>
    <w:rsid w:val="00C16315"/>
    <w:rsid w:val="00C2561A"/>
    <w:rsid w:val="00C3091E"/>
    <w:rsid w:val="00C40FF1"/>
    <w:rsid w:val="00C419E2"/>
    <w:rsid w:val="00C4783A"/>
    <w:rsid w:val="00C5020E"/>
    <w:rsid w:val="00C57452"/>
    <w:rsid w:val="00C61EDF"/>
    <w:rsid w:val="00C6239D"/>
    <w:rsid w:val="00C6594B"/>
    <w:rsid w:val="00C67FFB"/>
    <w:rsid w:val="00C7155E"/>
    <w:rsid w:val="00C71D1E"/>
    <w:rsid w:val="00C71D7D"/>
    <w:rsid w:val="00C74833"/>
    <w:rsid w:val="00C8359B"/>
    <w:rsid w:val="00C850A0"/>
    <w:rsid w:val="00C85A86"/>
    <w:rsid w:val="00C978F0"/>
    <w:rsid w:val="00CA4329"/>
    <w:rsid w:val="00CA58FE"/>
    <w:rsid w:val="00CB1CB1"/>
    <w:rsid w:val="00CB6BC1"/>
    <w:rsid w:val="00CB6CB8"/>
    <w:rsid w:val="00CB76BC"/>
    <w:rsid w:val="00CC1A68"/>
    <w:rsid w:val="00CC2123"/>
    <w:rsid w:val="00CC74C2"/>
    <w:rsid w:val="00CD2BFD"/>
    <w:rsid w:val="00CE5AD6"/>
    <w:rsid w:val="00CE617F"/>
    <w:rsid w:val="00CE78EF"/>
    <w:rsid w:val="00D048F7"/>
    <w:rsid w:val="00D0517E"/>
    <w:rsid w:val="00D07217"/>
    <w:rsid w:val="00D140FC"/>
    <w:rsid w:val="00D21D8C"/>
    <w:rsid w:val="00D31357"/>
    <w:rsid w:val="00D32A69"/>
    <w:rsid w:val="00D33220"/>
    <w:rsid w:val="00D334D1"/>
    <w:rsid w:val="00D44C89"/>
    <w:rsid w:val="00D516CD"/>
    <w:rsid w:val="00D668E6"/>
    <w:rsid w:val="00D70670"/>
    <w:rsid w:val="00D706CB"/>
    <w:rsid w:val="00D74D80"/>
    <w:rsid w:val="00D76624"/>
    <w:rsid w:val="00D87570"/>
    <w:rsid w:val="00D91CB9"/>
    <w:rsid w:val="00D97989"/>
    <w:rsid w:val="00D97D8D"/>
    <w:rsid w:val="00DA352E"/>
    <w:rsid w:val="00DB7F97"/>
    <w:rsid w:val="00DC3BFC"/>
    <w:rsid w:val="00DC7694"/>
    <w:rsid w:val="00DD1BF6"/>
    <w:rsid w:val="00DD2F9B"/>
    <w:rsid w:val="00DE2513"/>
    <w:rsid w:val="00DE26E8"/>
    <w:rsid w:val="00DF6F36"/>
    <w:rsid w:val="00E0084C"/>
    <w:rsid w:val="00E025AB"/>
    <w:rsid w:val="00E02B23"/>
    <w:rsid w:val="00E06F40"/>
    <w:rsid w:val="00E07CE8"/>
    <w:rsid w:val="00E14719"/>
    <w:rsid w:val="00E26A07"/>
    <w:rsid w:val="00E32595"/>
    <w:rsid w:val="00E32A09"/>
    <w:rsid w:val="00E37CFD"/>
    <w:rsid w:val="00E41A26"/>
    <w:rsid w:val="00E46BCB"/>
    <w:rsid w:val="00E51CAF"/>
    <w:rsid w:val="00E60F04"/>
    <w:rsid w:val="00E62AAC"/>
    <w:rsid w:val="00E67C2F"/>
    <w:rsid w:val="00E67EF5"/>
    <w:rsid w:val="00E804EA"/>
    <w:rsid w:val="00E80A71"/>
    <w:rsid w:val="00E82337"/>
    <w:rsid w:val="00E92499"/>
    <w:rsid w:val="00E949AF"/>
    <w:rsid w:val="00E96077"/>
    <w:rsid w:val="00EA0A06"/>
    <w:rsid w:val="00EA5E03"/>
    <w:rsid w:val="00EA6243"/>
    <w:rsid w:val="00EA74AB"/>
    <w:rsid w:val="00EB3D1B"/>
    <w:rsid w:val="00EC052B"/>
    <w:rsid w:val="00ED1D89"/>
    <w:rsid w:val="00ED57DA"/>
    <w:rsid w:val="00ED66BC"/>
    <w:rsid w:val="00EF233A"/>
    <w:rsid w:val="00EF303E"/>
    <w:rsid w:val="00EF3A40"/>
    <w:rsid w:val="00EF7F78"/>
    <w:rsid w:val="00F01B08"/>
    <w:rsid w:val="00F01C4D"/>
    <w:rsid w:val="00F053FA"/>
    <w:rsid w:val="00F10C97"/>
    <w:rsid w:val="00F11C71"/>
    <w:rsid w:val="00F16019"/>
    <w:rsid w:val="00F20E68"/>
    <w:rsid w:val="00F22093"/>
    <w:rsid w:val="00F236DF"/>
    <w:rsid w:val="00F405F7"/>
    <w:rsid w:val="00F43AD5"/>
    <w:rsid w:val="00F4402E"/>
    <w:rsid w:val="00F4553A"/>
    <w:rsid w:val="00F56DD0"/>
    <w:rsid w:val="00F6491C"/>
    <w:rsid w:val="00F67BBB"/>
    <w:rsid w:val="00F87D92"/>
    <w:rsid w:val="00F90AA7"/>
    <w:rsid w:val="00F92498"/>
    <w:rsid w:val="00F93939"/>
    <w:rsid w:val="00F9496B"/>
    <w:rsid w:val="00F970C9"/>
    <w:rsid w:val="00FA06A8"/>
    <w:rsid w:val="00FA3DF5"/>
    <w:rsid w:val="00FA741F"/>
    <w:rsid w:val="00FB4E07"/>
    <w:rsid w:val="00FB755A"/>
    <w:rsid w:val="00FC60A2"/>
    <w:rsid w:val="00FD1871"/>
    <w:rsid w:val="00FD3110"/>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0524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table" w:styleId="LightShading-Accent2">
    <w:name w:val="Light Shading Accent 2"/>
    <w:aliases w:val="SWA Table Style"/>
    <w:basedOn w:val="TableNormal"/>
    <w:uiPriority w:val="60"/>
    <w:rsid w:val="008E4F1F"/>
    <w:pPr>
      <w:spacing w:before="120" w:after="120" w:line="240" w:lineRule="auto"/>
    </w:pPr>
    <w:rPr>
      <w:sz w:val="22"/>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styleId="CommentReference">
    <w:name w:val="annotation reference"/>
    <w:basedOn w:val="DefaultParagraphFont"/>
    <w:uiPriority w:val="99"/>
    <w:semiHidden/>
    <w:unhideWhenUsed/>
    <w:rsid w:val="00F4553A"/>
    <w:rPr>
      <w:sz w:val="16"/>
      <w:szCs w:val="16"/>
    </w:rPr>
  </w:style>
  <w:style w:type="paragraph" w:styleId="CommentText">
    <w:name w:val="annotation text"/>
    <w:basedOn w:val="Normal"/>
    <w:link w:val="CommentTextChar"/>
    <w:uiPriority w:val="99"/>
    <w:semiHidden/>
    <w:unhideWhenUsed/>
    <w:rsid w:val="00F4553A"/>
    <w:pPr>
      <w:spacing w:line="240" w:lineRule="auto"/>
    </w:pPr>
    <w:rPr>
      <w:szCs w:val="20"/>
    </w:rPr>
  </w:style>
  <w:style w:type="character" w:customStyle="1" w:styleId="CommentTextChar">
    <w:name w:val="Comment Text Char"/>
    <w:basedOn w:val="DefaultParagraphFont"/>
    <w:link w:val="CommentText"/>
    <w:uiPriority w:val="99"/>
    <w:semiHidden/>
    <w:rsid w:val="00F4553A"/>
    <w:rPr>
      <w:szCs w:val="20"/>
    </w:rPr>
  </w:style>
  <w:style w:type="paragraph" w:styleId="CommentSubject">
    <w:name w:val="annotation subject"/>
    <w:basedOn w:val="CommentText"/>
    <w:next w:val="CommentText"/>
    <w:link w:val="CommentSubjectChar"/>
    <w:uiPriority w:val="99"/>
    <w:semiHidden/>
    <w:unhideWhenUsed/>
    <w:rsid w:val="005637AB"/>
    <w:rPr>
      <w:b/>
      <w:bCs/>
    </w:rPr>
  </w:style>
  <w:style w:type="character" w:customStyle="1" w:styleId="CommentSubjectChar">
    <w:name w:val="Comment Subject Char"/>
    <w:basedOn w:val="CommentTextChar"/>
    <w:link w:val="CommentSubject"/>
    <w:uiPriority w:val="99"/>
    <w:semiHidden/>
    <w:rsid w:val="005637AB"/>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539936">
      <w:bodyDiv w:val="1"/>
      <w:marLeft w:val="0"/>
      <w:marRight w:val="0"/>
      <w:marTop w:val="0"/>
      <w:marBottom w:val="0"/>
      <w:divBdr>
        <w:top w:val="none" w:sz="0" w:space="0" w:color="auto"/>
        <w:left w:val="none" w:sz="0" w:space="0" w:color="auto"/>
        <w:bottom w:val="none" w:sz="0" w:space="0" w:color="auto"/>
        <w:right w:val="none" w:sz="0" w:space="0" w:color="auto"/>
      </w:divBdr>
    </w:div>
    <w:div w:id="557283705">
      <w:bodyDiv w:val="1"/>
      <w:marLeft w:val="0"/>
      <w:marRight w:val="0"/>
      <w:marTop w:val="0"/>
      <w:marBottom w:val="0"/>
      <w:divBdr>
        <w:top w:val="none" w:sz="0" w:space="0" w:color="auto"/>
        <w:left w:val="none" w:sz="0" w:space="0" w:color="auto"/>
        <w:bottom w:val="none" w:sz="0" w:space="0" w:color="auto"/>
        <w:right w:val="none" w:sz="0" w:space="0" w:color="auto"/>
      </w:divBdr>
    </w:div>
    <w:div w:id="635532579">
      <w:bodyDiv w:val="1"/>
      <w:marLeft w:val="0"/>
      <w:marRight w:val="0"/>
      <w:marTop w:val="0"/>
      <w:marBottom w:val="0"/>
      <w:divBdr>
        <w:top w:val="none" w:sz="0" w:space="0" w:color="auto"/>
        <w:left w:val="none" w:sz="0" w:space="0" w:color="auto"/>
        <w:bottom w:val="none" w:sz="0" w:space="0" w:color="auto"/>
        <w:right w:val="none" w:sz="0" w:space="0" w:color="auto"/>
      </w:divBdr>
    </w:div>
    <w:div w:id="722949400">
      <w:bodyDiv w:val="1"/>
      <w:marLeft w:val="0"/>
      <w:marRight w:val="0"/>
      <w:marTop w:val="0"/>
      <w:marBottom w:val="0"/>
      <w:divBdr>
        <w:top w:val="none" w:sz="0" w:space="0" w:color="auto"/>
        <w:left w:val="none" w:sz="0" w:space="0" w:color="auto"/>
        <w:bottom w:val="none" w:sz="0" w:space="0" w:color="auto"/>
        <w:right w:val="none" w:sz="0" w:space="0" w:color="auto"/>
      </w:divBdr>
    </w:div>
    <w:div w:id="1843281789">
      <w:bodyDiv w:val="1"/>
      <w:marLeft w:val="0"/>
      <w:marRight w:val="0"/>
      <w:marTop w:val="0"/>
      <w:marBottom w:val="0"/>
      <w:divBdr>
        <w:top w:val="none" w:sz="0" w:space="0" w:color="auto"/>
        <w:left w:val="none" w:sz="0" w:space="0" w:color="auto"/>
        <w:bottom w:val="none" w:sz="0" w:space="0" w:color="auto"/>
        <w:right w:val="none" w:sz="0" w:space="0" w:color="auto"/>
      </w:divBdr>
    </w:div>
    <w:div w:id="195640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C2B44F29000D47BD8588D2D5E8DFA6C8"/>
        <w:category>
          <w:name w:val="General"/>
          <w:gallery w:val="placeholder"/>
        </w:category>
        <w:types>
          <w:type w:val="bbPlcHdr"/>
        </w:types>
        <w:behaviors>
          <w:behavior w:val="content"/>
        </w:behaviors>
        <w:guid w:val="{9D2592D5-75B8-4D64-A901-EB344ED20046}"/>
      </w:docPartPr>
      <w:docPartBody>
        <w:p w:rsidR="00D21A9F" w:rsidRDefault="00D21A9F">
          <w:pPr>
            <w:pStyle w:val="C2B44F29000D47BD8588D2D5E8DFA6C8"/>
          </w:pPr>
          <w:r w:rsidRPr="00724F1C">
            <w:rPr>
              <w:rStyle w:val="PlaceholderText"/>
            </w:rPr>
            <w:t>Choose an item.</w:t>
          </w:r>
        </w:p>
      </w:docPartBody>
    </w:docPart>
    <w:docPart>
      <w:docPartPr>
        <w:name w:val="320A77D155374054996F168A20882C28"/>
        <w:category>
          <w:name w:val="General"/>
          <w:gallery w:val="placeholder"/>
        </w:category>
        <w:types>
          <w:type w:val="bbPlcHdr"/>
        </w:types>
        <w:behaviors>
          <w:behavior w:val="content"/>
        </w:behaviors>
        <w:guid w:val="{F4DC0181-19B2-490D-83F0-D85D1689E2A9}"/>
      </w:docPartPr>
      <w:docPartBody>
        <w:p w:rsidR="00D21A9F" w:rsidRDefault="00D21A9F">
          <w:pPr>
            <w:pStyle w:val="320A77D155374054996F168A20882C28"/>
          </w:pPr>
          <w:r w:rsidRPr="00724F1C">
            <w:rPr>
              <w:rStyle w:val="PlaceholderText"/>
            </w:rPr>
            <w:t>Choose an item.</w:t>
          </w:r>
        </w:p>
      </w:docPartBody>
    </w:docPart>
    <w:docPart>
      <w:docPartPr>
        <w:name w:val="EA51C8540A4D4F0A9062F5B1698DCBB0"/>
        <w:category>
          <w:name w:val="General"/>
          <w:gallery w:val="placeholder"/>
        </w:category>
        <w:types>
          <w:type w:val="bbPlcHdr"/>
        </w:types>
        <w:behaviors>
          <w:behavior w:val="content"/>
        </w:behaviors>
        <w:guid w:val="{5A1D35A6-51B4-4D9C-B1D2-B881B06F755D}"/>
      </w:docPartPr>
      <w:docPartBody>
        <w:p w:rsidR="00D21A9F" w:rsidRDefault="00D21A9F">
          <w:pPr>
            <w:pStyle w:val="EA51C8540A4D4F0A9062F5B1698DCBB0"/>
          </w:pPr>
          <w:r w:rsidRPr="00724F1C">
            <w:rPr>
              <w:rStyle w:val="PlaceholderText"/>
            </w:rPr>
            <w:t>Choose an item.</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CAD2D506A5824AB88D896BC2795BCEDE"/>
        <w:category>
          <w:name w:val="General"/>
          <w:gallery w:val="placeholder"/>
        </w:category>
        <w:types>
          <w:type w:val="bbPlcHdr"/>
        </w:types>
        <w:behaviors>
          <w:behavior w:val="content"/>
        </w:behaviors>
        <w:guid w:val="{4E99D28C-1B09-4DD0-B83A-09A1AFF622AA}"/>
      </w:docPartPr>
      <w:docPartBody>
        <w:p w:rsidR="00D21A9F" w:rsidRDefault="00D21A9F">
          <w:pPr>
            <w:pStyle w:val="CAD2D506A5824AB88D896BC2795BCEDE"/>
          </w:pPr>
          <w:r w:rsidRPr="001D56F0">
            <w:rPr>
              <w:rStyle w:val="PlaceholderText"/>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FB0307FD2095404C9CFBE1E594ADF091"/>
        <w:category>
          <w:name w:val="General"/>
          <w:gallery w:val="placeholder"/>
        </w:category>
        <w:types>
          <w:type w:val="bbPlcHdr"/>
        </w:types>
        <w:behaviors>
          <w:behavior w:val="content"/>
        </w:behaviors>
        <w:guid w:val="{A325C447-0BA0-4090-95C6-CC9FF0695D56}"/>
      </w:docPartPr>
      <w:docPartBody>
        <w:p w:rsidR="00CA72D3" w:rsidRDefault="00347D16" w:rsidP="00347D16">
          <w:pPr>
            <w:pStyle w:val="FB0307FD2095404C9CFBE1E594ADF091"/>
          </w:pPr>
          <w:r w:rsidRPr="00262278">
            <w:rPr>
              <w:color w:val="00B050"/>
            </w:rPr>
            <w:t>1994</w:t>
          </w:r>
        </w:p>
      </w:docPartBody>
    </w:docPart>
    <w:docPart>
      <w:docPartPr>
        <w:name w:val="DA2FFE9CEF2D415F9F59B567F352ED2C"/>
        <w:category>
          <w:name w:val="General"/>
          <w:gallery w:val="placeholder"/>
        </w:category>
        <w:types>
          <w:type w:val="bbPlcHdr"/>
        </w:types>
        <w:behaviors>
          <w:behavior w:val="content"/>
        </w:behaviors>
        <w:guid w:val="{06E881C5-42A4-4306-B55E-10EEC441C04B}"/>
      </w:docPartPr>
      <w:docPartBody>
        <w:p w:rsidR="00937DDD" w:rsidRDefault="00CA72D3" w:rsidP="00CA72D3">
          <w:pPr>
            <w:pStyle w:val="DA2FFE9CEF2D415F9F59B567F352ED2C"/>
          </w:pPr>
          <w:r>
            <w:rPr>
              <w:rStyle w:val="PlaceholderText"/>
            </w:rPr>
            <w:t>Has this value changed?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9F"/>
    <w:rsid w:val="003154D8"/>
    <w:rsid w:val="00347D16"/>
    <w:rsid w:val="003E0149"/>
    <w:rsid w:val="00755FBF"/>
    <w:rsid w:val="00937DDD"/>
    <w:rsid w:val="00CA72D3"/>
    <w:rsid w:val="00D21A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2D3"/>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B5CFDE21C857404F9FEFED685E085F4D">
    <w:name w:val="B5CFDE21C857404F9FEFED685E085F4D"/>
    <w:rsid w:val="00347D16"/>
    <w:rPr>
      <w:lang w:val="en-US" w:eastAsia="en-US"/>
    </w:rPr>
  </w:style>
  <w:style w:type="paragraph" w:customStyle="1" w:styleId="6BB57C39631949C4B4C47D3978D25A26">
    <w:name w:val="6BB57C39631949C4B4C47D3978D25A26"/>
    <w:rsid w:val="00347D16"/>
    <w:rPr>
      <w:lang w:val="en-US" w:eastAsia="en-US"/>
    </w:rPr>
  </w:style>
  <w:style w:type="paragraph" w:customStyle="1" w:styleId="F6336CC4CFA040E9B9321C7AA205723D">
    <w:name w:val="F6336CC4CFA040E9B9321C7AA205723D"/>
    <w:rsid w:val="00347D16"/>
    <w:rPr>
      <w:lang w:val="en-US" w:eastAsia="en-US"/>
    </w:rPr>
  </w:style>
  <w:style w:type="paragraph" w:customStyle="1" w:styleId="58AB8EB8E0694D709F78DDDDFF8053AF">
    <w:name w:val="58AB8EB8E0694D709F78DDDDFF8053AF"/>
    <w:rsid w:val="00347D16"/>
    <w:rPr>
      <w:lang w:val="en-US" w:eastAsia="en-US"/>
    </w:rPr>
  </w:style>
  <w:style w:type="paragraph" w:customStyle="1" w:styleId="D83A27157E294A98BF103E9BA5C24469">
    <w:name w:val="D83A27157E294A98BF103E9BA5C24469"/>
    <w:rsid w:val="00347D16"/>
    <w:rPr>
      <w:lang w:val="en-US" w:eastAsia="en-US"/>
    </w:rPr>
  </w:style>
  <w:style w:type="paragraph" w:customStyle="1" w:styleId="C02304FCE5E444CC91858DC7F6B36569">
    <w:name w:val="C02304FCE5E444CC91858DC7F6B36569"/>
    <w:rsid w:val="00347D16"/>
    <w:rPr>
      <w:lang w:val="en-US" w:eastAsia="en-US"/>
    </w:rPr>
  </w:style>
  <w:style w:type="paragraph" w:customStyle="1" w:styleId="0CA242CE4A894B91804C854EFF498506">
    <w:name w:val="0CA242CE4A894B91804C854EFF498506"/>
    <w:rsid w:val="00347D16"/>
    <w:rPr>
      <w:lang w:val="en-US" w:eastAsia="en-US"/>
    </w:rPr>
  </w:style>
  <w:style w:type="paragraph" w:customStyle="1" w:styleId="E4C65E42AA1B46E49036B1117E798206">
    <w:name w:val="E4C65E42AA1B46E49036B1117E798206"/>
    <w:rsid w:val="00347D16"/>
    <w:rPr>
      <w:lang w:val="en-US" w:eastAsia="en-US"/>
    </w:rPr>
  </w:style>
  <w:style w:type="paragraph" w:customStyle="1" w:styleId="765596AF291C401F8FF734B196C5B66D">
    <w:name w:val="765596AF291C401F8FF734B196C5B66D"/>
    <w:rsid w:val="00347D16"/>
    <w:rPr>
      <w:lang w:val="en-US" w:eastAsia="en-US"/>
    </w:rPr>
  </w:style>
  <w:style w:type="paragraph" w:customStyle="1" w:styleId="E1F508F611B14EAD81A9E7706A8B0D6B">
    <w:name w:val="E1F508F611B14EAD81A9E7706A8B0D6B"/>
    <w:rsid w:val="00347D16"/>
    <w:rPr>
      <w:lang w:val="en-US" w:eastAsia="en-US"/>
    </w:rPr>
  </w:style>
  <w:style w:type="paragraph" w:customStyle="1" w:styleId="34F7093F5FBF4BA8A1CB5E44087BC282">
    <w:name w:val="34F7093F5FBF4BA8A1CB5E44087BC282"/>
    <w:rsid w:val="00347D16"/>
    <w:rPr>
      <w:lang w:val="en-US" w:eastAsia="en-US"/>
    </w:rPr>
  </w:style>
  <w:style w:type="paragraph" w:customStyle="1" w:styleId="26FC8EB56520491CACA9FCEB0ECBEB87">
    <w:name w:val="26FC8EB56520491CACA9FCEB0ECBEB87"/>
    <w:rsid w:val="00347D16"/>
    <w:rPr>
      <w:lang w:val="en-US" w:eastAsia="en-US"/>
    </w:rPr>
  </w:style>
  <w:style w:type="paragraph" w:customStyle="1" w:styleId="BD790799C48E499DAA3B2110345ED3D6">
    <w:name w:val="BD790799C48E499DAA3B2110345ED3D6"/>
    <w:rsid w:val="00347D16"/>
    <w:rPr>
      <w:lang w:val="en-US" w:eastAsia="en-US"/>
    </w:rPr>
  </w:style>
  <w:style w:type="paragraph" w:customStyle="1" w:styleId="3449B0DC08A1430EB9AEF6ED75130148">
    <w:name w:val="3449B0DC08A1430EB9AEF6ED75130148"/>
    <w:rsid w:val="00347D16"/>
    <w:rPr>
      <w:lang w:val="en-US" w:eastAsia="en-US"/>
    </w:rPr>
  </w:style>
  <w:style w:type="paragraph" w:customStyle="1" w:styleId="D8858E08CDF0401CB750E98F7CA8DE9B">
    <w:name w:val="D8858E08CDF0401CB750E98F7CA8DE9B"/>
    <w:rsid w:val="00347D16"/>
    <w:rPr>
      <w:lang w:val="en-US" w:eastAsia="en-US"/>
    </w:rPr>
  </w:style>
  <w:style w:type="paragraph" w:customStyle="1" w:styleId="3E37342461F94466AC5FC31DE44A5773">
    <w:name w:val="3E37342461F94466AC5FC31DE44A5773"/>
    <w:rsid w:val="00347D16"/>
    <w:rPr>
      <w:lang w:val="en-US" w:eastAsia="en-US"/>
    </w:rPr>
  </w:style>
  <w:style w:type="paragraph" w:customStyle="1" w:styleId="FF4B5AA193D14B4CA9A1E95ECAB9F3C9">
    <w:name w:val="FF4B5AA193D14B4CA9A1E95ECAB9F3C9"/>
    <w:rsid w:val="00347D16"/>
    <w:rPr>
      <w:lang w:val="en-US" w:eastAsia="en-US"/>
    </w:rPr>
  </w:style>
  <w:style w:type="paragraph" w:customStyle="1" w:styleId="C0C66143CD704D439CDB5BE6C54F4B45">
    <w:name w:val="C0C66143CD704D439CDB5BE6C54F4B45"/>
    <w:rsid w:val="00347D16"/>
    <w:rPr>
      <w:lang w:val="en-US" w:eastAsia="en-US"/>
    </w:rPr>
  </w:style>
  <w:style w:type="paragraph" w:customStyle="1" w:styleId="E035055C98A7460090CF375CCF93B664">
    <w:name w:val="E035055C98A7460090CF375CCF93B664"/>
    <w:rsid w:val="00347D16"/>
    <w:rPr>
      <w:lang w:val="en-US" w:eastAsia="en-US"/>
    </w:rPr>
  </w:style>
  <w:style w:type="paragraph" w:customStyle="1" w:styleId="44ABE665556845C0BEFD555ED8765A6C">
    <w:name w:val="44ABE665556845C0BEFD555ED8765A6C"/>
    <w:rsid w:val="00347D16"/>
    <w:rPr>
      <w:lang w:val="en-US" w:eastAsia="en-US"/>
    </w:rPr>
  </w:style>
  <w:style w:type="paragraph" w:customStyle="1" w:styleId="4435E3CDB9FB44189EC6DC83A9A444D6">
    <w:name w:val="4435E3CDB9FB44189EC6DC83A9A444D6"/>
    <w:rsid w:val="00347D16"/>
    <w:rPr>
      <w:lang w:val="en-US" w:eastAsia="en-US"/>
    </w:rPr>
  </w:style>
  <w:style w:type="paragraph" w:customStyle="1" w:styleId="1CC15CBB93EB481CB8D82FFE5BFD2D9B">
    <w:name w:val="1CC15CBB93EB481CB8D82FFE5BFD2D9B"/>
    <w:rsid w:val="00347D16"/>
    <w:rPr>
      <w:lang w:val="en-US" w:eastAsia="en-US"/>
    </w:rPr>
  </w:style>
  <w:style w:type="paragraph" w:customStyle="1" w:styleId="E715A9059B4D4192BFF43F02640F6538">
    <w:name w:val="E715A9059B4D4192BFF43F02640F6538"/>
    <w:rsid w:val="00347D16"/>
    <w:rPr>
      <w:lang w:val="en-US" w:eastAsia="en-US"/>
    </w:rPr>
  </w:style>
  <w:style w:type="paragraph" w:customStyle="1" w:styleId="0BA82130F7D946FFA18908296418232F">
    <w:name w:val="0BA82130F7D946FFA18908296418232F"/>
    <w:rsid w:val="00347D16"/>
    <w:rPr>
      <w:lang w:val="en-US" w:eastAsia="en-US"/>
    </w:rPr>
  </w:style>
  <w:style w:type="paragraph" w:customStyle="1" w:styleId="29CEDC1DEFB64CBCB141AE461C60BD40">
    <w:name w:val="29CEDC1DEFB64CBCB141AE461C60BD40"/>
    <w:rsid w:val="00347D16"/>
    <w:rPr>
      <w:lang w:val="en-US" w:eastAsia="en-US"/>
    </w:rPr>
  </w:style>
  <w:style w:type="paragraph" w:customStyle="1" w:styleId="1FE3EE30DD3940DB82381ABC845380CB">
    <w:name w:val="1FE3EE30DD3940DB82381ABC845380CB"/>
    <w:rsid w:val="00347D16"/>
    <w:rPr>
      <w:lang w:val="en-US" w:eastAsia="en-US"/>
    </w:rPr>
  </w:style>
  <w:style w:type="paragraph" w:customStyle="1" w:styleId="6159E7D7E1784F989FAB17CA95A66931">
    <w:name w:val="6159E7D7E1784F989FAB17CA95A66931"/>
    <w:rsid w:val="00347D16"/>
    <w:rPr>
      <w:lang w:val="en-US" w:eastAsia="en-US"/>
    </w:rPr>
  </w:style>
  <w:style w:type="paragraph" w:customStyle="1" w:styleId="A7967B9552E94A109AFB97AE998EDBEC">
    <w:name w:val="A7967B9552E94A109AFB97AE998EDBEC"/>
    <w:rsid w:val="00347D16"/>
    <w:rPr>
      <w:lang w:val="en-US" w:eastAsia="en-US"/>
    </w:rPr>
  </w:style>
  <w:style w:type="paragraph" w:customStyle="1" w:styleId="85303D690FD640D08170C75075190C4B">
    <w:name w:val="85303D690FD640D08170C75075190C4B"/>
    <w:rsid w:val="00347D16"/>
    <w:rPr>
      <w:lang w:val="en-US" w:eastAsia="en-US"/>
    </w:rPr>
  </w:style>
  <w:style w:type="paragraph" w:customStyle="1" w:styleId="A070BFA618804340AABDA79FF681FE29">
    <w:name w:val="A070BFA618804340AABDA79FF681FE29"/>
    <w:rsid w:val="00347D16"/>
    <w:rPr>
      <w:lang w:val="en-US" w:eastAsia="en-US"/>
    </w:rPr>
  </w:style>
  <w:style w:type="paragraph" w:customStyle="1" w:styleId="364F05E0071B464399205E1EA7EF0B93">
    <w:name w:val="364F05E0071B464399205E1EA7EF0B93"/>
    <w:rsid w:val="00347D16"/>
    <w:rPr>
      <w:lang w:val="en-US" w:eastAsia="en-US"/>
    </w:rPr>
  </w:style>
  <w:style w:type="paragraph" w:customStyle="1" w:styleId="2CB4F544E2C14C8FA4754C0EF86EDCBB">
    <w:name w:val="2CB4F544E2C14C8FA4754C0EF86EDCBB"/>
    <w:rsid w:val="00347D16"/>
    <w:rPr>
      <w:lang w:val="en-US" w:eastAsia="en-US"/>
    </w:rPr>
  </w:style>
  <w:style w:type="paragraph" w:customStyle="1" w:styleId="FB0307FD2095404C9CFBE1E594ADF091">
    <w:name w:val="FB0307FD2095404C9CFBE1E594ADF091"/>
    <w:rsid w:val="00347D16"/>
    <w:rPr>
      <w:lang w:val="en-US" w:eastAsia="en-US"/>
    </w:rPr>
  </w:style>
  <w:style w:type="paragraph" w:customStyle="1" w:styleId="A076971D269D49F190680C4D26C5D6D6">
    <w:name w:val="A076971D269D49F190680C4D26C5D6D6"/>
    <w:rsid w:val="00347D16"/>
    <w:rPr>
      <w:lang w:val="en-US" w:eastAsia="en-US"/>
    </w:rPr>
  </w:style>
  <w:style w:type="paragraph" w:customStyle="1" w:styleId="DA2FFE9CEF2D415F9F59B567F352ED2C">
    <w:name w:val="DA2FFE9CEF2D415F9F59B567F352ED2C"/>
    <w:rsid w:val="00CA7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4" ma:contentTypeDescription="Create a new document." ma:contentTypeScope="" ma:versionID="064d7b978d02efd1e6483567367d0895">
  <xsd:schema xmlns:xsd="http://www.w3.org/2001/XMLSchema" xmlns:xs="http://www.w3.org/2001/XMLSchema" xmlns:p="http://schemas.microsoft.com/office/2006/metadata/properties" xmlns:ns2="bf54d604-3e62-4e70-ba33-9e9084b96a66" targetNamespace="http://schemas.microsoft.com/office/2006/metadata/properties" ma:root="true" ma:fieldsID="d17ff28f510e71dda79b4a1724ec235d" ns2:_="">
    <xsd:import namespace="bf54d604-3e62-4e70-ba33-9e9084b96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6E838-3D45-41CB-9B28-C4D1BE26B63D}">
  <ds:schemaRefs>
    <ds:schemaRef ds:uri="http://schemas.microsoft.com/sharepoint/v3/contenttype/forms"/>
  </ds:schemaRefs>
</ds:datastoreItem>
</file>

<file path=customXml/itemProps2.xml><?xml version="1.0" encoding="utf-8"?>
<ds:datastoreItem xmlns:ds="http://schemas.openxmlformats.org/officeDocument/2006/customXml" ds:itemID="{4F4DBF4A-B3DD-4F4B-87F4-0C0681F9D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946CF-A0F9-425B-9B2E-BE3604806E5A}">
  <ds:schemaRefs>
    <ds:schemaRef ds:uri="bf54d604-3e62-4e70-ba33-9e9084b96a66"/>
    <ds:schemaRef ds:uri="http://purl.org/dc/elements/1.1/"/>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32DEE0F-946D-4CE4-82F4-12E5C0E25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2020-04-08T02:48:00Z</dcterms:created>
  <dcterms:modified xsi:type="dcterms:W3CDTF">2020-07-21T01:50:00Z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