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90556" w14:textId="77777777" w:rsidR="00BD499F" w:rsidRPr="004C23F4" w:rsidRDefault="00A839D4" w:rsidP="00B40C60">
      <w:pPr>
        <w:pStyle w:val="Heading1"/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NameofChemical"/>
          <w:tag w:val="NameofChemical"/>
          <w:id w:val="1425919599"/>
          <w:lock w:val="sdtLocked"/>
          <w:placeholder>
            <w:docPart w:val="CE1736E50B02464986D1BEC8B7ACDE96"/>
          </w:placeholder>
          <w:text/>
        </w:sdtPr>
        <w:sdtEndPr/>
        <w:sdtContent>
          <w:r w:rsidR="009F66C4">
            <w:rPr>
              <w:rFonts w:ascii="Arial" w:hAnsi="Arial" w:cs="Arial"/>
            </w:rPr>
            <w:t>trifluorobromomethane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62"/>
        <w:gridCol w:w="5064"/>
      </w:tblGrid>
      <w:tr w:rsidR="00F43AD5" w:rsidRPr="004C23F4" w14:paraId="2A959580" w14:textId="77777777" w:rsidTr="00031D04">
        <w:trPr>
          <w:cantSplit/>
          <w:tblHeader/>
        </w:trPr>
        <w:tc>
          <w:tcPr>
            <w:tcW w:w="3962" w:type="dxa"/>
          </w:tcPr>
          <w:p w14:paraId="25FE69AB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64" w:type="dxa"/>
          </w:tcPr>
          <w:p w14:paraId="2C288C28" w14:textId="77777777" w:rsidR="00F43AD5" w:rsidRPr="00717D45" w:rsidRDefault="009F66C4" w:rsidP="00B76A41">
            <w:pPr>
              <w:pStyle w:val="Tablefont"/>
            </w:pPr>
            <w:r>
              <w:t>75-63-8</w:t>
            </w:r>
          </w:p>
        </w:tc>
      </w:tr>
      <w:tr w:rsidR="00F43AD5" w:rsidRPr="004C23F4" w14:paraId="6F7FE5EA" w14:textId="77777777" w:rsidTr="00031D04">
        <w:trPr>
          <w:cantSplit/>
        </w:trPr>
        <w:tc>
          <w:tcPr>
            <w:tcW w:w="3962" w:type="dxa"/>
          </w:tcPr>
          <w:p w14:paraId="47952777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64" w:type="dxa"/>
          </w:tcPr>
          <w:p w14:paraId="4017E383" w14:textId="77777777" w:rsidR="00F43AD5" w:rsidRPr="00717D45" w:rsidRDefault="007D704F" w:rsidP="00B76A41">
            <w:pPr>
              <w:pStyle w:val="Tablefont"/>
            </w:pPr>
            <w:proofErr w:type="spellStart"/>
            <w:r>
              <w:t>Bromofluoroform</w:t>
            </w:r>
            <w:proofErr w:type="spellEnd"/>
            <w:r>
              <w:t xml:space="preserve">, </w:t>
            </w:r>
            <w:proofErr w:type="spellStart"/>
            <w:r>
              <w:t>bromotrifluoromethane</w:t>
            </w:r>
            <w:proofErr w:type="spellEnd"/>
            <w:r>
              <w:t xml:space="preserve">, freon 13B1, halon 1301, refrigerant 13B1, </w:t>
            </w:r>
            <w:proofErr w:type="spellStart"/>
            <w:r>
              <w:t>trifluoromonobromomethane</w:t>
            </w:r>
            <w:proofErr w:type="spellEnd"/>
          </w:p>
        </w:tc>
      </w:tr>
      <w:tr w:rsidR="00F43AD5" w:rsidRPr="004C23F4" w14:paraId="4AF775C2" w14:textId="77777777" w:rsidTr="00031D04">
        <w:trPr>
          <w:cantSplit/>
        </w:trPr>
        <w:tc>
          <w:tcPr>
            <w:tcW w:w="3962" w:type="dxa"/>
          </w:tcPr>
          <w:p w14:paraId="18A42D3C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64" w:type="dxa"/>
          </w:tcPr>
          <w:p w14:paraId="6D680793" w14:textId="77777777" w:rsidR="00F43AD5" w:rsidRPr="00717D45" w:rsidRDefault="007D704F" w:rsidP="00B76A41">
            <w:pPr>
              <w:pStyle w:val="Tablefont"/>
            </w:pPr>
            <w:r>
              <w:t>CBrF</w:t>
            </w:r>
            <w:r w:rsidRPr="007D704F">
              <w:rPr>
                <w:vertAlign w:val="subscript"/>
              </w:rPr>
              <w:t>3</w:t>
            </w:r>
          </w:p>
        </w:tc>
      </w:tr>
    </w:tbl>
    <w:p w14:paraId="28041796" w14:textId="7FD91C30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BA0602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1A937A0A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40099242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A3CD3BB" w14:textId="0886E610" w:rsidR="002C7AFE" w:rsidRPr="00BA0602" w:rsidRDefault="00BA0602" w:rsidP="00017C82">
            <w:pPr>
              <w:pStyle w:val="Tablefont"/>
              <w:rPr>
                <w:b/>
              </w:rPr>
            </w:pPr>
            <w:r w:rsidRPr="00BA0602">
              <w:rPr>
                <w:b/>
              </w:rPr>
              <w:t>1,000 ppm (6,090 mg/m</w:t>
            </w:r>
            <w:r w:rsidRPr="00BA0602"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037E52" w:rsidRPr="004C23F4" w14:paraId="48DE4AFF" w14:textId="77777777" w:rsidTr="00037E52">
        <w:trPr>
          <w:cantSplit/>
        </w:trPr>
        <w:tc>
          <w:tcPr>
            <w:tcW w:w="4010" w:type="dxa"/>
            <w:vAlign w:val="center"/>
          </w:tcPr>
          <w:p w14:paraId="26BD8197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4F213AEC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2D27753" w14:textId="77777777" w:rsidTr="00037E52">
        <w:trPr>
          <w:cantSplit/>
        </w:trPr>
        <w:tc>
          <w:tcPr>
            <w:tcW w:w="4010" w:type="dxa"/>
            <w:vAlign w:val="center"/>
          </w:tcPr>
          <w:p w14:paraId="12EFFB9F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1B94B438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6538EA89" w14:textId="77777777" w:rsidTr="00037E52">
        <w:trPr>
          <w:cantSplit/>
        </w:trPr>
        <w:tc>
          <w:tcPr>
            <w:tcW w:w="4010" w:type="dxa"/>
          </w:tcPr>
          <w:p w14:paraId="4F3880B8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45AEFD51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7A38B67C" w14:textId="77777777" w:rsidTr="00037E52">
        <w:trPr>
          <w:cantSplit/>
        </w:trPr>
        <w:tc>
          <w:tcPr>
            <w:tcW w:w="4010" w:type="dxa"/>
            <w:vAlign w:val="center"/>
          </w:tcPr>
          <w:p w14:paraId="538A6901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FEB2007" w14:textId="0122DC88" w:rsidR="00037E52" w:rsidRPr="00EB3D1B" w:rsidRDefault="00D3359E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40,000 ppm</w:t>
            </w:r>
          </w:p>
        </w:tc>
      </w:tr>
      <w:tr w:rsidR="00155999" w:rsidRPr="004C23F4" w14:paraId="4122D792" w14:textId="77777777" w:rsidTr="00D4069C">
        <w:trPr>
          <w:cantSplit/>
        </w:trPr>
        <w:tc>
          <w:tcPr>
            <w:tcW w:w="9026" w:type="dxa"/>
            <w:gridSpan w:val="2"/>
            <w:vAlign w:val="center"/>
          </w:tcPr>
          <w:p w14:paraId="6CBD9C52" w14:textId="5D53621E" w:rsidR="00155999" w:rsidRPr="00EB3D1B" w:rsidRDefault="00155999" w:rsidP="00037E52">
            <w:pPr>
              <w:pStyle w:val="Tablefont"/>
              <w:rPr>
                <w:b/>
              </w:rPr>
            </w:pPr>
            <w:r w:rsidRPr="007D1D8E">
              <w:rPr>
                <w:b/>
                <w:bCs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bCs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3E262F">
                  <w:rPr>
                    <w:rStyle w:val="WESstatus"/>
                    <w:bCs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70B4D786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4BD2790" w14:textId="1B9520EB" w:rsidR="006639B4" w:rsidRPr="00BA0602" w:rsidRDefault="00BA0602" w:rsidP="000C139A">
      <w:pPr>
        <w:rPr>
          <w:rFonts w:cs="Arial"/>
        </w:rPr>
      </w:pPr>
      <w:r>
        <w:rPr>
          <w:rFonts w:cs="Arial"/>
        </w:rPr>
        <w:t xml:space="preserve">A TWA of </w:t>
      </w:r>
      <w:r w:rsidRPr="00E418B6">
        <w:t>1,000 ppm (6,090 mg/m</w:t>
      </w:r>
      <w:r w:rsidRPr="00D15BFC">
        <w:rPr>
          <w:vertAlign w:val="superscript"/>
        </w:rPr>
        <w:t>3</w:t>
      </w:r>
      <w:r>
        <w:t xml:space="preserve">) is recommended to protect for </w:t>
      </w:r>
      <w:r w:rsidR="00010A00">
        <w:t>effects on cardiovascular system and central nervous system</w:t>
      </w:r>
      <w:r w:rsidR="009F01E5">
        <w:t xml:space="preserve"> (CNS)</w:t>
      </w:r>
      <w:r w:rsidR="00D0200C">
        <w:t xml:space="preserve"> in exposed workers.</w:t>
      </w:r>
    </w:p>
    <w:p w14:paraId="47A3B12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DDED6EE" w14:textId="77777777" w:rsidR="00031D04" w:rsidRDefault="00F353C1" w:rsidP="006639B4">
      <w:pPr>
        <w:rPr>
          <w:rFonts w:cs="Arial"/>
        </w:rPr>
      </w:pPr>
      <w:r>
        <w:rPr>
          <w:rFonts w:cs="Arial"/>
        </w:rPr>
        <w:t>Trifluorobromomethane has been used as a fire extinguisher and chemical intermediate</w:t>
      </w:r>
      <w:r w:rsidR="00895FA5">
        <w:rPr>
          <w:rFonts w:cs="Arial"/>
        </w:rPr>
        <w:t xml:space="preserve">. </w:t>
      </w:r>
    </w:p>
    <w:p w14:paraId="3633DD12" w14:textId="77777777" w:rsidR="00D967A6" w:rsidRDefault="00895FA5" w:rsidP="006639B4">
      <w:r>
        <w:rPr>
          <w:rFonts w:cs="Arial"/>
        </w:rPr>
        <w:t xml:space="preserve">Critical effects of exposure are </w:t>
      </w:r>
      <w:r w:rsidR="00010A00">
        <w:rPr>
          <w:rFonts w:cs="Arial"/>
        </w:rPr>
        <w:t>effects on psychomotor function</w:t>
      </w:r>
      <w:r w:rsidR="00175984">
        <w:rPr>
          <w:rFonts w:cs="Arial"/>
        </w:rPr>
        <w:t xml:space="preserve">, narcosis and </w:t>
      </w:r>
      <w:r w:rsidR="00175984">
        <w:t xml:space="preserve">cardiac sensitisation. </w:t>
      </w:r>
    </w:p>
    <w:p w14:paraId="5BF8C9E7" w14:textId="2C32CDD1" w:rsidR="009F01E5" w:rsidRDefault="00543987" w:rsidP="006639B4">
      <w:r>
        <w:t>V</w:t>
      </w:r>
      <w:r w:rsidR="00175984">
        <w:t>olunteers e</w:t>
      </w:r>
      <w:r>
        <w:t>xpos</w:t>
      </w:r>
      <w:r w:rsidR="00175984">
        <w:t>e</w:t>
      </w:r>
      <w:r>
        <w:t>d</w:t>
      </w:r>
      <w:r w:rsidR="00175984">
        <w:t xml:space="preserve"> at 10</w:t>
      </w:r>
      <w:r w:rsidR="00031D04">
        <w:t xml:space="preserve"> to</w:t>
      </w:r>
      <w:r w:rsidR="00175984">
        <w:t>15</w:t>
      </w:r>
      <w:r w:rsidR="009F01E5">
        <w:t xml:space="preserve"> per cent</w:t>
      </w:r>
      <w:r w:rsidR="00175984">
        <w:t xml:space="preserve"> (1</w:t>
      </w:r>
      <w:r>
        <w:t>0</w:t>
      </w:r>
      <w:r w:rsidR="00175984">
        <w:t>0,000</w:t>
      </w:r>
      <w:r w:rsidR="00B86323">
        <w:t>–</w:t>
      </w:r>
      <w:r w:rsidR="00175984">
        <w:t>15</w:t>
      </w:r>
      <w:r>
        <w:t>0</w:t>
      </w:r>
      <w:r w:rsidR="00175984">
        <w:t xml:space="preserve">,000 ppm) in air </w:t>
      </w:r>
      <w:r w:rsidR="00031D04">
        <w:t xml:space="preserve">have </w:t>
      </w:r>
      <w:r w:rsidR="00175984">
        <w:t>decrease</w:t>
      </w:r>
      <w:r>
        <w:t>d performance</w:t>
      </w:r>
      <w:r w:rsidR="00175984">
        <w:t xml:space="preserve"> in </w:t>
      </w:r>
      <w:r>
        <w:t>five</w:t>
      </w:r>
      <w:r w:rsidR="00175984">
        <w:t xml:space="preserve"> of </w:t>
      </w:r>
      <w:r>
        <w:t>six</w:t>
      </w:r>
      <w:r w:rsidR="00175984">
        <w:t xml:space="preserve"> psychomotor tasks</w:t>
      </w:r>
      <w:r w:rsidR="00D967A6">
        <w:t>,</w:t>
      </w:r>
      <w:r w:rsidR="00031D04">
        <w:t xml:space="preserve"> with</w:t>
      </w:r>
      <w:r>
        <w:t xml:space="preserve"> feeling</w:t>
      </w:r>
      <w:r w:rsidR="00031D04">
        <w:t>s</w:t>
      </w:r>
      <w:r>
        <w:t xml:space="preserve"> of impending unconsciousness at </w:t>
      </w:r>
      <w:r w:rsidR="00031D04">
        <w:t>15 </w:t>
      </w:r>
      <w:r w:rsidR="009F01E5">
        <w:t>per cent</w:t>
      </w:r>
      <w:r>
        <w:t xml:space="preserve">. </w:t>
      </w:r>
      <w:r w:rsidR="00D967A6">
        <w:t>Twenty</w:t>
      </w:r>
      <w:r w:rsidR="00D967A6">
        <w:noBreakHyphen/>
      </w:r>
      <w:r>
        <w:t>minute exposures at 10</w:t>
      </w:r>
      <w:r w:rsidR="009F01E5">
        <w:t xml:space="preserve"> per cent</w:t>
      </w:r>
      <w:r>
        <w:t xml:space="preserve"> in volunteers caused confusion, unsteadiness, and giddiness</w:t>
      </w:r>
      <w:r w:rsidR="00D967A6">
        <w:t xml:space="preserve">. Three </w:t>
      </w:r>
      <w:r>
        <w:t xml:space="preserve">of </w:t>
      </w:r>
      <w:r w:rsidR="00D967A6">
        <w:t xml:space="preserve">the </w:t>
      </w:r>
      <w:r>
        <w:t>10 volunteers developed arrhythmia (ACGIH, 20</w:t>
      </w:r>
      <w:r w:rsidR="00ED5D18">
        <w:t>18</w:t>
      </w:r>
      <w:r>
        <w:t>; DFG, 1993)</w:t>
      </w:r>
      <w:r w:rsidR="00CD1149">
        <w:t xml:space="preserve">. </w:t>
      </w:r>
      <w:r w:rsidR="00D967A6">
        <w:t xml:space="preserve">Reduced performance in psychomotor function, logical reasoning, mental performance and increased reaction time reported in studies </w:t>
      </w:r>
      <w:r w:rsidR="00EB790D">
        <w:t>of volunteers exposed at 7</w:t>
      </w:r>
      <w:r w:rsidR="009F01E5">
        <w:t xml:space="preserve"> per cent</w:t>
      </w:r>
      <w:r w:rsidR="00EB790D">
        <w:t xml:space="preserve"> (70,000 ppm) for three hours </w:t>
      </w:r>
      <w:r w:rsidR="002D0475">
        <w:t>(DFG, 1993). At reduced atmospheric pressure, exposures at 4</w:t>
      </w:r>
      <w:r w:rsidR="00031D04">
        <w:t xml:space="preserve"> and </w:t>
      </w:r>
      <w:r w:rsidR="002D0475">
        <w:t>7</w:t>
      </w:r>
      <w:r w:rsidR="009F01E5">
        <w:t xml:space="preserve"> per cent</w:t>
      </w:r>
      <w:r w:rsidR="002D0475">
        <w:t xml:space="preserve"> </w:t>
      </w:r>
      <w:r w:rsidR="00E1147E">
        <w:t xml:space="preserve">(three to </w:t>
      </w:r>
      <w:r w:rsidR="00D967A6">
        <w:t>five-</w:t>
      </w:r>
      <w:r w:rsidR="00E1147E">
        <w:t xml:space="preserve">minute durations) </w:t>
      </w:r>
      <w:r w:rsidR="002D0475">
        <w:t>caused increased reaction times, fatigue and dizziness (ACGIH, 201</w:t>
      </w:r>
      <w:r w:rsidR="009F01E5">
        <w:t>8</w:t>
      </w:r>
      <w:r w:rsidR="002D0475">
        <w:t xml:space="preserve">; DFG, 1993). </w:t>
      </w:r>
    </w:p>
    <w:p w14:paraId="6DCF1574" w14:textId="67A60154" w:rsidR="006639B4" w:rsidRDefault="002D0475" w:rsidP="006639B4">
      <w:r>
        <w:t xml:space="preserve">Acute effects in animals occur at </w:t>
      </w:r>
      <w:r w:rsidR="00D967A6">
        <w:t>extremely high</w:t>
      </w:r>
      <w:r>
        <w:t xml:space="preserve"> concentrations, generally following exposures</w:t>
      </w:r>
      <w:r w:rsidR="00031D04">
        <w:t xml:space="preserve"> at</w:t>
      </w:r>
      <w:r>
        <w:t xml:space="preserve"> greater than 50</w:t>
      </w:r>
      <w:r w:rsidR="009F01E5">
        <w:t xml:space="preserve"> per cent</w:t>
      </w:r>
      <w:r>
        <w:t xml:space="preserve">. </w:t>
      </w:r>
      <w:r w:rsidR="00D967A6">
        <w:t>Lethality reported</w:t>
      </w:r>
      <w:r>
        <w:t xml:space="preserve"> in rats </w:t>
      </w:r>
      <w:r w:rsidR="00D967A6">
        <w:t xml:space="preserve">exposed to 834,000 ppm for </w:t>
      </w:r>
      <w:r>
        <w:t>15</w:t>
      </w:r>
      <w:r w:rsidR="00031D04">
        <w:t xml:space="preserve"> </w:t>
      </w:r>
      <w:r>
        <w:t xml:space="preserve">minute and </w:t>
      </w:r>
      <w:r w:rsidR="00D967A6">
        <w:t xml:space="preserve">ventricular </w:t>
      </w:r>
      <w:r w:rsidR="0062398C">
        <w:t>fibrillations</w:t>
      </w:r>
      <w:r w:rsidR="00D967A6">
        <w:t xml:space="preserve"> reported </w:t>
      </w:r>
      <w:r>
        <w:t xml:space="preserve">at </w:t>
      </w:r>
      <w:r w:rsidR="00D967A6">
        <w:t xml:space="preserve">exposures of </w:t>
      </w:r>
      <w:r>
        <w:t>40</w:t>
      </w:r>
      <w:r w:rsidR="009F01E5">
        <w:t xml:space="preserve"> per cent</w:t>
      </w:r>
      <w:r>
        <w:t xml:space="preserve"> (400,000 ppm) in dogs (duration not provided) (ACGIH, 201</w:t>
      </w:r>
      <w:r w:rsidR="009F01E5">
        <w:t>8</w:t>
      </w:r>
      <w:r>
        <w:t>).</w:t>
      </w:r>
    </w:p>
    <w:p w14:paraId="33F44C2E" w14:textId="7B2917BF" w:rsidR="00175984" w:rsidRPr="004C23F4" w:rsidRDefault="00666BD8" w:rsidP="006639B4">
      <w:pPr>
        <w:rPr>
          <w:rFonts w:cs="Arial"/>
        </w:rPr>
      </w:pPr>
      <w:r>
        <w:rPr>
          <w:rFonts w:cs="Arial"/>
        </w:rPr>
        <w:t xml:space="preserve">Given the low acute toxicity, a TWA of </w:t>
      </w:r>
      <w:r w:rsidRPr="00E418B6">
        <w:t>1,000 ppm (6,090 mg/m</w:t>
      </w:r>
      <w:r w:rsidRPr="00D15BFC">
        <w:rPr>
          <w:vertAlign w:val="superscript"/>
        </w:rPr>
        <w:t>3</w:t>
      </w:r>
      <w:r>
        <w:t xml:space="preserve">) is recommended to be retained as assigned by the primary sources and is considered protective of the effects on the cardiovascular system and </w:t>
      </w:r>
      <w:r w:rsidR="009F01E5">
        <w:t>CNS</w:t>
      </w:r>
      <w:r>
        <w:t>.</w:t>
      </w:r>
    </w:p>
    <w:p w14:paraId="3C76F482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3A8EF253" w14:textId="77777777" w:rsidR="008E4F1F" w:rsidRPr="00010A00" w:rsidRDefault="008E4F1F" w:rsidP="008E4F1F">
      <w:pPr>
        <w:rPr>
          <w:rFonts w:cs="Arial"/>
        </w:rPr>
      </w:pPr>
      <w:r w:rsidRPr="00010A00">
        <w:rPr>
          <w:rFonts w:cs="Arial"/>
        </w:rPr>
        <w:t>Not classified as a carcinogen according to the Globally Harmonized System of</w:t>
      </w:r>
      <w:r w:rsidR="00155999" w:rsidRPr="00010A00">
        <w:rPr>
          <w:rFonts w:cs="Arial"/>
        </w:rPr>
        <w:t xml:space="preserve"> Classification and Labelling of</w:t>
      </w:r>
      <w:r w:rsidRPr="00010A00">
        <w:rPr>
          <w:rFonts w:cs="Arial"/>
        </w:rPr>
        <w:t xml:space="preserve"> Chemicals (GHS). </w:t>
      </w:r>
    </w:p>
    <w:p w14:paraId="18F31E7D" w14:textId="77777777" w:rsidR="008E4F1F" w:rsidRPr="00010A00" w:rsidRDefault="008E4F1F" w:rsidP="008E4F1F">
      <w:pPr>
        <w:rPr>
          <w:rFonts w:cs="Arial"/>
        </w:rPr>
      </w:pPr>
      <w:r w:rsidRPr="00010A00">
        <w:rPr>
          <w:rFonts w:cs="Arial"/>
        </w:rPr>
        <w:t xml:space="preserve">Not classified as a skin </w:t>
      </w:r>
      <w:r w:rsidR="00155999" w:rsidRPr="00010A00">
        <w:rPr>
          <w:rFonts w:cs="Arial"/>
        </w:rPr>
        <w:t xml:space="preserve">sensitiser </w:t>
      </w:r>
      <w:r w:rsidRPr="00010A00">
        <w:rPr>
          <w:rFonts w:cs="Arial"/>
        </w:rPr>
        <w:t>or respiratory sensitiser according to the GHS.</w:t>
      </w:r>
    </w:p>
    <w:p w14:paraId="41E56E10" w14:textId="5A1FD8E8" w:rsidR="004529F0" w:rsidRPr="004C23F4" w:rsidRDefault="009F01E5" w:rsidP="008E4F1F">
      <w:pPr>
        <w:rPr>
          <w:rFonts w:cs="Arial"/>
        </w:rPr>
      </w:pPr>
      <w:r>
        <w:rPr>
          <w:rFonts w:cs="Arial"/>
        </w:rPr>
        <w:t>There are i</w:t>
      </w:r>
      <w:r w:rsidR="008E4F1F" w:rsidRPr="00010A00">
        <w:rPr>
          <w:rFonts w:cs="Arial"/>
        </w:rPr>
        <w:t xml:space="preserve">nsufficient </w:t>
      </w:r>
      <w:r>
        <w:rPr>
          <w:rFonts w:cs="Arial"/>
        </w:rPr>
        <w:t>data</w:t>
      </w:r>
      <w:r w:rsidRPr="00010A00">
        <w:rPr>
          <w:rFonts w:cs="Arial"/>
        </w:rPr>
        <w:t xml:space="preserve"> </w:t>
      </w:r>
      <w:r w:rsidR="008E4F1F" w:rsidRPr="00010A00">
        <w:rPr>
          <w:rFonts w:cs="Arial"/>
        </w:rPr>
        <w:t>to recommend a skin notation.</w:t>
      </w:r>
    </w:p>
    <w:p w14:paraId="19BC2EB0" w14:textId="77777777" w:rsidR="0025734A" w:rsidRPr="004C23F4" w:rsidRDefault="0025734A">
      <w:pPr>
        <w:rPr>
          <w:rFonts w:cs="Arial"/>
        </w:rPr>
      </w:pPr>
    </w:p>
    <w:p w14:paraId="6357C55E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393B802A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3AB09D01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795BF64F" w14:textId="77777777" w:rsidTr="00A839D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24840FB9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8BD4B41" w14:textId="77777777" w:rsidTr="00A839D4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8052730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E418B6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E418B6">
                  <w:t>TWA: 1,000 ppm (6,090 mg/m</w:t>
                </w:r>
                <w:r w:rsidR="00E418B6" w:rsidRPr="00E418B6">
                  <w:rPr>
                    <w:vertAlign w:val="superscript"/>
                  </w:rPr>
                  <w:t>3</w:t>
                </w:r>
                <w:r w:rsidR="00E418B6">
                  <w:t>)</w:t>
                </w:r>
              </w:sdtContent>
            </w:sdt>
          </w:p>
        </w:tc>
      </w:tr>
      <w:tr w:rsidR="00C978F0" w:rsidRPr="00DA352E" w14:paraId="32736702" w14:textId="77777777" w:rsidTr="00A839D4">
        <w:trPr>
          <w:gridAfter w:val="1"/>
          <w:wAfter w:w="8" w:type="pct"/>
          <w:cantSplit/>
        </w:trPr>
        <w:tc>
          <w:tcPr>
            <w:tcW w:w="4992" w:type="pct"/>
          </w:tcPr>
          <w:p w14:paraId="70FCEF40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07F29EDB" w14:textId="77777777" w:rsidTr="00A839D4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0437BD7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E418B6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E418B6">
                  <w:t>TLV-</w:t>
                </w:r>
                <w:r w:rsidR="00E418B6" w:rsidRPr="00E418B6">
                  <w:t>TWA: 1,000 ppm (6,090 mg/m</w:t>
                </w:r>
                <w:r w:rsidR="00E418B6" w:rsidRPr="00D15BFC">
                  <w:rPr>
                    <w:vertAlign w:val="superscript"/>
                  </w:rPr>
                  <w:t>3</w:t>
                </w:r>
                <w:r w:rsidR="00E418B6" w:rsidRPr="00E418B6">
                  <w:t>)</w:t>
                </w:r>
              </w:sdtContent>
            </w:sdt>
          </w:p>
        </w:tc>
      </w:tr>
      <w:tr w:rsidR="00C978F0" w:rsidRPr="00DA352E" w14:paraId="7B4880A0" w14:textId="77777777" w:rsidTr="00A839D4">
        <w:trPr>
          <w:gridAfter w:val="1"/>
          <w:wAfter w:w="8" w:type="pct"/>
          <w:cantSplit/>
        </w:trPr>
        <w:tc>
          <w:tcPr>
            <w:tcW w:w="4992" w:type="pct"/>
          </w:tcPr>
          <w:p w14:paraId="3212B4D0" w14:textId="77777777" w:rsidR="00C978F0" w:rsidRDefault="00F353C1" w:rsidP="003365A5">
            <w:pPr>
              <w:pStyle w:val="Tabletextprimarysource"/>
            </w:pPr>
            <w:r>
              <w:t xml:space="preserve">TLV-TWA recommended to minimise </w:t>
            </w:r>
            <w:r w:rsidR="00E645BA">
              <w:t xml:space="preserve">the potential for cardiac sensitisation </w:t>
            </w:r>
            <w:r w:rsidR="0083115B">
              <w:t>and arrhythmias.</w:t>
            </w:r>
          </w:p>
          <w:p w14:paraId="2B9D1F48" w14:textId="10DFCC2A" w:rsidR="0083115B" w:rsidRDefault="0083115B" w:rsidP="003365A5">
            <w:pPr>
              <w:pStyle w:val="Tabletextprimarysource"/>
            </w:pPr>
            <w:r>
              <w:t>Summary of data:</w:t>
            </w:r>
          </w:p>
          <w:p w14:paraId="7591A2AF" w14:textId="16AD7914" w:rsidR="0083115B" w:rsidRDefault="0083115B" w:rsidP="003365A5">
            <w:pPr>
              <w:pStyle w:val="Tabletextprimarysource"/>
            </w:pPr>
            <w:r>
              <w:t>Derivation of TLV-TWA not provided but noted to be of low toxicity</w:t>
            </w:r>
            <w:r w:rsidR="007849B2">
              <w:t>.</w:t>
            </w:r>
          </w:p>
          <w:p w14:paraId="33987010" w14:textId="74A81376" w:rsidR="0083115B" w:rsidRDefault="0083115B" w:rsidP="003365A5">
            <w:pPr>
              <w:pStyle w:val="Tabletextprimarysource"/>
            </w:pPr>
            <w:r>
              <w:t>Human data:</w:t>
            </w:r>
          </w:p>
          <w:p w14:paraId="59E58093" w14:textId="073EE68F" w:rsidR="0083115B" w:rsidRDefault="00444D8F" w:rsidP="00031D04">
            <w:pPr>
              <w:pStyle w:val="ListBullet"/>
              <w:spacing w:before="60" w:after="60"/>
              <w:ind w:left="1077"/>
              <w:contextualSpacing w:val="0"/>
            </w:pPr>
            <w:r>
              <w:t>Exposure at 10</w:t>
            </w:r>
            <w:r w:rsidR="00ED5D18">
              <w:t>–</w:t>
            </w:r>
            <w:r>
              <w:t>15% in air caused decrease in 5</w:t>
            </w:r>
            <w:r w:rsidR="00ED5D18">
              <w:t>/</w:t>
            </w:r>
            <w:r>
              <w:t xml:space="preserve">6 psychomotor tasks in </w:t>
            </w:r>
            <w:r w:rsidR="00D4069C">
              <w:t>volunteer</w:t>
            </w:r>
            <w:r>
              <w:t>s</w:t>
            </w:r>
          </w:p>
          <w:p w14:paraId="711FB70E" w14:textId="77777777" w:rsidR="00444D8F" w:rsidRDefault="00444D8F" w:rsidP="00031D04">
            <w:pPr>
              <w:pStyle w:val="ListBullet"/>
              <w:spacing w:before="60" w:after="60"/>
              <w:ind w:left="1077"/>
              <w:contextualSpacing w:val="0"/>
            </w:pPr>
            <w:r>
              <w:t>Feeling of impending unconsciousness at 15%</w:t>
            </w:r>
          </w:p>
          <w:p w14:paraId="2DB3EA2C" w14:textId="49744BD6" w:rsidR="00444D8F" w:rsidRDefault="00D967A6" w:rsidP="00031D04">
            <w:pPr>
              <w:pStyle w:val="ListBullet"/>
              <w:spacing w:before="60" w:after="60"/>
              <w:ind w:left="1077"/>
              <w:contextualSpacing w:val="0"/>
            </w:pPr>
            <w:r>
              <w:t>3-</w:t>
            </w:r>
            <w:r w:rsidR="00444D8F">
              <w:t>min exposures at 4% and 7% caused slight increased reaction time</w:t>
            </w:r>
          </w:p>
          <w:p w14:paraId="50324B57" w14:textId="62F394BD" w:rsidR="00444D8F" w:rsidRDefault="00D4069C" w:rsidP="00031D04">
            <w:pPr>
              <w:pStyle w:val="ListBullet"/>
              <w:spacing w:before="60" w:after="60"/>
              <w:ind w:left="1077"/>
              <w:contextualSpacing w:val="0"/>
            </w:pPr>
            <w:r>
              <w:t xml:space="preserve">Exposures up to 10% caused </w:t>
            </w:r>
            <w:r w:rsidR="00273C23">
              <w:t>light-headedness</w:t>
            </w:r>
            <w:r>
              <w:t>, paraesthesia, and diminished performance</w:t>
            </w:r>
          </w:p>
          <w:p w14:paraId="100B7B79" w14:textId="0D8E384C" w:rsidR="00D4069C" w:rsidRDefault="00D4069C" w:rsidP="00031D04">
            <w:pPr>
              <w:pStyle w:val="ListBullet"/>
              <w:spacing w:before="60" w:after="60"/>
              <w:ind w:left="1077"/>
              <w:contextualSpacing w:val="0"/>
            </w:pPr>
            <w:r>
              <w:t>Auriculoventricular dissociation and premature ventricular contractions were recorded on ECG during exposures in volunteers at 16.9%</w:t>
            </w:r>
          </w:p>
          <w:p w14:paraId="35DBB4DB" w14:textId="559C1A62" w:rsidR="00D4069C" w:rsidRDefault="00D4069C" w:rsidP="00031D04">
            <w:pPr>
              <w:pStyle w:val="ListBullet"/>
              <w:numPr>
                <w:ilvl w:val="0"/>
                <w:numId w:val="0"/>
              </w:numPr>
              <w:spacing w:before="60" w:after="60"/>
              <w:ind w:left="1077"/>
              <w:contextualSpacing w:val="0"/>
            </w:pPr>
            <w:r>
              <w:t>No cardiac arrhythmias reported during exposures at 4%</w:t>
            </w:r>
            <w:r w:rsidR="00ED5D18">
              <w:t>–</w:t>
            </w:r>
            <w:r>
              <w:t>7% for 3 min in hyperbaric chamber</w:t>
            </w:r>
            <w:r w:rsidR="00DD7D56">
              <w:t xml:space="preserve"> or at 5%</w:t>
            </w:r>
            <w:r w:rsidR="00ED5D18">
              <w:t>–</w:t>
            </w:r>
            <w:r w:rsidR="00DD7D56">
              <w:t>7% for 5 min at pressurised altitudes of</w:t>
            </w:r>
            <w:r w:rsidR="00031D04">
              <w:t xml:space="preserve"> </w:t>
            </w:r>
            <w:r w:rsidR="00DD7D56">
              <w:t>1,000</w:t>
            </w:r>
            <w:r w:rsidR="00ED5D18">
              <w:t>–</w:t>
            </w:r>
            <w:r w:rsidR="00DD7D56">
              <w:t xml:space="preserve">20,000 ft </w:t>
            </w:r>
            <w:r w:rsidR="00031D04">
              <w:br/>
            </w:r>
            <w:r w:rsidR="00273C23">
              <w:t>(305</w:t>
            </w:r>
            <w:r w:rsidR="00ED5D18">
              <w:t>–</w:t>
            </w:r>
            <w:r w:rsidR="00273C23">
              <w:t xml:space="preserve">6,096 m) </w:t>
            </w:r>
            <w:r w:rsidR="00DD7D56">
              <w:t>in aircraft flight tests</w:t>
            </w:r>
            <w:r w:rsidR="001C384D">
              <w:t>.</w:t>
            </w:r>
          </w:p>
          <w:p w14:paraId="7826AB47" w14:textId="6EFF9C83" w:rsidR="00DD7D56" w:rsidRDefault="00DD7D56" w:rsidP="00DD7D56">
            <w:r>
              <w:t>Animal data:</w:t>
            </w:r>
          </w:p>
          <w:p w14:paraId="041C0B03" w14:textId="77777777" w:rsidR="00DD7D56" w:rsidRDefault="001C384D" w:rsidP="00031D04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Most important toxicological effects are on the CNS and cardiovascular systems</w:t>
            </w:r>
          </w:p>
          <w:p w14:paraId="1E3D504C" w14:textId="24127023" w:rsidR="001C384D" w:rsidRDefault="001C384D" w:rsidP="00031D04">
            <w:pPr>
              <w:pStyle w:val="ListBullet"/>
              <w:spacing w:before="60" w:after="60"/>
              <w:ind w:left="1077" w:hanging="357"/>
              <w:contextualSpacing w:val="0"/>
            </w:pPr>
            <w:r>
              <w:t xml:space="preserve">Acute </w:t>
            </w:r>
            <w:r w:rsidR="001519DC">
              <w:t xml:space="preserve">effects only occurred at </w:t>
            </w:r>
            <w:r w:rsidR="00107532">
              <w:t>extremely high</w:t>
            </w:r>
            <w:r w:rsidR="001519DC">
              <w:t xml:space="preserve"> concentrations</w:t>
            </w:r>
          </w:p>
          <w:p w14:paraId="77606D23" w14:textId="77777777" w:rsidR="001519DC" w:rsidRDefault="001519DC" w:rsidP="00031D04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LC</w:t>
            </w:r>
            <w:r w:rsidRPr="001519DC">
              <w:rPr>
                <w:vertAlign w:val="subscript"/>
              </w:rPr>
              <w:t>50</w:t>
            </w:r>
            <w:r>
              <w:t>: 840,000 ppm (rat); 880,000 ppm (guinea pig)</w:t>
            </w:r>
          </w:p>
          <w:p w14:paraId="0D2554DE" w14:textId="60ACF91E" w:rsidR="001519DC" w:rsidRDefault="009F0B3B" w:rsidP="00031D04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Performance reduction occurred for trained monkeys exposed at 20%</w:t>
            </w:r>
            <w:r w:rsidR="00ED5D18">
              <w:t>–</w:t>
            </w:r>
            <w:r>
              <w:t>25%</w:t>
            </w:r>
          </w:p>
          <w:p w14:paraId="7F3CB65C" w14:textId="03705805" w:rsidR="009F0B3B" w:rsidRDefault="009F0B3B" w:rsidP="00031D04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Exposure at 40% in dogs caused ventricular fibrillation; stimulation of CNS activity also occurred</w:t>
            </w:r>
            <w:r w:rsidR="002D0475">
              <w:t>; no further information</w:t>
            </w:r>
          </w:p>
          <w:p w14:paraId="6D1A6620" w14:textId="77777777" w:rsidR="009F0B3B" w:rsidRDefault="009F0B3B" w:rsidP="00031D04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No signs of intoxication and no pathologic change detected at necropsy during 18 wk study in dogs and rats exposed at 23,000 ppm (2.3%)</w:t>
            </w:r>
            <w:r w:rsidR="00785EC2">
              <w:t>.</w:t>
            </w:r>
          </w:p>
          <w:p w14:paraId="5D0365CF" w14:textId="77777777" w:rsidR="00031D04" w:rsidRDefault="00031D04" w:rsidP="007849B2"/>
          <w:p w14:paraId="61568CA3" w14:textId="77777777" w:rsidR="00785EC2" w:rsidRDefault="007849B2" w:rsidP="007849B2">
            <w:r>
              <w:t>Insufficient data to recommend Skin, SEN or carcinogenicity notations.</w:t>
            </w:r>
          </w:p>
          <w:p w14:paraId="01C4F06F" w14:textId="6665901D" w:rsidR="00031D04" w:rsidRPr="00DA352E" w:rsidRDefault="00031D04" w:rsidP="007849B2"/>
        </w:tc>
      </w:tr>
      <w:tr w:rsidR="00C978F0" w:rsidRPr="00DA352E" w14:paraId="48868061" w14:textId="77777777" w:rsidTr="00A839D4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77B8412" w14:textId="3B7D591D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9951BD">
                  <w:t>1993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9951BD" w:rsidRPr="00273C23">
                  <w:t>MAK: 1,000 ppm (</w:t>
                </w:r>
                <w:r w:rsidR="009951BD" w:rsidRPr="007D1D8E">
                  <w:t>6,</w:t>
                </w:r>
                <w:r w:rsidR="00273C23" w:rsidRPr="007D1D8E">
                  <w:t>2</w:t>
                </w:r>
                <w:r w:rsidR="009951BD" w:rsidRPr="007D1D8E">
                  <w:t>00 mg/m</w:t>
                </w:r>
                <w:r w:rsidR="009951BD" w:rsidRPr="007D1D8E">
                  <w:rPr>
                    <w:vertAlign w:val="superscript"/>
                  </w:rPr>
                  <w:t>3</w:t>
                </w:r>
                <w:r w:rsidR="009951BD" w:rsidRPr="00273C23">
                  <w:t>)</w:t>
                </w:r>
              </w:sdtContent>
            </w:sdt>
          </w:p>
        </w:tc>
      </w:tr>
      <w:tr w:rsidR="00C978F0" w:rsidRPr="00DA352E" w14:paraId="4195F609" w14:textId="77777777" w:rsidTr="00A839D4">
        <w:trPr>
          <w:gridAfter w:val="1"/>
          <w:wAfter w:w="8" w:type="pct"/>
        </w:trPr>
        <w:tc>
          <w:tcPr>
            <w:tcW w:w="4992" w:type="pct"/>
          </w:tcPr>
          <w:p w14:paraId="218B88F8" w14:textId="77777777" w:rsidR="00C978F0" w:rsidRDefault="007849B2" w:rsidP="003365A5">
            <w:pPr>
              <w:pStyle w:val="Tabletextprimarysource"/>
            </w:pPr>
            <w:r>
              <w:t>Summary of additional data:</w:t>
            </w:r>
          </w:p>
          <w:p w14:paraId="5EC6131E" w14:textId="469347DE" w:rsidR="00031D04" w:rsidRDefault="00107532" w:rsidP="00031D04">
            <w:pPr>
              <w:pStyle w:val="ListBullet"/>
              <w:spacing w:before="60" w:after="60"/>
              <w:ind w:left="1080" w:hanging="357"/>
              <w:contextualSpacing w:val="0"/>
            </w:pPr>
            <w:r>
              <w:t xml:space="preserve">No effects in ECG recordings reported in a study </w:t>
            </w:r>
            <w:r w:rsidR="007849B2">
              <w:t xml:space="preserve">in 3 healthy males exposed at </w:t>
            </w:r>
            <w:r>
              <w:t>0, </w:t>
            </w:r>
            <w:r w:rsidR="007849B2">
              <w:t>1</w:t>
            </w:r>
            <w:r>
              <w:t>, 3 </w:t>
            </w:r>
            <w:r w:rsidR="007849B2">
              <w:t>,5, 7 and 10% for 3</w:t>
            </w:r>
            <w:r w:rsidR="00657228">
              <w:t>–</w:t>
            </w:r>
            <w:r w:rsidR="007849B2">
              <w:t>3.5 min (several h</w:t>
            </w:r>
            <w:r>
              <w:t>ours up</w:t>
            </w:r>
            <w:r w:rsidR="007849B2">
              <w:t xml:space="preserve"> to </w:t>
            </w:r>
            <w:r>
              <w:t>24 h</w:t>
            </w:r>
            <w:r w:rsidR="007849B2">
              <w:t xml:space="preserve"> between exposures)</w:t>
            </w:r>
            <w:r w:rsidR="00F8305E">
              <w:t>:</w:t>
            </w:r>
          </w:p>
          <w:p w14:paraId="2854B491" w14:textId="7D1D2C35" w:rsidR="007849B2" w:rsidRDefault="007849B2" w:rsidP="00031D04">
            <w:pPr>
              <w:pStyle w:val="ListBullet"/>
              <w:numPr>
                <w:ilvl w:val="0"/>
                <w:numId w:val="36"/>
              </w:numPr>
              <w:spacing w:before="60" w:after="60"/>
              <w:contextualSpacing w:val="0"/>
            </w:pPr>
            <w:r>
              <w:t>at 7</w:t>
            </w:r>
            <w:r w:rsidR="00693B43">
              <w:t>–</w:t>
            </w:r>
            <w:r>
              <w:t>10% narcotic effects noted (light headedness, difficulty concentrating during reaction tests</w:t>
            </w:r>
            <w:r w:rsidR="00B95E72">
              <w:t xml:space="preserve"> and feeling of impending unconsciousness)</w:t>
            </w:r>
          </w:p>
          <w:p w14:paraId="5E79DE39" w14:textId="23D04D21" w:rsidR="00D83002" w:rsidRDefault="00B95E72" w:rsidP="00031D04">
            <w:pPr>
              <w:pStyle w:val="ListBullet"/>
              <w:spacing w:before="60" w:after="60"/>
              <w:ind w:left="1080" w:hanging="357"/>
              <w:contextualSpacing w:val="0"/>
            </w:pPr>
            <w:r>
              <w:t xml:space="preserve">Exposure at 5% </w:t>
            </w:r>
            <w:r w:rsidR="00D83002">
              <w:t xml:space="preserve">and 10% </w:t>
            </w:r>
            <w:r>
              <w:t xml:space="preserve">for 20 min </w:t>
            </w:r>
            <w:r w:rsidR="00D83002">
              <w:t>in 10 volunteers:</w:t>
            </w:r>
          </w:p>
          <w:p w14:paraId="48C7C89B" w14:textId="77777777" w:rsidR="00D83002" w:rsidRDefault="00B95E72" w:rsidP="00031D04">
            <w:pPr>
              <w:pStyle w:val="ListBullet2"/>
              <w:numPr>
                <w:ilvl w:val="0"/>
                <w:numId w:val="25"/>
              </w:numPr>
              <w:spacing w:before="60" w:after="60"/>
              <w:ind w:hanging="357"/>
              <w:contextualSpacing w:val="0"/>
            </w:pPr>
            <w:r>
              <w:t>no ill effects in</w:t>
            </w:r>
            <w:r w:rsidR="00D83002">
              <w:t xml:space="preserve"> 4 </w:t>
            </w:r>
            <w:r>
              <w:t>volunteers</w:t>
            </w:r>
            <w:r w:rsidR="00D83002">
              <w:t xml:space="preserve"> exposed at 5%</w:t>
            </w:r>
          </w:p>
          <w:p w14:paraId="31B20563" w14:textId="1B38FBC6" w:rsidR="00B95E72" w:rsidRDefault="00D83002" w:rsidP="00031D04">
            <w:pPr>
              <w:pStyle w:val="ListBullet2"/>
              <w:numPr>
                <w:ilvl w:val="0"/>
                <w:numId w:val="25"/>
              </w:numPr>
              <w:spacing w:before="60" w:after="60"/>
              <w:ind w:hanging="357"/>
              <w:contextualSpacing w:val="0"/>
            </w:pPr>
            <w:r>
              <w:t>all 6 volunteers described confusion, unsteadiness, and giddiness</w:t>
            </w:r>
            <w:r w:rsidR="00107532">
              <w:t xml:space="preserve"> at 10%</w:t>
            </w:r>
          </w:p>
          <w:p w14:paraId="10D30570" w14:textId="741F9286" w:rsidR="00D83002" w:rsidRDefault="00D83002" w:rsidP="00031D04">
            <w:pPr>
              <w:pStyle w:val="ListBullet2"/>
              <w:numPr>
                <w:ilvl w:val="0"/>
                <w:numId w:val="25"/>
              </w:numPr>
              <w:spacing w:before="60" w:after="60"/>
              <w:ind w:hanging="357"/>
              <w:contextualSpacing w:val="0"/>
            </w:pPr>
            <w:r>
              <w:t xml:space="preserve">CNS effects described as severe by </w:t>
            </w:r>
            <w:r w:rsidR="00107532">
              <w:t xml:space="preserve">one </w:t>
            </w:r>
            <w:r>
              <w:t>person and moderate by the remaining 5</w:t>
            </w:r>
          </w:p>
          <w:p w14:paraId="57B751AB" w14:textId="6335EFA1" w:rsidR="00D83002" w:rsidRDefault="00ED5D18" w:rsidP="00031D04">
            <w:pPr>
              <w:pStyle w:val="ListBullet2"/>
              <w:numPr>
                <w:ilvl w:val="0"/>
                <w:numId w:val="25"/>
              </w:numPr>
              <w:spacing w:before="60" w:after="60"/>
              <w:ind w:hanging="357"/>
              <w:contextualSpacing w:val="0"/>
            </w:pPr>
            <w:r>
              <w:lastRenderedPageBreak/>
              <w:t>n</w:t>
            </w:r>
            <w:r w:rsidR="00D83002">
              <w:t>o changes in ECG for 7/10 volunteers</w:t>
            </w:r>
          </w:p>
          <w:p w14:paraId="68546694" w14:textId="7A451656" w:rsidR="00D83002" w:rsidRDefault="00D83002" w:rsidP="00031D04">
            <w:pPr>
              <w:pStyle w:val="ListBullet2"/>
              <w:numPr>
                <w:ilvl w:val="0"/>
                <w:numId w:val="25"/>
              </w:numPr>
              <w:spacing w:before="60" w:after="60"/>
              <w:ind w:hanging="357"/>
              <w:contextualSpacing w:val="0"/>
            </w:pPr>
            <w:r>
              <w:t xml:space="preserve">arrhythmia recorded in remaining 3 </w:t>
            </w:r>
            <w:r w:rsidR="00107532">
              <w:t xml:space="preserve">volunteers </w:t>
            </w:r>
            <w:r>
              <w:t xml:space="preserve">with </w:t>
            </w:r>
            <w:r w:rsidR="00107532">
              <w:t xml:space="preserve">one </w:t>
            </w:r>
            <w:r>
              <w:t>developing A-V dissociation and bigeminy</w:t>
            </w:r>
          </w:p>
          <w:p w14:paraId="59B49ABB" w14:textId="76FE36B2" w:rsidR="00031D04" w:rsidRDefault="00107532" w:rsidP="00031D04">
            <w:pPr>
              <w:pStyle w:val="ListBullet"/>
              <w:spacing w:before="60" w:after="60"/>
              <w:ind w:left="1080" w:hanging="357"/>
              <w:contextualSpacing w:val="0"/>
            </w:pPr>
            <w:r>
              <w:t>Reduced performance in psychomotor function, logical reasoning, mental performance and reaction time after i</w:t>
            </w:r>
            <w:r w:rsidR="00D83002">
              <w:t>nhalation at 7% for 3 h</w:t>
            </w:r>
            <w:r w:rsidR="00DF6514">
              <w:t xml:space="preserve"> </w:t>
            </w:r>
            <w:r>
              <w:t xml:space="preserve">by </w:t>
            </w:r>
            <w:r w:rsidR="00DF6514">
              <w:t>6 healthy volunteers</w:t>
            </w:r>
            <w:r w:rsidR="00F8305E">
              <w:t>:</w:t>
            </w:r>
          </w:p>
          <w:p w14:paraId="7FEDDA99" w14:textId="1C59515F" w:rsidR="00DF6514" w:rsidRDefault="00F8305E" w:rsidP="00031D04">
            <w:pPr>
              <w:pStyle w:val="ListBullet"/>
              <w:numPr>
                <w:ilvl w:val="0"/>
                <w:numId w:val="37"/>
              </w:numPr>
              <w:spacing w:before="60" w:after="60"/>
              <w:contextualSpacing w:val="0"/>
            </w:pPr>
            <w:r>
              <w:t>n</w:t>
            </w:r>
            <w:r w:rsidR="00107532">
              <w:t>o effects</w:t>
            </w:r>
            <w:r w:rsidR="00107532" w:rsidDel="00107532">
              <w:t xml:space="preserve"> </w:t>
            </w:r>
            <w:r w:rsidR="00107532">
              <w:t>normal liver function, ECG, blood pressure, heart rate and sleeping pattern</w:t>
            </w:r>
            <w:r w:rsidR="00107532" w:rsidDel="00107532">
              <w:t xml:space="preserve"> </w:t>
            </w:r>
          </w:p>
          <w:p w14:paraId="2C0F7911" w14:textId="7CC05D90" w:rsidR="00E416D5" w:rsidRDefault="00E416D5" w:rsidP="00031D04">
            <w:pPr>
              <w:pStyle w:val="ListBullet"/>
              <w:spacing w:before="60" w:after="60"/>
              <w:ind w:left="1080" w:hanging="357"/>
              <w:contextualSpacing w:val="0"/>
            </w:pPr>
            <w:r>
              <w:t>Additional results from s</w:t>
            </w:r>
            <w:r w:rsidR="008C5BD5">
              <w:t>tudies conducted at reduced atmospheric pressure cited in ACGIH (20</w:t>
            </w:r>
            <w:r w:rsidR="00ED5D18">
              <w:t>18</w:t>
            </w:r>
            <w:r w:rsidR="008C5BD5">
              <w:t>)</w:t>
            </w:r>
            <w:r>
              <w:t>:</w:t>
            </w:r>
          </w:p>
          <w:p w14:paraId="4CCB8BD1" w14:textId="77777777" w:rsidR="00E416D5" w:rsidRDefault="00DB4A0C" w:rsidP="00031D04">
            <w:pPr>
              <w:pStyle w:val="ListBullet2"/>
              <w:numPr>
                <w:ilvl w:val="0"/>
                <w:numId w:val="25"/>
              </w:numPr>
              <w:spacing w:before="60" w:after="60"/>
              <w:ind w:hanging="357"/>
              <w:contextualSpacing w:val="0"/>
            </w:pPr>
            <w:r>
              <w:t>significantly increased reaction times during all exposures</w:t>
            </w:r>
          </w:p>
          <w:p w14:paraId="5A70AB1F" w14:textId="5E3736B7" w:rsidR="00D83002" w:rsidRDefault="00E416D5" w:rsidP="00031D04">
            <w:pPr>
              <w:pStyle w:val="ListBullet2"/>
              <w:numPr>
                <w:ilvl w:val="0"/>
                <w:numId w:val="25"/>
              </w:numPr>
              <w:spacing w:before="60" w:after="60"/>
              <w:ind w:hanging="357"/>
              <w:contextualSpacing w:val="0"/>
            </w:pPr>
            <w:r>
              <w:t>6</w:t>
            </w:r>
            <w:r w:rsidR="00ED5D18">
              <w:t>/</w:t>
            </w:r>
            <w:r>
              <w:t>8 subjects felt dizzy, faint</w:t>
            </w:r>
            <w:r w:rsidR="0073028A">
              <w:t>,</w:t>
            </w:r>
            <w:r>
              <w:t xml:space="preserve"> or drowsy during exposure at 7% and 3 subjects during exposure at 4%</w:t>
            </w:r>
          </w:p>
          <w:p w14:paraId="15F87B13" w14:textId="1AAF9D6E" w:rsidR="00E416D5" w:rsidRDefault="00E416D5" w:rsidP="00031D04">
            <w:pPr>
              <w:pStyle w:val="ListBullet2"/>
              <w:numPr>
                <w:ilvl w:val="0"/>
                <w:numId w:val="25"/>
              </w:numPr>
              <w:spacing w:before="60" w:after="60"/>
              <w:ind w:hanging="357"/>
              <w:contextualSpacing w:val="0"/>
            </w:pPr>
            <w:r>
              <w:t>2 subjects felt dizzy, faint</w:t>
            </w:r>
            <w:r w:rsidR="0073028A">
              <w:t>,</w:t>
            </w:r>
            <w:r>
              <w:t xml:space="preserve"> or drowsy at 506 </w:t>
            </w:r>
            <w:proofErr w:type="spellStart"/>
            <w:r>
              <w:t>hPa</w:t>
            </w:r>
            <w:proofErr w:type="spellEnd"/>
            <w:r>
              <w:t xml:space="preserve"> with no exposure</w:t>
            </w:r>
            <w:r w:rsidR="00693B43">
              <w:t>.</w:t>
            </w:r>
          </w:p>
          <w:p w14:paraId="214AD2A9" w14:textId="273712CF" w:rsidR="00FB65C1" w:rsidRDefault="00CF1C3C" w:rsidP="00031D04">
            <w:pPr>
              <w:pStyle w:val="ListBullet"/>
              <w:spacing w:before="60" w:after="60"/>
              <w:ind w:left="1080" w:hanging="357"/>
              <w:contextualSpacing w:val="0"/>
            </w:pPr>
            <w:r>
              <w:t>Changes only noted in animals during acute toxicity tests following exposures &gt;50%</w:t>
            </w:r>
          </w:p>
          <w:p w14:paraId="66F9AF65" w14:textId="180F48CE" w:rsidR="00CF1C3C" w:rsidRDefault="0073028A" w:rsidP="00031D04">
            <w:pPr>
              <w:pStyle w:val="ListBullet"/>
              <w:spacing w:before="60" w:after="60"/>
              <w:ind w:left="1080" w:hanging="357"/>
              <w:contextualSpacing w:val="0"/>
            </w:pPr>
            <w:r>
              <w:t xml:space="preserve">No symptoms of toxicity or abnormal findings after necropsy of </w:t>
            </w:r>
            <w:r w:rsidR="00CF1C3C">
              <w:t xml:space="preserve">20 rats and 20 guinea pigs exposed at 5% continuously for 10 d </w:t>
            </w:r>
          </w:p>
          <w:p w14:paraId="2E96082B" w14:textId="531B0AF6" w:rsidR="00CF1C3C" w:rsidRDefault="0073028A" w:rsidP="00031D04">
            <w:pPr>
              <w:pStyle w:val="ListBullet"/>
              <w:spacing w:before="60" w:after="60"/>
              <w:ind w:left="1080" w:hanging="357"/>
              <w:contextualSpacing w:val="0"/>
            </w:pPr>
            <w:r>
              <w:t>General state of health, normal weight and food consumption in r</w:t>
            </w:r>
            <w:r w:rsidR="00CF1C3C">
              <w:t xml:space="preserve">ats, guinea pigs and mice inhaling 50%, 2 h/d, 15 d </w:t>
            </w:r>
          </w:p>
          <w:p w14:paraId="5660EF53" w14:textId="4F8051B6" w:rsidR="00CF1C3C" w:rsidRDefault="0073028A" w:rsidP="00031D04">
            <w:pPr>
              <w:pStyle w:val="ListBullet"/>
              <w:spacing w:before="60" w:after="60"/>
              <w:ind w:left="1080" w:hanging="357"/>
              <w:contextualSpacing w:val="0"/>
            </w:pPr>
            <w:r>
              <w:t xml:space="preserve">No effects on chemical parameters or blood counts </w:t>
            </w:r>
            <w:r w:rsidR="001E5E42">
              <w:t xml:space="preserve">30 d study in male and female rats exposed at 5% (23 h/d) </w:t>
            </w:r>
          </w:p>
          <w:p w14:paraId="72E78978" w14:textId="348EF32B" w:rsidR="001E5E42" w:rsidRDefault="007D79A1" w:rsidP="00031D04">
            <w:pPr>
              <w:pStyle w:val="ListBullet"/>
              <w:spacing w:before="60" w:after="60"/>
              <w:ind w:left="1080" w:hanging="357"/>
              <w:contextualSpacing w:val="0"/>
            </w:pPr>
            <w:r>
              <w:t xml:space="preserve">No mutagenic effects with or without metabolic activation in Ames test in </w:t>
            </w:r>
            <w:r>
              <w:rPr>
                <w:i/>
              </w:rPr>
              <w:t>S typhimurium</w:t>
            </w:r>
          </w:p>
          <w:p w14:paraId="33981AF2" w14:textId="3E6C5F3A" w:rsidR="00AE1337" w:rsidRDefault="00AE1337" w:rsidP="00031D04">
            <w:pPr>
              <w:pStyle w:val="ListBullet"/>
              <w:spacing w:before="60" w:after="60"/>
              <w:ind w:left="1080" w:hanging="357"/>
              <w:contextualSpacing w:val="0"/>
            </w:pPr>
            <w:r>
              <w:t>No carcinogenicity studies available.</w:t>
            </w:r>
          </w:p>
          <w:p w14:paraId="4081D09F" w14:textId="77777777" w:rsidR="00031D04" w:rsidRDefault="00031D04" w:rsidP="00AE1337"/>
          <w:p w14:paraId="173C1C20" w14:textId="07C5546E" w:rsidR="00AE1337" w:rsidRDefault="00AE1337" w:rsidP="00AE1337">
            <w:r>
              <w:t>MAK adopted in 1958 in keeping with TLV</w:t>
            </w:r>
            <w:r w:rsidR="0073028A">
              <w:t>;</w:t>
            </w:r>
            <w:r w:rsidR="006D37FC">
              <w:t xml:space="preserve"> however</w:t>
            </w:r>
            <w:r w:rsidR="0073028A">
              <w:t>,</w:t>
            </w:r>
            <w:r w:rsidR="006D37FC">
              <w:t xml:space="preserve"> </w:t>
            </w:r>
            <w:r w:rsidR="00010A00">
              <w:t>DFG</w:t>
            </w:r>
            <w:r w:rsidR="006D37FC">
              <w:t xml:space="preserve"> consider</w:t>
            </w:r>
            <w:r w:rsidR="00010A00">
              <w:t xml:space="preserve"> it</w:t>
            </w:r>
            <w:r w:rsidR="006D37FC">
              <w:t xml:space="preserve"> justifiable to retain</w:t>
            </w:r>
            <w:r>
              <w:t xml:space="preserve">. </w:t>
            </w:r>
            <w:r w:rsidR="0073028A">
              <w:t xml:space="preserve">No toxic effects at repeated exposures to concentrations higher than MAK reported in some </w:t>
            </w:r>
            <w:r>
              <w:t xml:space="preserve">early inhalation studies (not up to present day standards). </w:t>
            </w:r>
          </w:p>
          <w:p w14:paraId="6AF7DAE8" w14:textId="4F2D4851" w:rsidR="00031D04" w:rsidRPr="00DA352E" w:rsidRDefault="00031D04" w:rsidP="00AE1337"/>
        </w:tc>
      </w:tr>
      <w:tr w:rsidR="00C978F0" w:rsidRPr="00DA352E" w14:paraId="486D04C2" w14:textId="77777777" w:rsidTr="00A839D4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10C8592" w14:textId="754B35F9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32453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324537">
                  <w:t>NA</w:t>
                </w:r>
              </w:sdtContent>
            </w:sdt>
          </w:p>
        </w:tc>
      </w:tr>
      <w:tr w:rsidR="00C978F0" w:rsidRPr="00DA352E" w14:paraId="0AF5B1ED" w14:textId="77777777" w:rsidTr="00A839D4">
        <w:trPr>
          <w:gridAfter w:val="1"/>
          <w:wAfter w:w="8" w:type="pct"/>
          <w:cantSplit/>
        </w:trPr>
        <w:tc>
          <w:tcPr>
            <w:tcW w:w="4992" w:type="pct"/>
          </w:tcPr>
          <w:p w14:paraId="195C74B3" w14:textId="0A690C25" w:rsidR="00C978F0" w:rsidRPr="00DA352E" w:rsidRDefault="00324537" w:rsidP="003365A5">
            <w:pPr>
              <w:pStyle w:val="Tabletextprimarysource"/>
            </w:pPr>
            <w:r>
              <w:t>No report</w:t>
            </w:r>
            <w:r w:rsidR="00693B43">
              <w:t>.</w:t>
            </w:r>
          </w:p>
        </w:tc>
      </w:tr>
      <w:tr w:rsidR="00DA352E" w:rsidRPr="00DA352E" w14:paraId="30129C56" w14:textId="77777777" w:rsidTr="00A839D4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EB77BBC" w14:textId="036D79EB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F516B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F516B6">
                  <w:t>NA</w:t>
                </w:r>
              </w:sdtContent>
            </w:sdt>
          </w:p>
        </w:tc>
      </w:tr>
      <w:tr w:rsidR="00DA352E" w:rsidRPr="00DA352E" w14:paraId="2351B28C" w14:textId="77777777" w:rsidTr="00A839D4">
        <w:trPr>
          <w:gridAfter w:val="1"/>
          <w:wAfter w:w="8" w:type="pct"/>
          <w:cantSplit/>
        </w:trPr>
        <w:tc>
          <w:tcPr>
            <w:tcW w:w="4992" w:type="pct"/>
          </w:tcPr>
          <w:p w14:paraId="55045C31" w14:textId="7B039E10" w:rsidR="00DA352E" w:rsidRPr="00DA352E" w:rsidRDefault="00F516B6" w:rsidP="003365A5">
            <w:pPr>
              <w:pStyle w:val="Tabletextprimarysource"/>
            </w:pPr>
            <w:r>
              <w:t>No report</w:t>
            </w:r>
            <w:r w:rsidR="00693B43">
              <w:t>.</w:t>
            </w:r>
          </w:p>
        </w:tc>
      </w:tr>
      <w:tr w:rsidR="00DA352E" w:rsidRPr="00DA352E" w14:paraId="5264CE22" w14:textId="77777777" w:rsidTr="00A839D4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03B6A2C" w14:textId="029F489C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F516B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F516B6">
                  <w:t>NA</w:t>
                </w:r>
              </w:sdtContent>
            </w:sdt>
          </w:p>
        </w:tc>
      </w:tr>
      <w:tr w:rsidR="00DA352E" w:rsidRPr="00DA352E" w14:paraId="6C2DB589" w14:textId="77777777" w:rsidTr="00A839D4">
        <w:trPr>
          <w:gridAfter w:val="1"/>
          <w:wAfter w:w="8" w:type="pct"/>
          <w:cantSplit/>
        </w:trPr>
        <w:tc>
          <w:tcPr>
            <w:tcW w:w="4992" w:type="pct"/>
          </w:tcPr>
          <w:p w14:paraId="0044D861" w14:textId="54D3B59C" w:rsidR="00DA352E" w:rsidRPr="00DA352E" w:rsidRDefault="00F516B6" w:rsidP="003365A5">
            <w:pPr>
              <w:pStyle w:val="Tabletextprimarysource"/>
            </w:pPr>
            <w:r>
              <w:t>No report</w:t>
            </w:r>
            <w:r w:rsidR="00693B43">
              <w:t>.</w:t>
            </w:r>
          </w:p>
        </w:tc>
      </w:tr>
    </w:tbl>
    <w:p w14:paraId="309A40BC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0"/>
        <w:gridCol w:w="423"/>
        <w:gridCol w:w="661"/>
        <w:gridCol w:w="6452"/>
      </w:tblGrid>
      <w:tr w:rsidR="004966BF" w:rsidRPr="00263255" w14:paraId="5F57FE08" w14:textId="77777777" w:rsidTr="00A839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0" w:type="dxa"/>
            <w:shd w:val="clear" w:color="auto" w:fill="BFBFBF" w:themeFill="background1" w:themeFillShade="BF"/>
            <w:vAlign w:val="center"/>
          </w:tcPr>
          <w:p w14:paraId="28B226D1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5587F472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BB98F0E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2" w:type="dxa"/>
            <w:shd w:val="clear" w:color="auto" w:fill="BFBFBF" w:themeFill="background1" w:themeFillShade="BF"/>
            <w:vAlign w:val="center"/>
          </w:tcPr>
          <w:p w14:paraId="78B1FD86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7EFBCB59" w14:textId="77777777" w:rsidTr="00A839D4">
        <w:tc>
          <w:tcPr>
            <w:tcW w:w="1490" w:type="dxa"/>
          </w:tcPr>
          <w:p w14:paraId="765373E2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3" w:type="dxa"/>
          </w:tcPr>
          <w:p w14:paraId="7A918BFA" w14:textId="38C3DBD3" w:rsidR="004966BF" w:rsidRPr="00CE617F" w:rsidRDefault="00A839D4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1E0976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CB3DECC" w14:textId="3B15F2C0" w:rsidR="004966BF" w:rsidRPr="004C23F4" w:rsidRDefault="001E0976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52" w:type="dxa"/>
          </w:tcPr>
          <w:p w14:paraId="1D9A938C" w14:textId="77777777" w:rsidR="004966BF" w:rsidRDefault="001E0976" w:rsidP="00031D04">
            <w:pPr>
              <w:pStyle w:val="ListBullet"/>
              <w:spacing w:before="60" w:after="60"/>
              <w:ind w:left="1080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Whole body inhalation for 2 h in mice resulted in no mortality up to 800,000 ppm</w:t>
            </w:r>
          </w:p>
          <w:p w14:paraId="62EAD00A" w14:textId="7FF36890" w:rsidR="001E0976" w:rsidRDefault="001E0976" w:rsidP="00031D04">
            <w:pPr>
              <w:pStyle w:val="ListBullet"/>
              <w:spacing w:before="60" w:after="60"/>
              <w:ind w:left="1080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7D1D8E">
              <w:t>Poisoning</w:t>
            </w:r>
            <w:r>
              <w:rPr>
                <w:rStyle w:val="checkbox"/>
                <w:rFonts w:ascii="Arial" w:hAnsi="Arial" w:cs="Arial"/>
              </w:rPr>
              <w:t xml:space="preserve"> event in single male worker</w:t>
            </w:r>
            <w:r w:rsidR="00EA4897">
              <w:rPr>
                <w:rStyle w:val="checkbox"/>
                <w:rFonts w:ascii="Arial" w:hAnsi="Arial" w:cs="Arial"/>
              </w:rPr>
              <w:t xml:space="preserve"> with estimated exposure at 15% for 10</w:t>
            </w:r>
            <w:r w:rsidR="00657228">
              <w:rPr>
                <w:rStyle w:val="checkbox"/>
                <w:rFonts w:ascii="Arial" w:hAnsi="Arial" w:cs="Arial"/>
              </w:rPr>
              <w:t>–</w:t>
            </w:r>
            <w:r w:rsidR="00EA4897">
              <w:rPr>
                <w:rStyle w:val="checkbox"/>
                <w:rFonts w:ascii="Arial" w:hAnsi="Arial" w:cs="Arial"/>
              </w:rPr>
              <w:t>15 min:</w:t>
            </w:r>
          </w:p>
          <w:p w14:paraId="555965E6" w14:textId="77777777" w:rsidR="00EA4897" w:rsidRDefault="00EA4897" w:rsidP="00031D04">
            <w:pPr>
              <w:pStyle w:val="ListBullet2"/>
              <w:numPr>
                <w:ilvl w:val="0"/>
                <w:numId w:val="25"/>
              </w:numPr>
              <w:spacing w:before="60" w:after="60"/>
              <w:ind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Occurred following sudden leak of greyish fumes from fire </w:t>
            </w:r>
            <w:r w:rsidRPr="007D1D8E">
              <w:t>extinguishing</w:t>
            </w:r>
            <w:r>
              <w:rPr>
                <w:rStyle w:val="checkbox"/>
                <w:rFonts w:ascii="Arial" w:hAnsi="Arial" w:cs="Arial"/>
              </w:rPr>
              <w:t xml:space="preserve"> system</w:t>
            </w:r>
          </w:p>
          <w:p w14:paraId="4CF5E368" w14:textId="3844BEFA" w:rsidR="00EA4897" w:rsidRDefault="00EA4897" w:rsidP="00031D04">
            <w:pPr>
              <w:pStyle w:val="ListBullet2"/>
              <w:numPr>
                <w:ilvl w:val="0"/>
                <w:numId w:val="25"/>
              </w:numPr>
              <w:spacing w:before="60" w:after="60"/>
              <w:ind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7D1D8E">
              <w:lastRenderedPageBreak/>
              <w:t>Immediate</w:t>
            </w:r>
            <w:r>
              <w:rPr>
                <w:rStyle w:val="checkbox"/>
                <w:rFonts w:ascii="Arial" w:hAnsi="Arial" w:cs="Arial"/>
              </w:rPr>
              <w:t xml:space="preserve"> eye irritation and shortness of breath, with chest tightness, </w:t>
            </w:r>
            <w:r w:rsidR="0073028A">
              <w:rPr>
                <w:rStyle w:val="checkbox"/>
                <w:rFonts w:ascii="Arial" w:hAnsi="Arial" w:cs="Arial"/>
              </w:rPr>
              <w:t>dizziness,</w:t>
            </w:r>
            <w:r>
              <w:rPr>
                <w:rStyle w:val="checkbox"/>
                <w:rFonts w:ascii="Arial" w:hAnsi="Arial" w:cs="Arial"/>
              </w:rPr>
              <w:t xml:space="preserve"> and </w:t>
            </w:r>
            <w:r w:rsidR="007D1D8E">
              <w:rPr>
                <w:rStyle w:val="checkbox"/>
                <w:rFonts w:ascii="Arial" w:hAnsi="Arial" w:cs="Arial"/>
              </w:rPr>
              <w:t>light-headedness</w:t>
            </w:r>
          </w:p>
          <w:p w14:paraId="2555C513" w14:textId="57B9BF5E" w:rsidR="00B432FF" w:rsidRDefault="00E3776E" w:rsidP="00031D04">
            <w:pPr>
              <w:pStyle w:val="ListBullet2"/>
              <w:numPr>
                <w:ilvl w:val="0"/>
                <w:numId w:val="25"/>
              </w:numPr>
              <w:spacing w:before="60" w:after="60"/>
              <w:ind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In </w:t>
            </w:r>
            <w:r w:rsidRPr="007D1D8E">
              <w:t>weeks</w:t>
            </w:r>
            <w:r>
              <w:rPr>
                <w:rStyle w:val="checkbox"/>
                <w:rFonts w:ascii="Arial" w:hAnsi="Arial" w:cs="Arial"/>
              </w:rPr>
              <w:t xml:space="preserve"> following incident</w:t>
            </w:r>
            <w:r w:rsidR="00B432FF">
              <w:rPr>
                <w:rStyle w:val="checkbox"/>
                <w:rFonts w:ascii="Arial" w:hAnsi="Arial" w:cs="Arial"/>
              </w:rPr>
              <w:t xml:space="preserve"> </w:t>
            </w:r>
            <w:r w:rsidR="0073028A" w:rsidRPr="0073028A">
              <w:rPr>
                <w:rStyle w:val="checkbox"/>
                <w:rFonts w:ascii="Arial" w:hAnsi="Arial" w:cs="Arial"/>
              </w:rPr>
              <w:t>s</w:t>
            </w:r>
            <w:r w:rsidR="0073028A" w:rsidRPr="00F8305E">
              <w:rPr>
                <w:rStyle w:val="checkbox"/>
                <w:rFonts w:ascii="Arial" w:hAnsi="Arial" w:cs="Arial"/>
              </w:rPr>
              <w:t xml:space="preserve">uffered </w:t>
            </w:r>
            <w:r w:rsidR="00B432FF">
              <w:rPr>
                <w:rStyle w:val="checkbox"/>
                <w:rFonts w:ascii="Arial" w:hAnsi="Arial" w:cs="Arial"/>
              </w:rPr>
              <w:t>fatigue, eye irritation, shortness of breath, decreased FEV and FVC, conjunctivitis</w:t>
            </w:r>
          </w:p>
          <w:p w14:paraId="10528B63" w14:textId="405F4D72" w:rsidR="00B432FF" w:rsidRPr="0073028A" w:rsidRDefault="00B432FF" w:rsidP="00031D04">
            <w:pPr>
              <w:pStyle w:val="ListBullet2"/>
              <w:numPr>
                <w:ilvl w:val="0"/>
                <w:numId w:val="25"/>
              </w:numPr>
              <w:spacing w:before="60" w:after="60"/>
              <w:ind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73028A">
              <w:rPr>
                <w:rStyle w:val="checkbox"/>
                <w:rFonts w:ascii="Arial" w:hAnsi="Arial" w:cs="Arial"/>
              </w:rPr>
              <w:t xml:space="preserve">3 </w:t>
            </w:r>
            <w:proofErr w:type="spellStart"/>
            <w:r w:rsidRPr="0073028A">
              <w:rPr>
                <w:rStyle w:val="checkbox"/>
                <w:rFonts w:ascii="Arial" w:hAnsi="Arial" w:cs="Arial"/>
              </w:rPr>
              <w:t>y</w:t>
            </w:r>
            <w:r w:rsidR="0073028A" w:rsidRPr="0073028A">
              <w:rPr>
                <w:rStyle w:val="checkbox"/>
                <w:rFonts w:ascii="Arial" w:hAnsi="Arial" w:cs="Arial"/>
              </w:rPr>
              <w:t>r</w:t>
            </w:r>
            <w:proofErr w:type="spellEnd"/>
            <w:r w:rsidRPr="0073028A">
              <w:rPr>
                <w:rStyle w:val="checkbox"/>
                <w:rFonts w:ascii="Arial" w:hAnsi="Arial" w:cs="Arial"/>
              </w:rPr>
              <w:t xml:space="preserve"> </w:t>
            </w:r>
            <w:r w:rsidR="0073028A" w:rsidRPr="0073028A">
              <w:rPr>
                <w:rStyle w:val="checkbox"/>
                <w:rFonts w:ascii="Arial" w:hAnsi="Arial" w:cs="Arial"/>
              </w:rPr>
              <w:t>af</w:t>
            </w:r>
            <w:r w:rsidR="0073028A" w:rsidRPr="00F8305E">
              <w:rPr>
                <w:rStyle w:val="checkbox"/>
                <w:rFonts w:ascii="Arial" w:hAnsi="Arial" w:cs="Arial"/>
              </w:rPr>
              <w:t>ter</w:t>
            </w:r>
            <w:r w:rsidR="0073028A" w:rsidRPr="0073028A">
              <w:rPr>
                <w:rStyle w:val="checkbox"/>
                <w:rFonts w:ascii="Arial" w:hAnsi="Arial" w:cs="Arial"/>
              </w:rPr>
              <w:t xml:space="preserve"> </w:t>
            </w:r>
            <w:r w:rsidRPr="0073028A">
              <w:rPr>
                <w:rStyle w:val="checkbox"/>
                <w:rFonts w:ascii="Arial" w:hAnsi="Arial" w:cs="Arial"/>
              </w:rPr>
              <w:t>incident worker still experienced shortness of breath, cough and perennial non-infectious rhinoconjunctivitis</w:t>
            </w:r>
          </w:p>
          <w:p w14:paraId="5B76FE04" w14:textId="4C6D825A" w:rsidR="00EA4897" w:rsidRPr="004C23F4" w:rsidRDefault="00B432FF" w:rsidP="00031D04">
            <w:pPr>
              <w:pStyle w:val="ListBullet2"/>
              <w:numPr>
                <w:ilvl w:val="0"/>
                <w:numId w:val="25"/>
              </w:numPr>
              <w:spacing w:before="60" w:after="60"/>
              <w:ind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73028A">
              <w:rPr>
                <w:rStyle w:val="checkbox"/>
                <w:rFonts w:ascii="Arial" w:hAnsi="Arial" w:cs="Arial"/>
              </w:rPr>
              <w:t>Respiratory problems responded to inhaled medication.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</w:p>
        </w:tc>
      </w:tr>
      <w:tr w:rsidR="004966BF" w:rsidRPr="004C23F4" w14:paraId="074C7C15" w14:textId="77777777" w:rsidTr="00A839D4">
        <w:trPr>
          <w:cantSplit/>
        </w:trPr>
        <w:tc>
          <w:tcPr>
            <w:tcW w:w="1490" w:type="dxa"/>
          </w:tcPr>
          <w:p w14:paraId="0615CD2B" w14:textId="77777777" w:rsidR="004966BF" w:rsidRDefault="004966BF" w:rsidP="00224EE2">
            <w:pPr>
              <w:pStyle w:val="Tablefont"/>
            </w:pPr>
            <w:r>
              <w:lastRenderedPageBreak/>
              <w:t>US NIOSH</w:t>
            </w:r>
          </w:p>
        </w:tc>
        <w:tc>
          <w:tcPr>
            <w:tcW w:w="423" w:type="dxa"/>
          </w:tcPr>
          <w:p w14:paraId="0D6C9303" w14:textId="46375203" w:rsidR="004966BF" w:rsidRDefault="00A839D4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B432FF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195089E6" w14:textId="1223A3D7" w:rsidR="004966BF" w:rsidRPr="004C23F4" w:rsidRDefault="00B432FF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52" w:type="dxa"/>
          </w:tcPr>
          <w:p w14:paraId="2C2C3E36" w14:textId="77777777" w:rsidR="004966BF" w:rsidRDefault="00B432FF" w:rsidP="00031D04">
            <w:pPr>
              <w:pStyle w:val="ListBullet"/>
              <w:spacing w:before="60" w:after="60"/>
              <w:ind w:left="1077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REL 1,</w:t>
            </w:r>
            <w:r w:rsidRPr="007D1D8E">
              <w:t>000</w:t>
            </w:r>
            <w:r>
              <w:rPr>
                <w:rStyle w:val="checkbox"/>
                <w:rFonts w:ascii="Arial" w:hAnsi="Arial" w:cs="Arial"/>
              </w:rPr>
              <w:t xml:space="preserve"> ppm (6,100 mg/m</w:t>
            </w:r>
            <w:r w:rsidRPr="00B432FF"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>) TWA</w:t>
            </w:r>
          </w:p>
          <w:p w14:paraId="41C6EBAF" w14:textId="5678F985" w:rsidR="00BA0602" w:rsidRPr="004C23F4" w:rsidRDefault="00BA0602" w:rsidP="00031D04">
            <w:pPr>
              <w:pStyle w:val="ListBullet"/>
              <w:spacing w:before="60" w:after="60"/>
              <w:ind w:left="1077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IDLH of 40,000 ppm based on narcotic effects in acute studies in humans.</w:t>
            </w:r>
          </w:p>
        </w:tc>
      </w:tr>
    </w:tbl>
    <w:bookmarkEnd w:id="0"/>
    <w:p w14:paraId="01E40000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6CBB8712" w14:textId="77777777" w:rsidTr="00BA0602">
        <w:trPr>
          <w:trHeight w:val="454"/>
          <w:tblHeader/>
        </w:trPr>
        <w:tc>
          <w:tcPr>
            <w:tcW w:w="6597" w:type="dxa"/>
            <w:vAlign w:val="center"/>
          </w:tcPr>
          <w:p w14:paraId="22E0B1D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112E3D8" w14:textId="277A1B45" w:rsidR="002E0D61" w:rsidRDefault="00BA0602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5DD90334" w14:textId="77777777" w:rsidTr="00BA0602">
        <w:trPr>
          <w:trHeight w:val="454"/>
        </w:trPr>
        <w:tc>
          <w:tcPr>
            <w:tcW w:w="6597" w:type="dxa"/>
            <w:vAlign w:val="center"/>
          </w:tcPr>
          <w:p w14:paraId="7139A0D1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4ADB65B1" w14:textId="5E8D8391" w:rsidR="008A36CF" w:rsidRDefault="00BA0602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031D04" w14:paraId="2C086B97" w14:textId="77777777" w:rsidTr="00C93A8F">
        <w:trPr>
          <w:trHeight w:val="454"/>
        </w:trPr>
        <w:sdt>
          <w:sdtPr>
            <w:rPr>
              <w:b/>
            </w:rPr>
            <w:id w:val="1830936485"/>
            <w:placeholder>
              <w:docPart w:val="EF81A304F7F148168AEA7F4F1E37E7C5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259DA67A" w14:textId="4111C064" w:rsidR="00031D04" w:rsidRDefault="00031D04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6CF26B2B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388A5D6B" w14:textId="77777777" w:rsidTr="00A839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2B063421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280A91DC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06FBA32E" w14:textId="77777777" w:rsidTr="00A839D4">
        <w:trPr>
          <w:cantSplit/>
        </w:trPr>
        <w:tc>
          <w:tcPr>
            <w:tcW w:w="3227" w:type="dxa"/>
          </w:tcPr>
          <w:p w14:paraId="2F2EAA10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2C3EF9A3" w14:textId="7C93878A" w:rsidR="00687890" w:rsidRPr="00DD2F9B" w:rsidRDefault="00324537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0494D4A2" w14:textId="77777777" w:rsidTr="00A839D4">
        <w:trPr>
          <w:cantSplit/>
        </w:trPr>
        <w:tc>
          <w:tcPr>
            <w:tcW w:w="3227" w:type="dxa"/>
          </w:tcPr>
          <w:p w14:paraId="7EAFE1B1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3C72362B" w14:textId="6751494B" w:rsidR="007925F0" w:rsidRPr="00DD2F9B" w:rsidRDefault="00F516B6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22DCE28A" w14:textId="77777777" w:rsidTr="00A839D4">
        <w:trPr>
          <w:cantSplit/>
        </w:trPr>
        <w:tc>
          <w:tcPr>
            <w:tcW w:w="3227" w:type="dxa"/>
          </w:tcPr>
          <w:p w14:paraId="5CAE097D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1BAEFAEC" w14:textId="06E3A634" w:rsidR="00AF483F" w:rsidRPr="00DD2F9B" w:rsidRDefault="00D3359E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45D309D4" w14:textId="77777777" w:rsidTr="00A839D4">
        <w:trPr>
          <w:cantSplit/>
        </w:trPr>
        <w:tc>
          <w:tcPr>
            <w:tcW w:w="3227" w:type="dxa"/>
          </w:tcPr>
          <w:p w14:paraId="0EEB8175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7BD21741" w14:textId="298ECA7E" w:rsidR="00687890" w:rsidRPr="00DD2F9B" w:rsidRDefault="00D3359E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399AC105" w14:textId="77777777" w:rsidTr="00A839D4">
        <w:trPr>
          <w:cantSplit/>
        </w:trPr>
        <w:tc>
          <w:tcPr>
            <w:tcW w:w="3227" w:type="dxa"/>
          </w:tcPr>
          <w:p w14:paraId="4C2CF58A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3D47BB5" w14:textId="2B73B4E4" w:rsidR="00E41A26" w:rsidRPr="00DD2F9B" w:rsidRDefault="00D3359E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0A5D291" w14:textId="77777777" w:rsidTr="00A839D4">
        <w:trPr>
          <w:cantSplit/>
        </w:trPr>
        <w:tc>
          <w:tcPr>
            <w:tcW w:w="3227" w:type="dxa"/>
          </w:tcPr>
          <w:p w14:paraId="00EBB6CF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6DD0DC71" w14:textId="5868104A" w:rsidR="002E0D61" w:rsidRPr="00DD2F9B" w:rsidRDefault="0032453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5561CF0" w14:textId="77777777" w:rsidTr="00A839D4">
        <w:trPr>
          <w:cantSplit/>
        </w:trPr>
        <w:tc>
          <w:tcPr>
            <w:tcW w:w="3227" w:type="dxa"/>
          </w:tcPr>
          <w:p w14:paraId="748BB8E6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2F41408D" w14:textId="6474ABDF" w:rsidR="002E0D61" w:rsidRPr="00DD2F9B" w:rsidRDefault="0032453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F5AF167" w14:textId="77777777" w:rsidTr="00A839D4">
        <w:trPr>
          <w:cantSplit/>
        </w:trPr>
        <w:tc>
          <w:tcPr>
            <w:tcW w:w="3227" w:type="dxa"/>
          </w:tcPr>
          <w:p w14:paraId="03A11A7A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56817464" w14:textId="7720A7E2" w:rsidR="002E0D61" w:rsidRPr="00DD2F9B" w:rsidRDefault="00D3359E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9F60EB7" w14:textId="77777777" w:rsidTr="00A839D4">
        <w:trPr>
          <w:cantSplit/>
        </w:trPr>
        <w:tc>
          <w:tcPr>
            <w:tcW w:w="3227" w:type="dxa"/>
          </w:tcPr>
          <w:p w14:paraId="1EEBC46D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55DB526D" w14:textId="598EE922" w:rsidR="002E0D61" w:rsidRPr="00DD2F9B" w:rsidRDefault="00D3359E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42D39460" w14:textId="77777777" w:rsidTr="00A839D4">
        <w:trPr>
          <w:cantSplit/>
        </w:trPr>
        <w:tc>
          <w:tcPr>
            <w:tcW w:w="3227" w:type="dxa"/>
          </w:tcPr>
          <w:p w14:paraId="4F9F6AA1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31CA8EC3" w14:textId="765A4B4A" w:rsidR="00386093" w:rsidRPr="00DD2F9B" w:rsidRDefault="00D3359E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31B8900D" w14:textId="77777777" w:rsidTr="00A839D4">
        <w:trPr>
          <w:cantSplit/>
        </w:trPr>
        <w:tc>
          <w:tcPr>
            <w:tcW w:w="3227" w:type="dxa"/>
          </w:tcPr>
          <w:p w14:paraId="49EFEFEE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4D45B20" w14:textId="00C4CAAF" w:rsidR="00386093" w:rsidRPr="00DD2F9B" w:rsidRDefault="00D3359E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107B09C2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5B321272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05EB8CCE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77A166A4" w14:textId="1D6FF46D" w:rsidR="00932DCE" w:rsidRPr="004C23F4" w:rsidRDefault="00BA0602" w:rsidP="00F9496B">
            <w:pPr>
              <w:pStyle w:val="Tablefont"/>
            </w:pPr>
            <w:bookmarkStart w:id="3" w:name="SkinNot"/>
            <w:r w:rsidRPr="00EA0DA8">
              <w:t>Insufficient data to assign a skin notation</w:t>
            </w:r>
            <w:r w:rsidR="00031D04">
              <w:t>.</w:t>
            </w:r>
          </w:p>
        </w:tc>
      </w:tr>
    </w:tbl>
    <w:bookmarkEnd w:id="3"/>
    <w:p w14:paraId="38856B9D" w14:textId="77777777" w:rsidR="00EB3D1B" w:rsidRDefault="00EB3D1B" w:rsidP="00EB3D1B">
      <w:pPr>
        <w:pStyle w:val="Heading3"/>
      </w:pPr>
      <w:r>
        <w:lastRenderedPageBreak/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642B9BF0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717E4963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14D255A0" w14:textId="25EE20F0" w:rsidR="00EB3D1B" w:rsidRDefault="00D3359E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780A2498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1A5C4FF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82AD654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5E6D18C6" w14:textId="77777777" w:rsidR="001B79E5" w:rsidRDefault="00F64BFC" w:rsidP="001B79E5">
                <w:pPr>
                  <w:pStyle w:val="Tablefont"/>
                </w:pPr>
                <w:r>
                  <w:t>148.92</w:t>
                </w:r>
              </w:p>
            </w:tc>
          </w:sdtContent>
        </w:sdt>
      </w:tr>
      <w:tr w:rsidR="00A31D99" w:rsidRPr="004C23F4" w14:paraId="310B79B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27500CF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3DAD00FB" w14:textId="294039E6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BA0602">
                  <w:t>6.09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BA0602">
                  <w:t>0.164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1910860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0496E33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C1552A6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3AF8D65" w14:textId="77777777" w:rsidTr="00EA6243">
        <w:trPr>
          <w:cantSplit/>
        </w:trPr>
        <w:tc>
          <w:tcPr>
            <w:tcW w:w="4077" w:type="dxa"/>
            <w:vAlign w:val="center"/>
          </w:tcPr>
          <w:p w14:paraId="29F22DE2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AD6F631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20DC3CC" w14:textId="77777777" w:rsidTr="00EA6243">
        <w:trPr>
          <w:cantSplit/>
        </w:trPr>
        <w:tc>
          <w:tcPr>
            <w:tcW w:w="4077" w:type="dxa"/>
            <w:vAlign w:val="center"/>
          </w:tcPr>
          <w:p w14:paraId="70D01C21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AD3FFEB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320584B9" w14:textId="77777777" w:rsidTr="00EA6243">
        <w:trPr>
          <w:cantSplit/>
        </w:trPr>
        <w:tc>
          <w:tcPr>
            <w:tcW w:w="4077" w:type="dxa"/>
            <w:vAlign w:val="center"/>
          </w:tcPr>
          <w:p w14:paraId="551D3277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5C25D266" w14:textId="77777777" w:rsidR="00E06F40" w:rsidRPr="00A006A0" w:rsidRDefault="00A839D4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8C175BE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687DDFFE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50CEA6E8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2E5E48E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7DF594BC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40070D42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9946BB9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5157EC27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350B77C0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13FDC397" w14:textId="4C0432C5" w:rsidR="008E4F1F" w:rsidRDefault="008E4F1F" w:rsidP="008E4F1F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D3359E">
        <w:t>1993</w:t>
      </w:r>
      <w:r>
        <w:t xml:space="preserve">) </w:t>
      </w:r>
      <w:proofErr w:type="spellStart"/>
      <w:r w:rsidR="00D3359E" w:rsidRPr="00D3359E">
        <w:t>Bromotrifluoromethane</w:t>
      </w:r>
      <w:proofErr w:type="spellEnd"/>
      <w:r>
        <w:t xml:space="preserve"> – MAK value documentation.</w:t>
      </w:r>
    </w:p>
    <w:p w14:paraId="3B0875F8" w14:textId="77777777" w:rsidR="001E0976" w:rsidRPr="00E461B8" w:rsidRDefault="001E0976" w:rsidP="001E0976">
      <w:r w:rsidRPr="00E461B8">
        <w:t>European Chemicals Agency Regulation (ECHA) No 1907/2006 of the European Parliament and of the Council of 18 December 2006 concerning the Registration, Evaluation, Authorisation and Restriction of Chemicals (REACH).</w:t>
      </w:r>
    </w:p>
    <w:p w14:paraId="62E5FA85" w14:textId="756EB458" w:rsidR="008E4F1F" w:rsidRDefault="008E4F1F" w:rsidP="008E4F1F">
      <w:pPr>
        <w:rPr>
          <w:b/>
        </w:rPr>
      </w:pPr>
      <w:r w:rsidRPr="00D86E03">
        <w:t>US National Institute for Occupational Safety and Health (NIOSH)</w:t>
      </w:r>
      <w:r>
        <w:t xml:space="preserve"> (</w:t>
      </w:r>
      <w:sdt>
        <w:sdtPr>
          <w:id w:val="-1194999823"/>
          <w:placeholder>
            <w:docPart w:val="FB0307FD2095404C9CFBE1E594ADF091"/>
          </w:placeholder>
          <w:temporary/>
          <w:showingPlcHdr/>
        </w:sdtPr>
        <w:sdtEndPr/>
        <w:sdtContent>
          <w:r w:rsidRPr="00245652">
            <w:rPr>
              <w:color w:val="000000" w:themeColor="text1"/>
            </w:rPr>
            <w:t>1994</w:t>
          </w:r>
        </w:sdtContent>
      </w:sdt>
      <w:r>
        <w:t xml:space="preserve">) Immediately dangerous to life or health concentrations – </w:t>
      </w:r>
      <w:r w:rsidR="00245652">
        <w:t>t</w:t>
      </w:r>
      <w:r w:rsidR="00245652" w:rsidRPr="00245652">
        <w:t>rifluorobromomethane</w:t>
      </w:r>
      <w:r>
        <w:t>.</w:t>
      </w:r>
    </w:p>
    <w:p w14:paraId="2BC8A193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6AEE6" w14:textId="77777777" w:rsidR="00EC04C2" w:rsidRDefault="00EC04C2" w:rsidP="00F43AD5">
      <w:pPr>
        <w:spacing w:after="0" w:line="240" w:lineRule="auto"/>
      </w:pPr>
      <w:r>
        <w:separator/>
      </w:r>
    </w:p>
  </w:endnote>
  <w:endnote w:type="continuationSeparator" w:id="0">
    <w:p w14:paraId="1A6E194A" w14:textId="77777777" w:rsidR="00EC04C2" w:rsidRDefault="00EC04C2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C5488" w14:textId="77777777" w:rsidR="00A839D4" w:rsidRDefault="00A83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AAF609C" w14:textId="78176079" w:rsidR="00E1147E" w:rsidRDefault="00E1147E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Trifluorobromomethane (</w:t>
        </w:r>
        <w:r w:rsidRPr="00B437FB">
          <w:rPr>
            <w:b/>
            <w:sz w:val="18"/>
            <w:szCs w:val="18"/>
          </w:rPr>
          <w:t>75-63-8</w:t>
        </w:r>
        <w:r>
          <w:rPr>
            <w:b/>
            <w:sz w:val="18"/>
            <w:szCs w:val="18"/>
          </w:rPr>
          <w:t>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</w:t>
        </w:r>
        <w:r w:rsidR="003E262F">
          <w:rPr>
            <w:sz w:val="18"/>
            <w:szCs w:val="18"/>
          </w:rPr>
          <w:t>20</w:t>
        </w:r>
      </w:p>
      <w:p w14:paraId="751A206D" w14:textId="6911828E" w:rsidR="00E1147E" w:rsidRPr="00F43AD5" w:rsidRDefault="00E1147E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666BD8">
          <w:rPr>
            <w:noProof/>
            <w:sz w:val="18"/>
            <w:szCs w:val="18"/>
          </w:rPr>
          <w:t>6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3191F" w14:textId="77777777" w:rsidR="00A839D4" w:rsidRDefault="00A83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6CBC8" w14:textId="77777777" w:rsidR="00EC04C2" w:rsidRDefault="00EC04C2" w:rsidP="00F43AD5">
      <w:pPr>
        <w:spacing w:after="0" w:line="240" w:lineRule="auto"/>
      </w:pPr>
      <w:r>
        <w:separator/>
      </w:r>
    </w:p>
  </w:footnote>
  <w:footnote w:type="continuationSeparator" w:id="0">
    <w:p w14:paraId="7CC55A43" w14:textId="77777777" w:rsidR="00EC04C2" w:rsidRDefault="00EC04C2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50144" w14:textId="77777777" w:rsidR="00A839D4" w:rsidRDefault="00A83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33A5A" w14:textId="39B0D9D0" w:rsidR="00A839D4" w:rsidRDefault="00A839D4" w:rsidP="00A839D4">
    <w:pPr>
      <w:pStyle w:val="Header"/>
      <w:jc w:val="right"/>
    </w:pPr>
    <w:r>
      <w:pict w14:anchorId="018CB2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0DA6FBB6" wp14:editId="1E7CED85">
          <wp:extent cx="2957195" cy="60579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19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B6B1EF" w14:textId="0DB55BBA" w:rsidR="00E1147E" w:rsidRPr="00A839D4" w:rsidRDefault="00E1147E" w:rsidP="00A839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AB40C" w14:textId="77777777" w:rsidR="00A839D4" w:rsidRDefault="00A839D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F08B6" w14:textId="31A2EFDB" w:rsidR="00A839D4" w:rsidRDefault="00A839D4" w:rsidP="00A839D4">
    <w:pPr>
      <w:pStyle w:val="Header"/>
      <w:jc w:val="right"/>
    </w:pPr>
    <w:r>
      <w:pict w14:anchorId="33F909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73F5B71F" wp14:editId="708B78B7">
          <wp:extent cx="2957195" cy="60579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19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5" w:name="_GoBack"/>
    <w:bookmarkEnd w:id="5"/>
  </w:p>
  <w:p w14:paraId="6B5DC22A" w14:textId="77777777" w:rsidR="00E1147E" w:rsidRDefault="00E1147E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B74A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D3688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3C1C10"/>
    <w:multiLevelType w:val="hybridMultilevel"/>
    <w:tmpl w:val="AAF05A3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C5053B"/>
    <w:multiLevelType w:val="hybridMultilevel"/>
    <w:tmpl w:val="B9F6C940"/>
    <w:lvl w:ilvl="0" w:tplc="0C09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4" w15:restartNumberingAfterBreak="0">
    <w:nsid w:val="68C23686"/>
    <w:multiLevelType w:val="hybridMultilevel"/>
    <w:tmpl w:val="D5B28DEC"/>
    <w:lvl w:ilvl="0" w:tplc="0C09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2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4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0A00"/>
    <w:rsid w:val="00013A22"/>
    <w:rsid w:val="00014C3F"/>
    <w:rsid w:val="00017C82"/>
    <w:rsid w:val="00031D04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07532"/>
    <w:rsid w:val="00113443"/>
    <w:rsid w:val="001269A7"/>
    <w:rsid w:val="00131092"/>
    <w:rsid w:val="00140E6A"/>
    <w:rsid w:val="00146545"/>
    <w:rsid w:val="00146B75"/>
    <w:rsid w:val="001519DC"/>
    <w:rsid w:val="0015266D"/>
    <w:rsid w:val="0015288A"/>
    <w:rsid w:val="00155999"/>
    <w:rsid w:val="00160F47"/>
    <w:rsid w:val="00175984"/>
    <w:rsid w:val="00177CA1"/>
    <w:rsid w:val="00183823"/>
    <w:rsid w:val="00183942"/>
    <w:rsid w:val="001915F6"/>
    <w:rsid w:val="001A009E"/>
    <w:rsid w:val="001A1287"/>
    <w:rsid w:val="001A3859"/>
    <w:rsid w:val="001A3C9D"/>
    <w:rsid w:val="001A43F8"/>
    <w:rsid w:val="001B79E5"/>
    <w:rsid w:val="001C384D"/>
    <w:rsid w:val="001C5DAB"/>
    <w:rsid w:val="001D56F0"/>
    <w:rsid w:val="001D663B"/>
    <w:rsid w:val="001D7B41"/>
    <w:rsid w:val="001E0976"/>
    <w:rsid w:val="001E46DA"/>
    <w:rsid w:val="001E5E42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5652"/>
    <w:rsid w:val="002463BC"/>
    <w:rsid w:val="002465CE"/>
    <w:rsid w:val="0025734A"/>
    <w:rsid w:val="00263255"/>
    <w:rsid w:val="00273C23"/>
    <w:rsid w:val="00276494"/>
    <w:rsid w:val="00277B0C"/>
    <w:rsid w:val="00292D6C"/>
    <w:rsid w:val="002B1A2C"/>
    <w:rsid w:val="002C34F2"/>
    <w:rsid w:val="002C58FF"/>
    <w:rsid w:val="002C7AFE"/>
    <w:rsid w:val="002D0475"/>
    <w:rsid w:val="002D05D2"/>
    <w:rsid w:val="002E0D61"/>
    <w:rsid w:val="002E4C7B"/>
    <w:rsid w:val="0030740C"/>
    <w:rsid w:val="00315833"/>
    <w:rsid w:val="003215EE"/>
    <w:rsid w:val="003224BF"/>
    <w:rsid w:val="003241A8"/>
    <w:rsid w:val="00324537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262F"/>
    <w:rsid w:val="003E51FB"/>
    <w:rsid w:val="003E6B39"/>
    <w:rsid w:val="003F07E1"/>
    <w:rsid w:val="003F68CD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4D8F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3987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398C"/>
    <w:rsid w:val="00624C4E"/>
    <w:rsid w:val="00625200"/>
    <w:rsid w:val="006363A8"/>
    <w:rsid w:val="00636DB7"/>
    <w:rsid w:val="00650905"/>
    <w:rsid w:val="006532ED"/>
    <w:rsid w:val="006549F2"/>
    <w:rsid w:val="006567B7"/>
    <w:rsid w:val="00657228"/>
    <w:rsid w:val="00657BFB"/>
    <w:rsid w:val="0066333C"/>
    <w:rsid w:val="006639B4"/>
    <w:rsid w:val="006650FE"/>
    <w:rsid w:val="00666BD8"/>
    <w:rsid w:val="0067305D"/>
    <w:rsid w:val="0067470A"/>
    <w:rsid w:val="00677D9B"/>
    <w:rsid w:val="006867F3"/>
    <w:rsid w:val="00687890"/>
    <w:rsid w:val="006901A2"/>
    <w:rsid w:val="00690368"/>
    <w:rsid w:val="0069079C"/>
    <w:rsid w:val="00690B53"/>
    <w:rsid w:val="00693B43"/>
    <w:rsid w:val="00695B72"/>
    <w:rsid w:val="006B1393"/>
    <w:rsid w:val="006B160A"/>
    <w:rsid w:val="006B4E6C"/>
    <w:rsid w:val="006B50B6"/>
    <w:rsid w:val="006D37FC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028A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49B2"/>
    <w:rsid w:val="00785CDD"/>
    <w:rsid w:val="00785EC2"/>
    <w:rsid w:val="00791847"/>
    <w:rsid w:val="007925F0"/>
    <w:rsid w:val="007939B3"/>
    <w:rsid w:val="0079509C"/>
    <w:rsid w:val="00796708"/>
    <w:rsid w:val="007B1B42"/>
    <w:rsid w:val="007C30EB"/>
    <w:rsid w:val="007D1D8E"/>
    <w:rsid w:val="007D704F"/>
    <w:rsid w:val="007D79A1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115B"/>
    <w:rsid w:val="00834CC8"/>
    <w:rsid w:val="00835E00"/>
    <w:rsid w:val="00837113"/>
    <w:rsid w:val="008414E4"/>
    <w:rsid w:val="00843E21"/>
    <w:rsid w:val="0084508E"/>
    <w:rsid w:val="00856B19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95FA5"/>
    <w:rsid w:val="008A36CF"/>
    <w:rsid w:val="008A3BC4"/>
    <w:rsid w:val="008B403C"/>
    <w:rsid w:val="008B7983"/>
    <w:rsid w:val="008C2511"/>
    <w:rsid w:val="008C5BD5"/>
    <w:rsid w:val="008D026D"/>
    <w:rsid w:val="008D23AB"/>
    <w:rsid w:val="008D4B8B"/>
    <w:rsid w:val="008D5A78"/>
    <w:rsid w:val="008E4F1F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51BD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1E5"/>
    <w:rsid w:val="009F04D2"/>
    <w:rsid w:val="009F05CF"/>
    <w:rsid w:val="009F0B3B"/>
    <w:rsid w:val="009F0F3A"/>
    <w:rsid w:val="009F66C4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07C7"/>
    <w:rsid w:val="00A53681"/>
    <w:rsid w:val="00A633D4"/>
    <w:rsid w:val="00A6461A"/>
    <w:rsid w:val="00A839D4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1337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32FF"/>
    <w:rsid w:val="00B437FB"/>
    <w:rsid w:val="00B479A9"/>
    <w:rsid w:val="00B52EDF"/>
    <w:rsid w:val="00B71188"/>
    <w:rsid w:val="00B76A41"/>
    <w:rsid w:val="00B86323"/>
    <w:rsid w:val="00B87D4C"/>
    <w:rsid w:val="00B93646"/>
    <w:rsid w:val="00B95E72"/>
    <w:rsid w:val="00BA0602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1149"/>
    <w:rsid w:val="00CD2BFD"/>
    <w:rsid w:val="00CE5AD6"/>
    <w:rsid w:val="00CE617F"/>
    <w:rsid w:val="00CE78EF"/>
    <w:rsid w:val="00CF1C3C"/>
    <w:rsid w:val="00D0200C"/>
    <w:rsid w:val="00D048F7"/>
    <w:rsid w:val="00D0517E"/>
    <w:rsid w:val="00D140FC"/>
    <w:rsid w:val="00D15BFC"/>
    <w:rsid w:val="00D21D8C"/>
    <w:rsid w:val="00D31357"/>
    <w:rsid w:val="00D33220"/>
    <w:rsid w:val="00D334D1"/>
    <w:rsid w:val="00D3359E"/>
    <w:rsid w:val="00D4069C"/>
    <w:rsid w:val="00D44C89"/>
    <w:rsid w:val="00D516CD"/>
    <w:rsid w:val="00D668E6"/>
    <w:rsid w:val="00D70670"/>
    <w:rsid w:val="00D74D80"/>
    <w:rsid w:val="00D76624"/>
    <w:rsid w:val="00D83002"/>
    <w:rsid w:val="00D87570"/>
    <w:rsid w:val="00D91CB9"/>
    <w:rsid w:val="00D967A6"/>
    <w:rsid w:val="00D97989"/>
    <w:rsid w:val="00D97D8D"/>
    <w:rsid w:val="00DA352E"/>
    <w:rsid w:val="00DB4A0C"/>
    <w:rsid w:val="00DC5286"/>
    <w:rsid w:val="00DC7694"/>
    <w:rsid w:val="00DD1BF6"/>
    <w:rsid w:val="00DD2F9B"/>
    <w:rsid w:val="00DD7D56"/>
    <w:rsid w:val="00DE2513"/>
    <w:rsid w:val="00DE26E8"/>
    <w:rsid w:val="00DF6514"/>
    <w:rsid w:val="00DF6F36"/>
    <w:rsid w:val="00E0084C"/>
    <w:rsid w:val="00E025AB"/>
    <w:rsid w:val="00E02B23"/>
    <w:rsid w:val="00E06F40"/>
    <w:rsid w:val="00E07CE8"/>
    <w:rsid w:val="00E1147E"/>
    <w:rsid w:val="00E26A07"/>
    <w:rsid w:val="00E32595"/>
    <w:rsid w:val="00E3776E"/>
    <w:rsid w:val="00E37CFD"/>
    <w:rsid w:val="00E416D5"/>
    <w:rsid w:val="00E418B6"/>
    <w:rsid w:val="00E41A26"/>
    <w:rsid w:val="00E46BCB"/>
    <w:rsid w:val="00E51CAF"/>
    <w:rsid w:val="00E60F04"/>
    <w:rsid w:val="00E62AAC"/>
    <w:rsid w:val="00E645BA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4897"/>
    <w:rsid w:val="00EA6243"/>
    <w:rsid w:val="00EA74AB"/>
    <w:rsid w:val="00EB3D1B"/>
    <w:rsid w:val="00EB790D"/>
    <w:rsid w:val="00EC04C2"/>
    <w:rsid w:val="00ED1D89"/>
    <w:rsid w:val="00ED57DA"/>
    <w:rsid w:val="00ED5D18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475F"/>
    <w:rsid w:val="00F16019"/>
    <w:rsid w:val="00F20E68"/>
    <w:rsid w:val="00F22093"/>
    <w:rsid w:val="00F236DF"/>
    <w:rsid w:val="00F353C1"/>
    <w:rsid w:val="00F42AE6"/>
    <w:rsid w:val="00F43AD5"/>
    <w:rsid w:val="00F4402E"/>
    <w:rsid w:val="00F516B6"/>
    <w:rsid w:val="00F56DD0"/>
    <w:rsid w:val="00F6491C"/>
    <w:rsid w:val="00F64BFC"/>
    <w:rsid w:val="00F67BBB"/>
    <w:rsid w:val="00F82B1B"/>
    <w:rsid w:val="00F8305E"/>
    <w:rsid w:val="00F87D92"/>
    <w:rsid w:val="00F90AA7"/>
    <w:rsid w:val="00F92498"/>
    <w:rsid w:val="00F9496B"/>
    <w:rsid w:val="00F970C9"/>
    <w:rsid w:val="00FA06A8"/>
    <w:rsid w:val="00FA3DF5"/>
    <w:rsid w:val="00FA6AC4"/>
    <w:rsid w:val="00FA741F"/>
    <w:rsid w:val="00FB4E07"/>
    <w:rsid w:val="00FB65C1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2E1EA2FF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95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1B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1B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1BD"/>
    <w:rPr>
      <w:b/>
      <w:bCs/>
      <w:szCs w:val="20"/>
    </w:rPr>
  </w:style>
  <w:style w:type="paragraph" w:styleId="ListBullet">
    <w:name w:val="List Bullet"/>
    <w:basedOn w:val="Normal"/>
    <w:uiPriority w:val="99"/>
    <w:unhideWhenUsed/>
    <w:rsid w:val="0083115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D8300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FB0307FD2095404C9CFBE1E594ADF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C447-0BA0-4090-95C6-CC9FF0695D56}"/>
      </w:docPartPr>
      <w:docPartBody>
        <w:p w:rsidR="00CA72D3" w:rsidRDefault="00347D16" w:rsidP="00347D16">
          <w:pPr>
            <w:pStyle w:val="FB0307FD2095404C9CFBE1E594ADF091"/>
          </w:pPr>
          <w:r w:rsidRPr="00262278">
            <w:rPr>
              <w:color w:val="00B050"/>
            </w:rPr>
            <w:t>1994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F056CB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EF81A304F7F148168AEA7F4F1E37E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EAEEC-8020-4D97-A689-F5147DA608C4}"/>
      </w:docPartPr>
      <w:docPartBody>
        <w:p w:rsidR="004C2EAC" w:rsidRDefault="001030C1" w:rsidP="001030C1">
          <w:pPr>
            <w:pStyle w:val="EF81A304F7F148168AEA7F4F1E37E7C5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030C1"/>
    <w:rsid w:val="00347D16"/>
    <w:rsid w:val="003E0149"/>
    <w:rsid w:val="004C2EAC"/>
    <w:rsid w:val="00654D76"/>
    <w:rsid w:val="00755FBF"/>
    <w:rsid w:val="00CA72D3"/>
    <w:rsid w:val="00CC2A48"/>
    <w:rsid w:val="00D21A9F"/>
    <w:rsid w:val="00F0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30C1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6A17A9B9CE434FA5B4C630A3A2496D30">
    <w:name w:val="6A17A9B9CE434FA5B4C630A3A2496D30"/>
    <w:rsid w:val="00F056CB"/>
    <w:rPr>
      <w:lang w:val="en-US" w:eastAsia="en-US"/>
    </w:rPr>
  </w:style>
  <w:style w:type="paragraph" w:customStyle="1" w:styleId="E69E1D29A822462A960F1B31BC82B760">
    <w:name w:val="E69E1D29A822462A960F1B31BC82B760"/>
    <w:rsid w:val="00F056CB"/>
    <w:rPr>
      <w:lang w:val="en-US" w:eastAsia="en-US"/>
    </w:rPr>
  </w:style>
  <w:style w:type="paragraph" w:customStyle="1" w:styleId="EF81A304F7F148168AEA7F4F1E37E7C5">
    <w:name w:val="EF81A304F7F148168AEA7F4F1E37E7C5"/>
    <w:rsid w:val="001030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f54d604-3e62-4e70-ba33-9e9084b96a66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B8353-9172-43CB-B03A-133A346E6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1969B1-A6B4-4316-B396-0B074245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9</cp:revision>
  <cp:lastPrinted>2018-10-22T23:41:00Z</cp:lastPrinted>
  <dcterms:created xsi:type="dcterms:W3CDTF">2020-03-11T03:58:00Z</dcterms:created>
  <dcterms:modified xsi:type="dcterms:W3CDTF">2020-07-21T01:51:00Z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