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42409894" w14:textId="77777777" w:rsidR="00BD499F" w:rsidRPr="004C23F4" w:rsidRDefault="000B670B" w:rsidP="00B40C60">
          <w:pPr>
            <w:pStyle w:val="Heading1"/>
            <w:jc w:val="center"/>
            <w:rPr>
              <w:rFonts w:ascii="Arial" w:hAnsi="Arial" w:cs="Arial"/>
            </w:rPr>
          </w:pPr>
          <w:r w:rsidRPr="000B670B">
            <w:rPr>
              <w:rFonts w:ascii="Arial" w:hAnsi="Arial" w:cs="Arial"/>
            </w:rPr>
            <w:t>Triglycidylisocyanurate (TGIC)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5"/>
        <w:gridCol w:w="5051"/>
      </w:tblGrid>
      <w:tr w:rsidR="00F43AD5" w:rsidRPr="004C23F4" w14:paraId="3E3D9541" w14:textId="77777777" w:rsidTr="00B76A41">
        <w:trPr>
          <w:cantSplit/>
          <w:tblHeader/>
        </w:trPr>
        <w:tc>
          <w:tcPr>
            <w:tcW w:w="4077" w:type="dxa"/>
          </w:tcPr>
          <w:p w14:paraId="432A4E37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490775C3" w14:textId="77777777" w:rsidR="00F43AD5" w:rsidRPr="00717D45" w:rsidRDefault="000B670B" w:rsidP="000B670B">
            <w:pPr>
              <w:pStyle w:val="Tablefont"/>
              <w:tabs>
                <w:tab w:val="left" w:pos="939"/>
              </w:tabs>
            </w:pPr>
            <w:r w:rsidRPr="000B670B">
              <w:t>2451-62-9</w:t>
            </w:r>
          </w:p>
        </w:tc>
      </w:tr>
      <w:tr w:rsidR="00F43AD5" w:rsidRPr="004C23F4" w14:paraId="4E6DA242" w14:textId="77777777" w:rsidTr="00B76A41">
        <w:trPr>
          <w:cantSplit/>
        </w:trPr>
        <w:tc>
          <w:tcPr>
            <w:tcW w:w="4077" w:type="dxa"/>
          </w:tcPr>
          <w:p w14:paraId="5B93A92A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165" w:type="dxa"/>
          </w:tcPr>
          <w:p w14:paraId="4ACDA632" w14:textId="22F11EA3" w:rsidR="00F43AD5" w:rsidRPr="00717D45" w:rsidRDefault="000B670B" w:rsidP="00B76A41">
            <w:pPr>
              <w:pStyle w:val="Tablefont"/>
            </w:pPr>
            <w:r w:rsidRPr="000B670B">
              <w:t>PT-810</w:t>
            </w:r>
            <w:r>
              <w:t>,</w:t>
            </w:r>
            <w:r w:rsidR="00DE2E6B">
              <w:t xml:space="preserve"> 1,3,5-t</w:t>
            </w:r>
            <w:r w:rsidRPr="000B670B">
              <w:t>riazine-2,4,6-(1H,3H,5H)-</w:t>
            </w:r>
            <w:proofErr w:type="spellStart"/>
            <w:r w:rsidRPr="000B670B">
              <w:t>trione</w:t>
            </w:r>
            <w:proofErr w:type="spellEnd"/>
            <w:r>
              <w:t xml:space="preserve">, </w:t>
            </w:r>
            <w:proofErr w:type="gramStart"/>
            <w:r>
              <w:t>TEPIC,</w:t>
            </w:r>
            <w:r w:rsidRPr="000B670B">
              <w:t>TGIC</w:t>
            </w:r>
            <w:proofErr w:type="gramEnd"/>
            <w:r w:rsidR="00DE2E6B">
              <w:t>, t</w:t>
            </w:r>
            <w:r w:rsidR="00DE2E6B" w:rsidRPr="00DE2E6B">
              <w:t xml:space="preserve">ris (2,3-epoxypropyl) </w:t>
            </w:r>
            <w:proofErr w:type="spellStart"/>
            <w:r w:rsidR="00DE2E6B" w:rsidRPr="00DE2E6B">
              <w:t>isocyanurate</w:t>
            </w:r>
            <w:proofErr w:type="spellEnd"/>
            <w:r w:rsidR="00DE2E6B">
              <w:t xml:space="preserve">, </w:t>
            </w:r>
            <w:r w:rsidR="00DE2E6B" w:rsidRPr="00DE2E6B">
              <w:t>1,3,5-tris (</w:t>
            </w:r>
            <w:proofErr w:type="spellStart"/>
            <w:r w:rsidR="00DE2E6B" w:rsidRPr="00DE2E6B">
              <w:t>oxiranylmethyl</w:t>
            </w:r>
            <w:proofErr w:type="spellEnd"/>
            <w:r w:rsidR="00DE2E6B" w:rsidRPr="00DE2E6B">
              <w:t>)-</w:t>
            </w:r>
            <w:r w:rsidR="0057756A" w:rsidRPr="0057756A">
              <w:t>1,3,5</w:t>
            </w:r>
            <w:r w:rsidR="0057756A" w:rsidRPr="0057756A">
              <w:rPr>
                <w:rFonts w:ascii="Cambria Math" w:hAnsi="Cambria Math" w:cs="Cambria Math"/>
              </w:rPr>
              <w:t>‐</w:t>
            </w:r>
            <w:r w:rsidR="0057756A" w:rsidRPr="0057756A">
              <w:t>triazin</w:t>
            </w:r>
            <w:r w:rsidR="0057756A" w:rsidRPr="0057756A">
              <w:rPr>
                <w:rFonts w:ascii="Cambria Math" w:hAnsi="Cambria Math" w:cs="Cambria Math"/>
              </w:rPr>
              <w:t>‐</w:t>
            </w:r>
            <w:r w:rsidR="0057756A" w:rsidRPr="0057756A">
              <w:t>2,4,6(1H,3H,5H)</w:t>
            </w:r>
            <w:proofErr w:type="spellStart"/>
            <w:r w:rsidR="0057756A" w:rsidRPr="0057756A">
              <w:t>trion</w:t>
            </w:r>
            <w:proofErr w:type="spellEnd"/>
          </w:p>
        </w:tc>
      </w:tr>
      <w:tr w:rsidR="00F43AD5" w:rsidRPr="004C23F4" w14:paraId="41ED977B" w14:textId="77777777" w:rsidTr="00B76A41">
        <w:trPr>
          <w:cantSplit/>
        </w:trPr>
        <w:tc>
          <w:tcPr>
            <w:tcW w:w="4077" w:type="dxa"/>
          </w:tcPr>
          <w:p w14:paraId="5EF68C80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3378F220" w14:textId="77777777" w:rsidR="00F43AD5" w:rsidRPr="00717D45" w:rsidRDefault="000B670B" w:rsidP="00B76A41">
            <w:pPr>
              <w:pStyle w:val="Tablefont"/>
            </w:pPr>
            <w:r w:rsidRPr="000B670B">
              <w:t>C</w:t>
            </w:r>
            <w:r w:rsidRPr="000B670B">
              <w:rPr>
                <w:vertAlign w:val="subscript"/>
              </w:rPr>
              <w:t>12</w:t>
            </w:r>
            <w:r w:rsidRPr="000B670B">
              <w:t>H</w:t>
            </w:r>
            <w:r w:rsidRPr="000B670B">
              <w:rPr>
                <w:vertAlign w:val="subscript"/>
              </w:rPr>
              <w:t>15</w:t>
            </w:r>
            <w:r w:rsidRPr="000B670B">
              <w:t>N</w:t>
            </w:r>
            <w:r w:rsidRPr="000B670B">
              <w:rPr>
                <w:vertAlign w:val="subscript"/>
              </w:rPr>
              <w:t>3</w:t>
            </w:r>
            <w:r w:rsidRPr="000B670B">
              <w:t>O</w:t>
            </w:r>
            <w:r w:rsidRPr="000B670B">
              <w:rPr>
                <w:vertAlign w:val="subscript"/>
              </w:rPr>
              <w:t>6</w:t>
            </w:r>
          </w:p>
        </w:tc>
      </w:tr>
      <w:tr w:rsidR="00F43AD5" w:rsidRPr="004C23F4" w14:paraId="6BE0869E" w14:textId="77777777" w:rsidTr="00B76A41">
        <w:trPr>
          <w:cantSplit/>
        </w:trPr>
        <w:tc>
          <w:tcPr>
            <w:tcW w:w="4077" w:type="dxa"/>
          </w:tcPr>
          <w:p w14:paraId="52D92C10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707C4E9B" w14:textId="77777777" w:rsidR="00F43AD5" w:rsidRPr="00B40C60" w:rsidRDefault="00037E52" w:rsidP="00B76A41">
            <w:pPr>
              <w:pStyle w:val="Tablerowheading"/>
              <w:rPr>
                <w:b w:val="0"/>
              </w:rPr>
            </w:pPr>
            <w:r>
              <w:rPr>
                <w:b w:val="0"/>
              </w:rPr>
              <w:t>—</w:t>
            </w:r>
          </w:p>
        </w:tc>
      </w:tr>
    </w:tbl>
    <w:p w14:paraId="1F995469" w14:textId="480D0B52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8F721C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2D52AC09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5848011B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5D5F5527" w14:textId="6B20E05A" w:rsidR="002C7AFE" w:rsidRPr="00F531A2" w:rsidRDefault="00F531A2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0.05 mg/m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037E52" w:rsidRPr="004C23F4" w14:paraId="4BDA4E5D" w14:textId="77777777" w:rsidTr="00037E52">
        <w:trPr>
          <w:cantSplit/>
        </w:trPr>
        <w:tc>
          <w:tcPr>
            <w:tcW w:w="4010" w:type="dxa"/>
            <w:vAlign w:val="center"/>
          </w:tcPr>
          <w:p w14:paraId="579E9A34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A8E9AEC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19FE8AD0" w14:textId="77777777" w:rsidTr="00037E52">
        <w:trPr>
          <w:cantSplit/>
        </w:trPr>
        <w:tc>
          <w:tcPr>
            <w:tcW w:w="4010" w:type="dxa"/>
            <w:vAlign w:val="center"/>
          </w:tcPr>
          <w:p w14:paraId="10FD1EB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9909059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4E09941" w14:textId="77777777" w:rsidTr="00037E52">
        <w:trPr>
          <w:cantSplit/>
        </w:trPr>
        <w:tc>
          <w:tcPr>
            <w:tcW w:w="4010" w:type="dxa"/>
          </w:tcPr>
          <w:p w14:paraId="5520174A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4B2A67E5" w14:textId="56A7D174" w:rsidR="00037E52" w:rsidRPr="00EB3D1B" w:rsidRDefault="00F531A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Sk., DSEN</w:t>
            </w:r>
          </w:p>
        </w:tc>
      </w:tr>
      <w:tr w:rsidR="00037E52" w:rsidRPr="004C23F4" w14:paraId="6A2FE279" w14:textId="77777777" w:rsidTr="00037E52">
        <w:trPr>
          <w:cantSplit/>
        </w:trPr>
        <w:tc>
          <w:tcPr>
            <w:tcW w:w="4010" w:type="dxa"/>
            <w:vAlign w:val="center"/>
          </w:tcPr>
          <w:p w14:paraId="27641D05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46BA0A74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155999" w:rsidRPr="004C23F4" w14:paraId="6A11F763" w14:textId="77777777" w:rsidTr="0001708D">
        <w:trPr>
          <w:cantSplit/>
        </w:trPr>
        <w:tc>
          <w:tcPr>
            <w:tcW w:w="9026" w:type="dxa"/>
            <w:gridSpan w:val="2"/>
            <w:vAlign w:val="center"/>
          </w:tcPr>
          <w:p w14:paraId="4A103018" w14:textId="5BC621AD" w:rsidR="00155999" w:rsidRPr="00EB3D1B" w:rsidRDefault="00155999" w:rsidP="00037E52">
            <w:pPr>
              <w:pStyle w:val="Tablefont"/>
              <w:rPr>
                <w:b/>
              </w:rPr>
            </w:pPr>
            <w:r w:rsidRPr="00BE1100">
              <w:rPr>
                <w:b/>
                <w:bCs/>
              </w:rPr>
              <w:t>Sampling and analysis: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bCs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F36F0C" w:rsidRPr="00BE1100">
                  <w:rPr>
                    <w:rStyle w:val="WESstatus"/>
                    <w:bCs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4E4C75AB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B4A46C9" w14:textId="690D7967" w:rsidR="00F531A2" w:rsidRDefault="00F531A2" w:rsidP="000C139A">
      <w:pPr>
        <w:rPr>
          <w:rFonts w:cs="Arial"/>
        </w:rPr>
      </w:pPr>
      <w:r w:rsidRPr="00F531A2">
        <w:rPr>
          <w:rFonts w:cs="Arial"/>
        </w:rPr>
        <w:t xml:space="preserve">A TWA of </w:t>
      </w:r>
      <w:r>
        <w:rPr>
          <w:rFonts w:cs="Arial"/>
        </w:rPr>
        <w:t>0.05</w:t>
      </w:r>
      <w:r w:rsidRPr="00F531A2">
        <w:rPr>
          <w:rFonts w:cs="Arial"/>
        </w:rPr>
        <w:t xml:space="preserve"> mg/m</w:t>
      </w:r>
      <w:r w:rsidRPr="00F531A2">
        <w:rPr>
          <w:rFonts w:cs="Arial"/>
          <w:vertAlign w:val="superscript"/>
        </w:rPr>
        <w:t>3</w:t>
      </w:r>
      <w:r w:rsidRPr="00F531A2">
        <w:rPr>
          <w:rFonts w:cs="Arial"/>
        </w:rPr>
        <w:t xml:space="preserve"> is </w:t>
      </w:r>
      <w:r>
        <w:rPr>
          <w:rFonts w:cs="Arial"/>
        </w:rPr>
        <w:t>recommended</w:t>
      </w:r>
      <w:r w:rsidRPr="00F531A2">
        <w:rPr>
          <w:rFonts w:cs="Arial"/>
        </w:rPr>
        <w:t xml:space="preserve"> to </w:t>
      </w:r>
      <w:r>
        <w:rPr>
          <w:rFonts w:cs="Arial"/>
        </w:rPr>
        <w:t>minimise potential</w:t>
      </w:r>
      <w:r w:rsidRPr="00F531A2">
        <w:rPr>
          <w:rFonts w:cs="Arial"/>
        </w:rPr>
        <w:t xml:space="preserve"> for dermal sensitisation and adverse haematological and fertility effects in exposed workers.</w:t>
      </w:r>
    </w:p>
    <w:p w14:paraId="664AFFC1" w14:textId="0F51FB0E" w:rsidR="006639B4" w:rsidRPr="004C23F4" w:rsidRDefault="00F531A2" w:rsidP="000C139A">
      <w:pPr>
        <w:rPr>
          <w:rFonts w:cs="Arial"/>
        </w:rPr>
      </w:pPr>
      <w:r w:rsidRPr="00F531A2">
        <w:rPr>
          <w:rFonts w:cs="Arial"/>
        </w:rPr>
        <w:t>Given the limited data available from the primary sources, it is recommended that a review of additional sources be conducted at the next scheduled review.</w:t>
      </w:r>
    </w:p>
    <w:p w14:paraId="664278C3" w14:textId="77777777" w:rsidR="00C7155E" w:rsidRPr="004C23F4" w:rsidRDefault="00F10C97" w:rsidP="003365A5">
      <w:pPr>
        <w:pStyle w:val="Heading2"/>
      </w:pPr>
      <w:r>
        <w:t>Discussion and conclusions</w:t>
      </w:r>
    </w:p>
    <w:p w14:paraId="08A13710" w14:textId="2311DC55" w:rsidR="003C7F56" w:rsidRDefault="002E31F1" w:rsidP="006639B4">
      <w:pPr>
        <w:rPr>
          <w:rFonts w:cs="Arial"/>
        </w:rPr>
      </w:pPr>
      <w:proofErr w:type="spellStart"/>
      <w:r>
        <w:rPr>
          <w:rFonts w:cs="Arial"/>
        </w:rPr>
        <w:t>Triglyc</w:t>
      </w:r>
      <w:r w:rsidR="00054078">
        <w:rPr>
          <w:rFonts w:cs="Arial"/>
        </w:rPr>
        <w:t>i</w:t>
      </w:r>
      <w:r>
        <w:rPr>
          <w:rFonts w:cs="Arial"/>
        </w:rPr>
        <w:t>dylisocyanurate</w:t>
      </w:r>
      <w:proofErr w:type="spellEnd"/>
      <w:r>
        <w:rPr>
          <w:rFonts w:cs="Arial"/>
        </w:rPr>
        <w:t xml:space="preserve"> (TGIC) is u</w:t>
      </w:r>
      <w:r w:rsidR="00D94B0B">
        <w:rPr>
          <w:rFonts w:cs="Arial"/>
        </w:rPr>
        <w:t xml:space="preserve">sed as </w:t>
      </w:r>
      <w:r>
        <w:rPr>
          <w:rFonts w:cs="Arial"/>
        </w:rPr>
        <w:t>a powder coating resin.</w:t>
      </w:r>
      <w:r w:rsidR="00D94B0B">
        <w:rPr>
          <w:rFonts w:cs="Arial"/>
        </w:rPr>
        <w:t xml:space="preserve"> </w:t>
      </w:r>
    </w:p>
    <w:p w14:paraId="424013C7" w14:textId="77777777" w:rsidR="007D7B6D" w:rsidRDefault="003C7F56" w:rsidP="006639B4">
      <w:pPr>
        <w:rPr>
          <w:rFonts w:cs="Arial"/>
        </w:rPr>
      </w:pPr>
      <w:r>
        <w:rPr>
          <w:rFonts w:cs="Arial"/>
        </w:rPr>
        <w:t>The c</w:t>
      </w:r>
      <w:r w:rsidR="00D94B0B">
        <w:rPr>
          <w:rFonts w:cs="Arial"/>
        </w:rPr>
        <w:t xml:space="preserve">ritical effects </w:t>
      </w:r>
      <w:r w:rsidR="002E31F1">
        <w:rPr>
          <w:rFonts w:cs="Arial"/>
        </w:rPr>
        <w:t xml:space="preserve">of exposure </w:t>
      </w:r>
      <w:r w:rsidR="00D94B0B">
        <w:rPr>
          <w:rFonts w:cs="Arial"/>
        </w:rPr>
        <w:t>are dermal sensitisation and adverse haematological and fertility effects.</w:t>
      </w:r>
      <w:r>
        <w:rPr>
          <w:rFonts w:cs="Arial"/>
        </w:rPr>
        <w:t xml:space="preserve"> </w:t>
      </w:r>
    </w:p>
    <w:p w14:paraId="0FA15809" w14:textId="77777777" w:rsidR="007D7B6D" w:rsidRDefault="00D94B0B" w:rsidP="006639B4">
      <w:pPr>
        <w:rPr>
          <w:rFonts w:cs="Arial"/>
        </w:rPr>
      </w:pPr>
      <w:r>
        <w:rPr>
          <w:rFonts w:cs="Arial"/>
        </w:rPr>
        <w:t xml:space="preserve">Human data are </w:t>
      </w:r>
      <w:r w:rsidR="008F721C">
        <w:rPr>
          <w:rFonts w:cs="Arial"/>
        </w:rPr>
        <w:t xml:space="preserve">limited to case reports of </w:t>
      </w:r>
      <w:r w:rsidR="002E31F1">
        <w:rPr>
          <w:rFonts w:cs="Arial"/>
        </w:rPr>
        <w:t xml:space="preserve">dermal </w:t>
      </w:r>
      <w:r w:rsidR="008F721C">
        <w:rPr>
          <w:rFonts w:cs="Arial"/>
        </w:rPr>
        <w:t>sensitisation and intravenous injection studies.</w:t>
      </w:r>
    </w:p>
    <w:p w14:paraId="5654B18F" w14:textId="75F5B25E" w:rsidR="00D94B0B" w:rsidRDefault="008F721C" w:rsidP="006639B4">
      <w:pPr>
        <w:rPr>
          <w:rFonts w:cs="Arial"/>
        </w:rPr>
      </w:pPr>
      <w:r>
        <w:rPr>
          <w:rFonts w:cs="Arial"/>
        </w:rPr>
        <w:t>D</w:t>
      </w:r>
      <w:r w:rsidR="00D94B0B">
        <w:rPr>
          <w:rFonts w:cs="Arial"/>
        </w:rPr>
        <w:t xml:space="preserve">ermal sensitisation </w:t>
      </w:r>
      <w:r w:rsidR="007D7B6D">
        <w:rPr>
          <w:rFonts w:cs="Arial"/>
        </w:rPr>
        <w:t>reported</w:t>
      </w:r>
      <w:r>
        <w:rPr>
          <w:rFonts w:cs="Arial"/>
        </w:rPr>
        <w:t xml:space="preserve"> </w:t>
      </w:r>
      <w:r w:rsidR="002E31F1">
        <w:rPr>
          <w:rFonts w:cs="Arial"/>
        </w:rPr>
        <w:t>in exposed workers and affirmed with positive sensitisation results in animal studies (ACGIH, 2018; DFG, 2014). The a</w:t>
      </w:r>
      <w:r>
        <w:rPr>
          <w:rFonts w:cs="Arial"/>
        </w:rPr>
        <w:t>vailable data suggest</w:t>
      </w:r>
      <w:r w:rsidR="00D94B0B">
        <w:rPr>
          <w:rFonts w:cs="Arial"/>
        </w:rPr>
        <w:t xml:space="preserve"> potential respiratory sensitisation</w:t>
      </w:r>
      <w:r w:rsidR="002E31F1">
        <w:rPr>
          <w:rFonts w:cs="Arial"/>
        </w:rPr>
        <w:t xml:space="preserve"> in exposed workers</w:t>
      </w:r>
      <w:r w:rsidR="00861B9B">
        <w:rPr>
          <w:rFonts w:cs="Arial"/>
        </w:rPr>
        <w:t>;</w:t>
      </w:r>
      <w:r w:rsidR="002E31F1">
        <w:rPr>
          <w:rFonts w:cs="Arial"/>
        </w:rPr>
        <w:t xml:space="preserve"> an immunological mechanism of action </w:t>
      </w:r>
      <w:r w:rsidR="00861B9B">
        <w:rPr>
          <w:rFonts w:cs="Arial"/>
        </w:rPr>
        <w:t xml:space="preserve">is </w:t>
      </w:r>
      <w:r w:rsidR="002E31F1">
        <w:rPr>
          <w:rFonts w:cs="Arial"/>
        </w:rPr>
        <w:t xml:space="preserve">not </w:t>
      </w:r>
      <w:r w:rsidR="007D7B6D">
        <w:rPr>
          <w:rFonts w:cs="Arial"/>
        </w:rPr>
        <w:t>identified</w:t>
      </w:r>
      <w:r w:rsidR="002E31F1">
        <w:rPr>
          <w:rFonts w:cs="Arial"/>
        </w:rPr>
        <w:t xml:space="preserve"> (DFG, 2014; NICNAS, 2001).</w:t>
      </w:r>
      <w:r w:rsidR="00D94B0B">
        <w:rPr>
          <w:rFonts w:cs="Arial"/>
        </w:rPr>
        <w:t xml:space="preserve"> </w:t>
      </w:r>
      <w:r>
        <w:rPr>
          <w:rFonts w:cs="Arial"/>
        </w:rPr>
        <w:t>A</w:t>
      </w:r>
      <w:r w:rsidR="004A54E9">
        <w:rPr>
          <w:rFonts w:cs="Arial"/>
        </w:rPr>
        <w:t xml:space="preserve"> LOAEL of 2.3 mg/kg (lowest dose used</w:t>
      </w:r>
      <w:r w:rsidR="007D2609">
        <w:rPr>
          <w:rFonts w:cs="Arial"/>
        </w:rPr>
        <w:t>; intravenous dose</w:t>
      </w:r>
      <w:r w:rsidR="004A54E9">
        <w:rPr>
          <w:rFonts w:cs="Arial"/>
        </w:rPr>
        <w:t>) for a</w:t>
      </w:r>
      <w:r>
        <w:rPr>
          <w:rFonts w:cs="Arial"/>
        </w:rPr>
        <w:t xml:space="preserve">dverse haematological effects </w:t>
      </w:r>
      <w:r w:rsidR="00861B9B">
        <w:rPr>
          <w:rFonts w:cs="Arial"/>
        </w:rPr>
        <w:t>ar</w:t>
      </w:r>
      <w:r w:rsidR="002E31F1">
        <w:rPr>
          <w:rFonts w:cs="Arial"/>
        </w:rPr>
        <w:t xml:space="preserve">e reported </w:t>
      </w:r>
      <w:r>
        <w:rPr>
          <w:rFonts w:cs="Arial"/>
        </w:rPr>
        <w:t>in phase I clinical trials for cancer therapeutics</w:t>
      </w:r>
      <w:r w:rsidR="002E31F1">
        <w:rPr>
          <w:rFonts w:cs="Arial"/>
        </w:rPr>
        <w:t xml:space="preserve"> (ACGIH, 2018)</w:t>
      </w:r>
      <w:r>
        <w:rPr>
          <w:rFonts w:cs="Arial"/>
        </w:rPr>
        <w:t xml:space="preserve">. </w:t>
      </w:r>
      <w:r w:rsidR="00D94B0B">
        <w:rPr>
          <w:rFonts w:cs="Arial"/>
        </w:rPr>
        <w:t xml:space="preserve">No chronic inhalation studies </w:t>
      </w:r>
      <w:r w:rsidR="00861B9B">
        <w:rPr>
          <w:rFonts w:cs="Arial"/>
        </w:rPr>
        <w:t>a</w:t>
      </w:r>
      <w:r w:rsidR="00D94B0B">
        <w:rPr>
          <w:rFonts w:cs="Arial"/>
        </w:rPr>
        <w:t>re available</w:t>
      </w:r>
      <w:r w:rsidR="002E31F1">
        <w:rPr>
          <w:rFonts w:cs="Arial"/>
        </w:rPr>
        <w:t xml:space="preserve"> (ACGIH, 2018; ECHA, 2020)</w:t>
      </w:r>
      <w:r w:rsidR="00D94B0B">
        <w:rPr>
          <w:rFonts w:cs="Arial"/>
        </w:rPr>
        <w:t xml:space="preserve">. However, </w:t>
      </w:r>
      <w:r w:rsidR="007D2609">
        <w:rPr>
          <w:rFonts w:cs="Arial"/>
        </w:rPr>
        <w:t>a NOAEC for fertility endpoints at 2.5 to 7.8 mg/m</w:t>
      </w:r>
      <w:r w:rsidR="007D2609">
        <w:rPr>
          <w:rFonts w:cs="Arial"/>
          <w:vertAlign w:val="superscript"/>
        </w:rPr>
        <w:t>3</w:t>
      </w:r>
      <w:r w:rsidR="007D2609">
        <w:rPr>
          <w:rFonts w:cs="Arial"/>
        </w:rPr>
        <w:t xml:space="preserve"> reported in </w:t>
      </w:r>
      <w:r w:rsidR="00D94B0B">
        <w:rPr>
          <w:rFonts w:cs="Arial"/>
        </w:rPr>
        <w:t xml:space="preserve">repeat </w:t>
      </w:r>
      <w:r w:rsidR="007D2609">
        <w:rPr>
          <w:rFonts w:cs="Arial"/>
        </w:rPr>
        <w:t xml:space="preserve">(five days) </w:t>
      </w:r>
      <w:r w:rsidR="006768AD">
        <w:rPr>
          <w:rFonts w:cs="Arial"/>
        </w:rPr>
        <w:t xml:space="preserve">reproductive, </w:t>
      </w:r>
      <w:r w:rsidR="00D94B0B">
        <w:rPr>
          <w:rFonts w:cs="Arial"/>
        </w:rPr>
        <w:t>inhalation</w:t>
      </w:r>
      <w:r w:rsidR="007D2609">
        <w:rPr>
          <w:rFonts w:cs="Arial"/>
        </w:rPr>
        <w:t xml:space="preserve"> </w:t>
      </w:r>
      <w:r w:rsidR="00D94B0B">
        <w:rPr>
          <w:rFonts w:cs="Arial"/>
        </w:rPr>
        <w:t xml:space="preserve">studies </w:t>
      </w:r>
      <w:r w:rsidR="00861B9B">
        <w:rPr>
          <w:rFonts w:cs="Arial"/>
        </w:rPr>
        <w:t>in</w:t>
      </w:r>
      <w:r w:rsidR="00D94B0B">
        <w:rPr>
          <w:rFonts w:cs="Arial"/>
        </w:rPr>
        <w:t xml:space="preserve"> mice </w:t>
      </w:r>
      <w:r w:rsidR="002E31F1">
        <w:rPr>
          <w:rFonts w:cs="Arial"/>
        </w:rPr>
        <w:t>depending on experimental conditions (ACGIH, 2018).</w:t>
      </w:r>
      <w:r>
        <w:rPr>
          <w:rFonts w:cs="Arial"/>
        </w:rPr>
        <w:t xml:space="preserve"> </w:t>
      </w:r>
    </w:p>
    <w:p w14:paraId="0CC32049" w14:textId="03579311" w:rsidR="00F83A60" w:rsidRDefault="008F721C" w:rsidP="006639B4">
      <w:pPr>
        <w:rPr>
          <w:rFonts w:cs="Arial"/>
        </w:rPr>
      </w:pPr>
      <w:r>
        <w:rPr>
          <w:rFonts w:cs="Arial"/>
        </w:rPr>
        <w:t>In the absence of suitable chronic inhalation data, ACGIH (2018) recommend a TWA of 0.05 mg/m</w:t>
      </w:r>
      <w:r>
        <w:rPr>
          <w:rFonts w:cs="Arial"/>
          <w:vertAlign w:val="superscript"/>
        </w:rPr>
        <w:t>3</w:t>
      </w:r>
      <w:r>
        <w:rPr>
          <w:rFonts w:cs="Arial"/>
        </w:rPr>
        <w:t>, which is substantially lower than the lowest NOAEC of 2.5 mg/</w:t>
      </w:r>
      <w:r w:rsidRPr="008F721C">
        <w:rPr>
          <w:rFonts w:cs="Arial"/>
        </w:rPr>
        <w:t>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  <w:r w:rsidRPr="008F721C">
        <w:rPr>
          <w:rFonts w:cs="Arial"/>
        </w:rPr>
        <w:t>for</w:t>
      </w:r>
      <w:r>
        <w:rPr>
          <w:rFonts w:cs="Arial"/>
        </w:rPr>
        <w:t xml:space="preserve"> adverse fertility effects in mice</w:t>
      </w:r>
      <w:r w:rsidR="00861B9B">
        <w:rPr>
          <w:rFonts w:cs="Arial"/>
        </w:rPr>
        <w:t>;</w:t>
      </w:r>
      <w:r w:rsidR="007A369B">
        <w:rPr>
          <w:rFonts w:cs="Arial"/>
        </w:rPr>
        <w:t xml:space="preserve"> </w:t>
      </w:r>
      <w:r w:rsidR="007A369B">
        <w:rPr>
          <w:rFonts w:cs="Arial"/>
        </w:rPr>
        <w:lastRenderedPageBreak/>
        <w:t xml:space="preserve">and thereby </w:t>
      </w:r>
      <w:r w:rsidR="00861B9B">
        <w:rPr>
          <w:rFonts w:cs="Arial"/>
        </w:rPr>
        <w:t xml:space="preserve">is </w:t>
      </w:r>
      <w:r w:rsidR="007A369B">
        <w:rPr>
          <w:rFonts w:cs="Arial"/>
        </w:rPr>
        <w:t>also expected to be protective of adverse haematological changes and dermal sensitisation. DFG (2014) do</w:t>
      </w:r>
      <w:r w:rsidR="00F531A2">
        <w:rPr>
          <w:rFonts w:cs="Arial"/>
        </w:rPr>
        <w:t>es</w:t>
      </w:r>
      <w:r w:rsidR="007A369B">
        <w:rPr>
          <w:rFonts w:cs="Arial"/>
        </w:rPr>
        <w:t xml:space="preserve"> not recommend a numerical TWA equivalent based on </w:t>
      </w:r>
      <w:r w:rsidR="00F531A2">
        <w:rPr>
          <w:rFonts w:cs="Arial"/>
        </w:rPr>
        <w:t>evidence for</w:t>
      </w:r>
      <w:r w:rsidR="007A369B">
        <w:rPr>
          <w:rFonts w:cs="Arial"/>
        </w:rPr>
        <w:t xml:space="preserve"> dermal and potential respiratory sensitisation in humans. In view of the uncertainty in the available database, </w:t>
      </w:r>
      <w:r w:rsidR="006768AD">
        <w:rPr>
          <w:rFonts w:cs="Arial"/>
        </w:rPr>
        <w:t xml:space="preserve">the </w:t>
      </w:r>
      <w:r w:rsidR="007A369B">
        <w:rPr>
          <w:rFonts w:cs="Arial"/>
        </w:rPr>
        <w:t>TWA of 0.05 mg/m</w:t>
      </w:r>
      <w:r w:rsidR="007A369B">
        <w:rPr>
          <w:rFonts w:cs="Arial"/>
          <w:vertAlign w:val="superscript"/>
        </w:rPr>
        <w:t>3</w:t>
      </w:r>
      <w:r w:rsidR="007A369B">
        <w:rPr>
          <w:rFonts w:cs="Arial"/>
        </w:rPr>
        <w:t xml:space="preserve"> </w:t>
      </w:r>
      <w:r w:rsidR="006768AD">
        <w:rPr>
          <w:rFonts w:cs="Arial"/>
        </w:rPr>
        <w:t xml:space="preserve">by ACGIH (2018) </w:t>
      </w:r>
      <w:r w:rsidR="007A369B">
        <w:rPr>
          <w:rFonts w:cs="Arial"/>
        </w:rPr>
        <w:t>is recommended</w:t>
      </w:r>
      <w:r w:rsidR="00271F0C">
        <w:rPr>
          <w:rFonts w:cs="Arial"/>
        </w:rPr>
        <w:t xml:space="preserve"> to</w:t>
      </w:r>
      <w:r w:rsidR="007A369B">
        <w:rPr>
          <w:rFonts w:cs="Arial"/>
        </w:rPr>
        <w:t xml:space="preserve"> </w:t>
      </w:r>
      <w:r w:rsidR="006768AD">
        <w:rPr>
          <w:rFonts w:cs="Arial"/>
        </w:rPr>
        <w:t xml:space="preserve">be adopted </w:t>
      </w:r>
      <w:r w:rsidR="007A369B">
        <w:rPr>
          <w:rFonts w:cs="Arial"/>
        </w:rPr>
        <w:t xml:space="preserve">in the interim. </w:t>
      </w:r>
    </w:p>
    <w:p w14:paraId="43EF32F0" w14:textId="51B1AE4B" w:rsidR="008F721C" w:rsidRPr="007A369B" w:rsidRDefault="00F83A60" w:rsidP="006639B4">
      <w:pPr>
        <w:rPr>
          <w:rFonts w:cs="Arial"/>
        </w:rPr>
      </w:pPr>
      <w:r>
        <w:rPr>
          <w:rFonts w:cs="Arial"/>
        </w:rPr>
        <w:t>F</w:t>
      </w:r>
      <w:r w:rsidR="007A369B">
        <w:rPr>
          <w:rFonts w:cs="Arial"/>
        </w:rPr>
        <w:t>urther assessment of addit</w:t>
      </w:r>
      <w:r w:rsidR="00C312F8">
        <w:rPr>
          <w:rFonts w:cs="Arial"/>
        </w:rPr>
        <w:t>ional sources is recommended during subsequent reviews of the WES</w:t>
      </w:r>
      <w:r>
        <w:rPr>
          <w:rFonts w:cs="Arial"/>
        </w:rPr>
        <w:t xml:space="preserve"> because of the unresolved potential for respiratory sensitisation</w:t>
      </w:r>
      <w:r w:rsidR="00C312F8">
        <w:rPr>
          <w:rFonts w:cs="Arial"/>
        </w:rPr>
        <w:t>.</w:t>
      </w:r>
    </w:p>
    <w:p w14:paraId="1D8A5F62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607A0326" w14:textId="121DF804" w:rsidR="008E4F1F" w:rsidRPr="00F531A2" w:rsidRDefault="008E4F1F" w:rsidP="008E4F1F">
      <w:pPr>
        <w:rPr>
          <w:rFonts w:cs="Arial"/>
        </w:rPr>
      </w:pPr>
      <w:r w:rsidRPr="00F531A2">
        <w:rPr>
          <w:rFonts w:cs="Arial"/>
        </w:rPr>
        <w:t>Not classified as a carcinogen according to the Globally Harmonized System of</w:t>
      </w:r>
      <w:r w:rsidR="00155999" w:rsidRPr="00F531A2">
        <w:rPr>
          <w:rFonts w:cs="Arial"/>
        </w:rPr>
        <w:t xml:space="preserve"> Classification and Labelling of</w:t>
      </w:r>
      <w:r w:rsidR="00F531A2" w:rsidRPr="00F531A2">
        <w:rPr>
          <w:rFonts w:cs="Arial"/>
        </w:rPr>
        <w:t xml:space="preserve"> Chemicals (GHS). No entry for the substance was identified in the HCIS database.</w:t>
      </w:r>
    </w:p>
    <w:p w14:paraId="50143065" w14:textId="4F2990D6" w:rsidR="00F531A2" w:rsidRPr="00F531A2" w:rsidRDefault="00F531A2" w:rsidP="008E4F1F">
      <w:pPr>
        <w:rPr>
          <w:rFonts w:cs="Arial"/>
        </w:rPr>
      </w:pPr>
      <w:r w:rsidRPr="00F531A2">
        <w:rPr>
          <w:rFonts w:cs="Arial"/>
        </w:rPr>
        <w:t xml:space="preserve">Classified as a skin sensitiser </w:t>
      </w:r>
      <w:r w:rsidR="00861B9B">
        <w:rPr>
          <w:rFonts w:cs="Arial"/>
        </w:rPr>
        <w:t>and</w:t>
      </w:r>
      <w:r w:rsidRPr="00F531A2">
        <w:rPr>
          <w:rFonts w:cs="Arial"/>
        </w:rPr>
        <w:t xml:space="preserve"> not a respiratory sensitiser according to the GHS.</w:t>
      </w:r>
    </w:p>
    <w:p w14:paraId="0475E7F1" w14:textId="3A4A5889" w:rsidR="00F531A2" w:rsidRPr="00F531A2" w:rsidRDefault="00F531A2" w:rsidP="00F531A2">
      <w:pPr>
        <w:rPr>
          <w:rFonts w:cs="Arial"/>
        </w:rPr>
      </w:pPr>
      <w:r w:rsidRPr="00F531A2">
        <w:rPr>
          <w:rFonts w:cs="Arial"/>
        </w:rPr>
        <w:t>A skin notation is warranted as evidence indicates contact dermatitis in humans.</w:t>
      </w:r>
    </w:p>
    <w:p w14:paraId="0673E8AB" w14:textId="77777777" w:rsidR="0025734A" w:rsidRPr="004C23F4" w:rsidRDefault="0025734A">
      <w:pPr>
        <w:rPr>
          <w:rFonts w:cs="Arial"/>
        </w:rPr>
      </w:pPr>
    </w:p>
    <w:p w14:paraId="27B19C3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63C20D38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2681FC21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A95A08F" w14:textId="77777777" w:rsidTr="0030794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3B24F3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75BA8B6B" w14:textId="77777777" w:rsidTr="0030794D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93D74E6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B231A4" w:rsidRPr="00311BEC">
                  <w:t>1994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B231A4">
                  <w:t>TWA: 0.08 mg/m</w:t>
                </w:r>
                <w:r w:rsidR="00B231A4" w:rsidRPr="00B231A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221EE608" w14:textId="77777777" w:rsidTr="0030794D">
        <w:trPr>
          <w:gridAfter w:val="1"/>
          <w:wAfter w:w="8" w:type="pct"/>
          <w:cantSplit/>
        </w:trPr>
        <w:tc>
          <w:tcPr>
            <w:tcW w:w="4992" w:type="pct"/>
          </w:tcPr>
          <w:p w14:paraId="10838F58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36A11FA4" w14:textId="77777777" w:rsidTr="0030794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66B8A30" w14:textId="306779AC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B231A4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B231A4" w:rsidRPr="00B231A4">
                  <w:t>TLV–TWA</w:t>
                </w:r>
                <w:r w:rsidR="009667D3">
                  <w:t>:</w:t>
                </w:r>
                <w:r w:rsidR="00B231A4" w:rsidRPr="00B231A4">
                  <w:t xml:space="preserve"> 0.05 mg/m</w:t>
                </w:r>
                <w:r w:rsidR="00B231A4" w:rsidRPr="00B231A4">
                  <w:rPr>
                    <w:vertAlign w:val="superscript"/>
                  </w:rPr>
                  <w:t>3</w:t>
                </w:r>
              </w:sdtContent>
            </w:sdt>
          </w:p>
        </w:tc>
      </w:tr>
      <w:tr w:rsidR="00C978F0" w:rsidRPr="00DA352E" w14:paraId="7DB83C84" w14:textId="77777777" w:rsidTr="0030794D">
        <w:trPr>
          <w:gridAfter w:val="1"/>
          <w:wAfter w:w="8" w:type="pct"/>
        </w:trPr>
        <w:tc>
          <w:tcPr>
            <w:tcW w:w="4992" w:type="pct"/>
          </w:tcPr>
          <w:p w14:paraId="29AA6849" w14:textId="6A379AC9" w:rsidR="002C7034" w:rsidRDefault="00311BEC" w:rsidP="003365A5">
            <w:pPr>
              <w:pStyle w:val="Tabletextprimarysource"/>
            </w:pPr>
            <w:r>
              <w:t>TLV-TWA intended to protect for</w:t>
            </w:r>
            <w:r w:rsidR="002C7034">
              <w:t xml:space="preserve"> sensitisation, adverse</w:t>
            </w:r>
            <w:r>
              <w:t xml:space="preserve"> </w:t>
            </w:r>
            <w:r w:rsidR="002C7034">
              <w:t xml:space="preserve">haematopoietic, </w:t>
            </w:r>
            <w:proofErr w:type="spellStart"/>
            <w:r w:rsidR="002C7034">
              <w:t>spermatogonial</w:t>
            </w:r>
            <w:proofErr w:type="spellEnd"/>
            <w:r w:rsidR="002C7034">
              <w:t xml:space="preserve"> and fertility effects.</w:t>
            </w:r>
          </w:p>
          <w:p w14:paraId="767B3FA0" w14:textId="6DC8B988" w:rsidR="002C7034" w:rsidRDefault="002C7034" w:rsidP="00AC105B">
            <w:pPr>
              <w:pStyle w:val="Tabletextprimarysource"/>
            </w:pPr>
            <w:r>
              <w:t>Summary of inf</w:t>
            </w:r>
            <w:r w:rsidR="00AC105B">
              <w:t>ormation</w:t>
            </w:r>
            <w:r w:rsidR="00DF68C8">
              <w:t>:</w:t>
            </w:r>
          </w:p>
          <w:p w14:paraId="67D167CA" w14:textId="723A000F" w:rsidR="00AC105B" w:rsidRPr="00527732" w:rsidRDefault="00AC105B" w:rsidP="00AC105B">
            <w:pPr>
              <w:pStyle w:val="Tabletextprimarysource"/>
            </w:pPr>
            <w:r>
              <w:t>TLV-TWA based on NOAEC of 2.5 mg/m</w:t>
            </w:r>
            <w:r>
              <w:rPr>
                <w:vertAlign w:val="superscript"/>
              </w:rPr>
              <w:t>3</w:t>
            </w:r>
            <w:r>
              <w:t xml:space="preserve"> for sperm </w:t>
            </w:r>
            <w:r w:rsidR="00527732">
              <w:t xml:space="preserve">cell </w:t>
            </w:r>
            <w:r>
              <w:t xml:space="preserve">toxicity </w:t>
            </w:r>
            <w:r w:rsidR="0080357D">
              <w:t xml:space="preserve">in mice; UF of 50 applied to account for uncertainty in </w:t>
            </w:r>
            <w:r w:rsidR="00527732">
              <w:t>the database regarding chronic inhalation exposure</w:t>
            </w:r>
            <w:r w:rsidR="0080357D">
              <w:t xml:space="preserve"> and unresolved, but indicative</w:t>
            </w:r>
            <w:r w:rsidR="00861B9B">
              <w:t>,</w:t>
            </w:r>
            <w:r w:rsidR="0080357D">
              <w:t xml:space="preserve"> evidence for sensitisation potential.</w:t>
            </w:r>
            <w:r w:rsidR="00527732">
              <w:t xml:space="preserve"> Agency notes occupational exposure typically involves the polymeric form, which is expected to be less toxic based on a NOAEC of 100 mg/m</w:t>
            </w:r>
            <w:r w:rsidR="00527732">
              <w:rPr>
                <w:vertAlign w:val="superscript"/>
              </w:rPr>
              <w:t>3</w:t>
            </w:r>
            <w:r w:rsidR="00527732">
              <w:t xml:space="preserve"> for sperm cell toxicity in mice.</w:t>
            </w:r>
          </w:p>
          <w:p w14:paraId="571EA83C" w14:textId="09B4014C" w:rsidR="002C7034" w:rsidRDefault="002C7034" w:rsidP="003365A5">
            <w:pPr>
              <w:pStyle w:val="Tabletextprimarysource"/>
            </w:pPr>
            <w:r>
              <w:t>Human data</w:t>
            </w:r>
            <w:r w:rsidR="007A109D">
              <w:t>:</w:t>
            </w:r>
          </w:p>
          <w:p w14:paraId="6BE707F8" w14:textId="0C38379E" w:rsidR="002C7034" w:rsidRDefault="001E0F29" w:rsidP="001E0F29">
            <w:pPr>
              <w:pStyle w:val="Tabletextprimarysource"/>
              <w:numPr>
                <w:ilvl w:val="0"/>
                <w:numId w:val="3"/>
              </w:numPr>
            </w:pPr>
            <w:r>
              <w:t xml:space="preserve">Plasma </w:t>
            </w:r>
            <w:r w:rsidR="00BE1100">
              <w:t>t</w:t>
            </w:r>
            <w:r w:rsidR="00BE1100" w:rsidRPr="00BE1100">
              <w:rPr>
                <w:vertAlign w:val="subscript"/>
              </w:rPr>
              <w:t>1/2</w:t>
            </w:r>
            <w:r>
              <w:t>: 0.7–1.4 min</w:t>
            </w:r>
          </w:p>
          <w:p w14:paraId="6FDD0D7F" w14:textId="362146FF" w:rsidR="00850982" w:rsidRDefault="00850982" w:rsidP="00850982">
            <w:pPr>
              <w:pStyle w:val="Tabletextprimarysource"/>
              <w:numPr>
                <w:ilvl w:val="0"/>
                <w:numId w:val="3"/>
              </w:numPr>
            </w:pPr>
            <w:r>
              <w:t>Haematological changes including leukopenia, thrombocytopenia, platelet suppression and myelosuppression commonly observed at 2.3–50 mg/kg IV doses in phase I clinical trials of substance as cancer therapeutic</w:t>
            </w:r>
          </w:p>
          <w:p w14:paraId="1FE074E3" w14:textId="48827A23" w:rsidR="00861B9B" w:rsidRDefault="00850982" w:rsidP="00850982">
            <w:pPr>
              <w:pStyle w:val="Tabletextprimarysource"/>
              <w:numPr>
                <w:ilvl w:val="0"/>
                <w:numId w:val="3"/>
              </w:numPr>
            </w:pPr>
            <w:r>
              <w:t>Allergic contact dermatitis associated with occupational exposure to powder coating</w:t>
            </w:r>
            <w:r w:rsidR="00DF68C8">
              <w:t>:</w:t>
            </w:r>
            <w:r>
              <w:t xml:space="preserve"> </w:t>
            </w:r>
          </w:p>
          <w:p w14:paraId="6C47BECC" w14:textId="3FD9C17B" w:rsidR="00850982" w:rsidRDefault="00850982" w:rsidP="00861B9B">
            <w:pPr>
              <w:pStyle w:val="Tabletextprimarysource"/>
              <w:numPr>
                <w:ilvl w:val="0"/>
                <w:numId w:val="4"/>
              </w:numPr>
            </w:pPr>
            <w:r>
              <w:t>pure substance elicited stronger response than powder coating product</w:t>
            </w:r>
            <w:r w:rsidR="00BE1100">
              <w:t>.</w:t>
            </w:r>
          </w:p>
          <w:p w14:paraId="71500ADC" w14:textId="4671F701" w:rsidR="002C7034" w:rsidRDefault="002C7034" w:rsidP="003365A5">
            <w:pPr>
              <w:pStyle w:val="Tabletextprimarysource"/>
            </w:pPr>
            <w:r>
              <w:t>Animal data:</w:t>
            </w:r>
          </w:p>
          <w:p w14:paraId="458C792F" w14:textId="40E05DAD" w:rsidR="00BD13EF" w:rsidRDefault="00400F54" w:rsidP="000F26A9">
            <w:pPr>
              <w:pStyle w:val="Tabletextprimarysource"/>
              <w:numPr>
                <w:ilvl w:val="0"/>
                <w:numId w:val="1"/>
              </w:numPr>
            </w:pPr>
            <w:r>
              <w:t>LC</w:t>
            </w:r>
            <w:r>
              <w:rPr>
                <w:vertAlign w:val="subscript"/>
              </w:rPr>
              <w:t>50</w:t>
            </w:r>
            <w:r w:rsidR="007D2609">
              <w:t xml:space="preserve"> of </w:t>
            </w:r>
            <w:r>
              <w:t>2,000 mg/m</w:t>
            </w:r>
            <w:r>
              <w:rPr>
                <w:vertAlign w:val="superscript"/>
              </w:rPr>
              <w:t>3</w:t>
            </w:r>
            <w:r>
              <w:t xml:space="preserve"> (mice, 4 h); no microscopic lesions or mortality at 2,480–11,640 mg/m</w:t>
            </w:r>
            <w:r>
              <w:rPr>
                <w:vertAlign w:val="superscript"/>
              </w:rPr>
              <w:t>3</w:t>
            </w:r>
            <w:r>
              <w:t xml:space="preserve"> of polymeric powder coating </w:t>
            </w:r>
          </w:p>
          <w:p w14:paraId="2892BAF0" w14:textId="7A768A10" w:rsidR="00400F54" w:rsidRDefault="00400F54" w:rsidP="000F26A9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Equivocal results for dermal sensitisation in several studies </w:t>
            </w:r>
            <w:r w:rsidR="007D2609">
              <w:t xml:space="preserve">in </w:t>
            </w:r>
            <w:r>
              <w:t>guinea pigs (no further details)</w:t>
            </w:r>
          </w:p>
          <w:p w14:paraId="11235B60" w14:textId="6DB97A58" w:rsidR="000510DC" w:rsidRDefault="000510DC" w:rsidP="000510DC">
            <w:pPr>
              <w:pStyle w:val="Tabletextprimarysource"/>
              <w:numPr>
                <w:ilvl w:val="0"/>
                <w:numId w:val="1"/>
              </w:numPr>
            </w:pPr>
            <w:r>
              <w:t>NOAEL</w:t>
            </w:r>
            <w:r w:rsidR="007D2609">
              <w:t xml:space="preserve"> of </w:t>
            </w:r>
            <w:r>
              <w:t xml:space="preserve">27 mg/kg/d for </w:t>
            </w:r>
            <w:r w:rsidR="00861B9B">
              <w:t>diarrhoea</w:t>
            </w:r>
            <w:r>
              <w:t xml:space="preserve">, lethargy, moderate to severe adverse haematopoietic changes, reduced kidney, heart and liver weights and necrosis of gastric mucosae in repeat IV injection study (mice, </w:t>
            </w:r>
            <w:r w:rsidR="007F6217">
              <w:t>5 d); LOAEL</w:t>
            </w:r>
            <w:r w:rsidR="00DF68C8">
              <w:t xml:space="preserve"> of</w:t>
            </w:r>
            <w:r w:rsidR="007F6217">
              <w:t xml:space="preserve"> 53 mg/kg/d</w:t>
            </w:r>
            <w:r w:rsidR="00DF68C8">
              <w:t>:</w:t>
            </w:r>
          </w:p>
          <w:p w14:paraId="3820BCF6" w14:textId="759AF129" w:rsidR="007F6217" w:rsidRDefault="0020476F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similar effects </w:t>
            </w:r>
            <w:r w:rsidR="007D0317">
              <w:t xml:space="preserve">at lower endpoints </w:t>
            </w:r>
            <w:r>
              <w:t xml:space="preserve">in parallel </w:t>
            </w:r>
            <w:r w:rsidR="007D0317">
              <w:t>study with dogs</w:t>
            </w:r>
            <w:r w:rsidR="007D2609">
              <w:t>.</w:t>
            </w:r>
            <w:r w:rsidR="007D0317">
              <w:t xml:space="preserve"> NOAEL</w:t>
            </w:r>
            <w:r w:rsidR="007D2609">
              <w:t xml:space="preserve"> of </w:t>
            </w:r>
            <w:r w:rsidR="007D0317">
              <w:t>0.8 mg/kg/d</w:t>
            </w:r>
            <w:r w:rsidR="007D2609">
              <w:t xml:space="preserve"> and a </w:t>
            </w:r>
            <w:r w:rsidR="007D0317">
              <w:t>LOAEL</w:t>
            </w:r>
            <w:r w:rsidR="007D2609">
              <w:t xml:space="preserve"> </w:t>
            </w:r>
            <w:r w:rsidR="007D0317">
              <w:t xml:space="preserve">8 mg/kg/d </w:t>
            </w:r>
          </w:p>
          <w:p w14:paraId="62086C23" w14:textId="54229C38" w:rsidR="007D2609" w:rsidRDefault="007D0317" w:rsidP="000510DC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No chronic bioassays available for carcinogenicity </w:t>
            </w:r>
          </w:p>
          <w:p w14:paraId="3FFC9C30" w14:textId="419AC8FC" w:rsidR="007D0317" w:rsidRDefault="007D2609" w:rsidP="000510DC">
            <w:pPr>
              <w:pStyle w:val="Tabletextprimarysource"/>
              <w:numPr>
                <w:ilvl w:val="0"/>
                <w:numId w:val="1"/>
              </w:numPr>
            </w:pPr>
            <w:r>
              <w:t>A</w:t>
            </w:r>
            <w:r w:rsidR="007D0317">
              <w:t xml:space="preserve"> </w:t>
            </w:r>
            <w:r w:rsidR="00DF68C8">
              <w:t xml:space="preserve">tumour </w:t>
            </w:r>
            <w:r w:rsidR="007D0317">
              <w:t>promotion study considered inadequate</w:t>
            </w:r>
            <w:r w:rsidR="00DF68C8">
              <w:t>:</w:t>
            </w:r>
          </w:p>
          <w:p w14:paraId="4D351167" w14:textId="05B778B7" w:rsidR="000510DC" w:rsidRDefault="007D0317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no skin tumour promoting effect when co-administered with dimethylbenzanthracene in dermal application study (mice, 26 </w:t>
            </w:r>
            <w:proofErr w:type="spellStart"/>
            <w:r>
              <w:t>wk</w:t>
            </w:r>
            <w:proofErr w:type="spellEnd"/>
            <w:r>
              <w:t>)</w:t>
            </w:r>
          </w:p>
          <w:p w14:paraId="760E58B3" w14:textId="17691D22" w:rsidR="001E0F29" w:rsidRDefault="001E0F29" w:rsidP="007D0317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Pure substance was mutagenic </w:t>
            </w:r>
            <w:r>
              <w:rPr>
                <w:i/>
              </w:rPr>
              <w:t>in vitro</w:t>
            </w:r>
            <w:r>
              <w:t xml:space="preserve"> in bacteria with or without metabolic activation; powder coating product was not</w:t>
            </w:r>
          </w:p>
          <w:p w14:paraId="6A9EBB7A" w14:textId="7F6E5F4A" w:rsidR="007D0317" w:rsidRDefault="00326213" w:rsidP="007D0317">
            <w:pPr>
              <w:pStyle w:val="Tabletextprimarysource"/>
              <w:numPr>
                <w:ilvl w:val="0"/>
                <w:numId w:val="1"/>
              </w:numPr>
            </w:pPr>
            <w:r>
              <w:t>NOAEC</w:t>
            </w:r>
            <w:r w:rsidR="00DF68C8">
              <w:t xml:space="preserve"> of</w:t>
            </w:r>
            <w:r>
              <w:t xml:space="preserve"> 2.5 mg/m</w:t>
            </w:r>
            <w:r>
              <w:rPr>
                <w:vertAlign w:val="superscript"/>
              </w:rPr>
              <w:t>3</w:t>
            </w:r>
            <w:r w:rsidR="00F173D4">
              <w:t xml:space="preserve"> for toxicity to dividing </w:t>
            </w:r>
            <w:proofErr w:type="spellStart"/>
            <w:r w:rsidR="00F173D4">
              <w:t>spermatogonial</w:t>
            </w:r>
            <w:proofErr w:type="spellEnd"/>
            <w:r w:rsidR="00F173D4">
              <w:t xml:space="preserve"> cells and chromosomal aberrations </w:t>
            </w:r>
            <w:r w:rsidR="00F173D4">
              <w:rPr>
                <w:i/>
              </w:rPr>
              <w:t>in vivo</w:t>
            </w:r>
            <w:r w:rsidR="00F173D4">
              <w:t xml:space="preserve"> in repeat whole-body inhalation study (mice, 6 h/d, 5 d); observations at 10 and 50 mg/m</w:t>
            </w:r>
            <w:r w:rsidR="00F173D4">
              <w:rPr>
                <w:vertAlign w:val="superscript"/>
              </w:rPr>
              <w:t>3</w:t>
            </w:r>
            <w:r w:rsidR="00F173D4">
              <w:t xml:space="preserve"> confounded by cytotoxicity</w:t>
            </w:r>
            <w:r w:rsidR="00DF68C8">
              <w:t>:</w:t>
            </w:r>
          </w:p>
          <w:p w14:paraId="51DF3183" w14:textId="781BBF86" w:rsidR="00F173D4" w:rsidRDefault="00F173D4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NOAEC</w:t>
            </w:r>
            <w:r w:rsidR="00DF68C8">
              <w:t xml:space="preserve"> of </w:t>
            </w:r>
            <w:r>
              <w:t>7.8 mg/m</w:t>
            </w:r>
            <w:r>
              <w:rPr>
                <w:vertAlign w:val="superscript"/>
              </w:rPr>
              <w:t>3</w:t>
            </w:r>
            <w:r>
              <w:t xml:space="preserve"> in separate nose-only inhalation study</w:t>
            </w:r>
            <w:r w:rsidR="0027661E">
              <w:t xml:space="preserve"> (</w:t>
            </w:r>
            <w:r w:rsidR="001E0F29">
              <w:t>mice, 6 h/d, 5 d)</w:t>
            </w:r>
          </w:p>
          <w:p w14:paraId="2F741C4B" w14:textId="3B6B4F68" w:rsidR="001E0F29" w:rsidRDefault="001E0F29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chromosomal aberrations also evidenced in repeat gavage study at 43 or 128 mg/kg/d (mice, 5 d)</w:t>
            </w:r>
          </w:p>
          <w:p w14:paraId="1ED20C38" w14:textId="2DD667D7" w:rsidR="001E0F29" w:rsidRDefault="001E0F29" w:rsidP="001E0F29">
            <w:pPr>
              <w:pStyle w:val="Tabletextprimarysource"/>
              <w:numPr>
                <w:ilvl w:val="0"/>
                <w:numId w:val="1"/>
              </w:numPr>
            </w:pPr>
            <w:r>
              <w:t>Reduced fertility</w:t>
            </w:r>
            <w:r w:rsidR="00861B9B">
              <w:t xml:space="preserve"> and</w:t>
            </w:r>
            <w:r>
              <w:t xml:space="preserve"> no sex-linked recessive lethal mutations at 10 mg/m</w:t>
            </w:r>
            <w:r>
              <w:rPr>
                <w:vertAlign w:val="superscript"/>
              </w:rPr>
              <w:t>3</w:t>
            </w:r>
            <w:r>
              <w:t xml:space="preserve"> and 50 mg/m</w:t>
            </w:r>
            <w:r>
              <w:rPr>
                <w:vertAlign w:val="superscript"/>
              </w:rPr>
              <w:t>3</w:t>
            </w:r>
            <w:r>
              <w:t xml:space="preserve"> (mice, 6 h/d, 5 d); NOAEC</w:t>
            </w:r>
            <w:r w:rsidR="00DF68C8">
              <w:t xml:space="preserve"> of</w:t>
            </w:r>
            <w:r>
              <w:t xml:space="preserve"> 2.5 mg/m</w:t>
            </w:r>
            <w:r>
              <w:rPr>
                <w:vertAlign w:val="superscript"/>
              </w:rPr>
              <w:t>3</w:t>
            </w:r>
            <w:r w:rsidR="00BE1100">
              <w:t>.</w:t>
            </w:r>
          </w:p>
          <w:p w14:paraId="6184C038" w14:textId="77777777" w:rsidR="00861B9B" w:rsidRDefault="00861B9B" w:rsidP="000510DC">
            <w:pPr>
              <w:pStyle w:val="Tabletextprimarysource"/>
            </w:pPr>
          </w:p>
          <w:p w14:paraId="72221047" w14:textId="77777777" w:rsidR="002C7034" w:rsidRDefault="002C7034" w:rsidP="000510DC">
            <w:pPr>
              <w:pStyle w:val="Tabletextprimarysource"/>
            </w:pPr>
            <w:r>
              <w:t>Insufficient data to recommend a TLV-STEL or notations for carcinogenicity, skin absorption, sensitisation.</w:t>
            </w:r>
          </w:p>
          <w:p w14:paraId="5E47A600" w14:textId="4DEC0253" w:rsidR="00861B9B" w:rsidRPr="00DA352E" w:rsidRDefault="00861B9B" w:rsidP="000510DC">
            <w:pPr>
              <w:pStyle w:val="Tabletextprimarysource"/>
            </w:pPr>
          </w:p>
        </w:tc>
      </w:tr>
      <w:tr w:rsidR="00C978F0" w:rsidRPr="00DA352E" w14:paraId="5128B9A8" w14:textId="77777777" w:rsidTr="0030794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FF6911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9F69CE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9F69CE">
                  <w:t>Not assigned</w:t>
                </w:r>
              </w:sdtContent>
            </w:sdt>
          </w:p>
        </w:tc>
      </w:tr>
      <w:tr w:rsidR="00C978F0" w:rsidRPr="00DA352E" w14:paraId="6C095BD9" w14:textId="77777777" w:rsidTr="0030794D">
        <w:trPr>
          <w:gridAfter w:val="1"/>
          <w:wAfter w:w="8" w:type="pct"/>
          <w:cantSplit/>
        </w:trPr>
        <w:tc>
          <w:tcPr>
            <w:tcW w:w="4992" w:type="pct"/>
          </w:tcPr>
          <w:p w14:paraId="3EC8C10C" w14:textId="484A9BF5" w:rsidR="00C978F0" w:rsidRDefault="00527732" w:rsidP="003365A5">
            <w:pPr>
              <w:pStyle w:val="Tabletextprimarysource"/>
            </w:pPr>
            <w:r>
              <w:t>Summary of additional information</w:t>
            </w:r>
            <w:r w:rsidR="00DF68C8">
              <w:t>:</w:t>
            </w:r>
          </w:p>
          <w:p w14:paraId="647D6E7E" w14:textId="6E37EB0F" w:rsidR="00850982" w:rsidRDefault="00AE7844" w:rsidP="003365A5">
            <w:pPr>
              <w:pStyle w:val="Tabletextprimarysource"/>
            </w:pPr>
            <w:r>
              <w:t>No MAK established due to</w:t>
            </w:r>
            <w:r w:rsidR="00CB6A2E">
              <w:t xml:space="preserve"> weight of evidence for dermal sensitisation in</w:t>
            </w:r>
            <w:r>
              <w:t xml:space="preserve"> well-documented clinical studies of occupational contact </w:t>
            </w:r>
            <w:r w:rsidR="00CB6A2E">
              <w:t xml:space="preserve">dermatitis, supported by positive sensitisation results in several studies with guinea pigs. Respiratory sensitisation </w:t>
            </w:r>
            <w:r w:rsidR="006B1094">
              <w:t>suggested</w:t>
            </w:r>
            <w:r w:rsidR="00CB6A2E">
              <w:t xml:space="preserve"> in some </w:t>
            </w:r>
            <w:r w:rsidR="00CB6A2E" w:rsidRPr="0096423F">
              <w:t>human</w:t>
            </w:r>
            <w:r w:rsidR="006B1094">
              <w:t xml:space="preserve"> studies; agency considered </w:t>
            </w:r>
            <w:r w:rsidR="00CB6A2E">
              <w:t xml:space="preserve">immunological mechanism of action probable </w:t>
            </w:r>
            <w:r w:rsidR="006B1094">
              <w:t>but unaffirmed</w:t>
            </w:r>
            <w:r w:rsidR="00CB6A2E">
              <w:t>. Therefore, dermal and respiratory sensitiser notations recommended.</w:t>
            </w:r>
          </w:p>
          <w:p w14:paraId="7614460E" w14:textId="714DEC6E" w:rsidR="00CB6A2E" w:rsidRDefault="00CB6A2E" w:rsidP="003365A5">
            <w:pPr>
              <w:pStyle w:val="Tabletextprimarysource"/>
            </w:pPr>
            <w:r>
              <w:t>Human data</w:t>
            </w:r>
            <w:r w:rsidR="00DF68C8">
              <w:t>:</w:t>
            </w:r>
          </w:p>
          <w:p w14:paraId="1D10F732" w14:textId="55741D6A" w:rsidR="00CB6A2E" w:rsidRDefault="00CB6A2E" w:rsidP="00CB6A2E">
            <w:pPr>
              <w:pStyle w:val="Tabletextprimarysource"/>
              <w:numPr>
                <w:ilvl w:val="0"/>
                <w:numId w:val="1"/>
              </w:numPr>
            </w:pPr>
            <w:r>
              <w:t>Positive dermal sensitisation reactions reported in several patch test studies</w:t>
            </w:r>
            <w:r w:rsidR="00DF68C8">
              <w:t>:</w:t>
            </w:r>
          </w:p>
          <w:p w14:paraId="5388AA34" w14:textId="594BADBB" w:rsidR="00CB6A2E" w:rsidRDefault="00CB6A2E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2-fold positive reaction to 0.1, 0.5, 1 and 2% solutions of pure substance in petrolatum </w:t>
            </w:r>
            <w:r w:rsidR="00A043D8">
              <w:t xml:space="preserve">(petroleum jelly) </w:t>
            </w:r>
            <w:r>
              <w:t>in production worker</w:t>
            </w:r>
            <w:r w:rsidR="00A043D8">
              <w:t>. N</w:t>
            </w:r>
            <w:r>
              <w:t>o reaction in control subjects</w:t>
            </w:r>
          </w:p>
          <w:p w14:paraId="22E1C76F" w14:textId="77777777" w:rsidR="00CB6A2E" w:rsidRDefault="00CB6A2E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2-fold positive reaction in 4/5 polyester resin workers to 1% solution</w:t>
            </w:r>
          </w:p>
          <w:p w14:paraId="7B76FC45" w14:textId="4754C2AA" w:rsidR="00CB6A2E" w:rsidRDefault="005F6A48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p</w:t>
            </w:r>
            <w:r w:rsidR="00CB6A2E">
              <w:t>re-orbital eczema/swelling in 3 workers, who reacted positively to 1% solution</w:t>
            </w:r>
            <w:r w:rsidR="00A043D8">
              <w:t>. N</w:t>
            </w:r>
            <w:r w:rsidR="00CB6A2E">
              <w:t>o reaction in 10 controls</w:t>
            </w:r>
          </w:p>
          <w:p w14:paraId="596B33AB" w14:textId="10233796" w:rsidR="00CB6A2E" w:rsidRDefault="00CB6A2E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6/182 positive reactions in patients suspected of allergic contact dermatitis to epoxy resins</w:t>
            </w:r>
            <w:r w:rsidR="00BE1100">
              <w:t>.</w:t>
            </w:r>
          </w:p>
          <w:p w14:paraId="2A0421D2" w14:textId="6299433F" w:rsidR="0096423F" w:rsidRDefault="0096423F" w:rsidP="0096423F">
            <w:pPr>
              <w:pStyle w:val="Tabletextprimarysource"/>
              <w:numPr>
                <w:ilvl w:val="0"/>
                <w:numId w:val="1"/>
              </w:numPr>
            </w:pPr>
            <w:r>
              <w:t>Several cases of respiratory sensitisation reported in support of a respiratory sensitiser notation</w:t>
            </w:r>
            <w:r w:rsidR="00DF68C8">
              <w:t>:</w:t>
            </w:r>
          </w:p>
          <w:p w14:paraId="1846D87F" w14:textId="07971097" w:rsidR="0096423F" w:rsidRDefault="0096423F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asthma developed in powder coating workers (n=6</w:t>
            </w:r>
            <w:r w:rsidR="00516ACF">
              <w:t>), 4/6 had non-specific bronchial hyperactivity; decreased forced expiratory second volume (FEV</w:t>
            </w:r>
            <w:r w:rsidR="00516ACF">
              <w:rPr>
                <w:vertAlign w:val="subscript"/>
              </w:rPr>
              <w:t>1</w:t>
            </w:r>
            <w:r w:rsidR="00516ACF">
              <w:t>) in 2 of these 4 patients at bronchial challenges with 0.3 and 2 g of heated substance (7, 11, 16 or 60 min) compared with 3 controls</w:t>
            </w:r>
          </w:p>
          <w:p w14:paraId="50B0A095" w14:textId="4964133F" w:rsidR="00516ACF" w:rsidRDefault="00516ACF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immediate 25–30% decrease in FEV</w:t>
            </w:r>
            <w:r>
              <w:rPr>
                <w:vertAlign w:val="subscript"/>
              </w:rPr>
              <w:t>1</w:t>
            </w:r>
            <w:r>
              <w:t xml:space="preserve"> in 2 </w:t>
            </w:r>
            <w:r w:rsidR="00861B9B">
              <w:t>/</w:t>
            </w:r>
            <w:r>
              <w:t>4 workers with occupationally-derived respiratory symptoms; 1 of these 2 patients had non-specific bronchial hyperactivity</w:t>
            </w:r>
          </w:p>
          <w:p w14:paraId="71FF3A02" w14:textId="77777777" w:rsidR="006B1094" w:rsidRDefault="006B1094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no specific immunological reaction in powder coating worker who developed asthma symptoms 4 </w:t>
            </w:r>
            <w:proofErr w:type="spellStart"/>
            <w:r>
              <w:t>mo</w:t>
            </w:r>
            <w:proofErr w:type="spellEnd"/>
            <w:r>
              <w:t xml:space="preserve"> after beginning employment</w:t>
            </w:r>
          </w:p>
          <w:p w14:paraId="4DCE44AB" w14:textId="050287C8" w:rsidR="00846BF3" w:rsidRDefault="00846BF3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no evidence for respiratory sensitisation in worker with confirmed dermal sensitisation</w:t>
            </w:r>
            <w:r w:rsidR="00BE1100">
              <w:t>.</w:t>
            </w:r>
          </w:p>
          <w:p w14:paraId="3598B4B9" w14:textId="2CB5BCA0" w:rsidR="00846BF3" w:rsidRDefault="00846BF3" w:rsidP="00846BF3">
            <w:pPr>
              <w:pStyle w:val="Tabletextprimarysource"/>
            </w:pPr>
            <w:r>
              <w:t>Animal data</w:t>
            </w:r>
            <w:r w:rsidR="00DF68C8">
              <w:t>:</w:t>
            </w:r>
          </w:p>
          <w:p w14:paraId="626176C8" w14:textId="521DF97B" w:rsidR="00846BF3" w:rsidRDefault="00846BF3" w:rsidP="00846BF3">
            <w:pPr>
              <w:pStyle w:val="Tabletextprimarysource"/>
              <w:numPr>
                <w:ilvl w:val="0"/>
                <w:numId w:val="1"/>
              </w:numPr>
            </w:pPr>
            <w:r>
              <w:t xml:space="preserve">Several dermal sensitisation studies with guinea pigs presented in support of sensitisation evidence in humans; </w:t>
            </w:r>
            <w:r w:rsidR="00DF68C8">
              <w:t>DFG</w:t>
            </w:r>
            <w:r>
              <w:t xml:space="preserve"> notes these studies do not comply with current guidelines</w:t>
            </w:r>
            <w:r w:rsidR="00DF68C8">
              <w:t>:</w:t>
            </w:r>
          </w:p>
          <w:p w14:paraId="378E25EA" w14:textId="5522565C" w:rsidR="00846BF3" w:rsidRDefault="00846BF3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 xml:space="preserve">positive reaction in 4/20 animals compared to controls in occlusive patch test 1 </w:t>
            </w:r>
            <w:proofErr w:type="spellStart"/>
            <w:r>
              <w:t>wk</w:t>
            </w:r>
            <w:proofErr w:type="spellEnd"/>
            <w:r>
              <w:t xml:space="preserve"> after induction with 40 mg and challenge with 120 mg</w:t>
            </w:r>
          </w:p>
          <w:p w14:paraId="4F253F6E" w14:textId="77777777" w:rsidR="00846BF3" w:rsidRDefault="00846BF3" w:rsidP="00BE1100">
            <w:pPr>
              <w:pStyle w:val="Tabletextprimarysource"/>
              <w:numPr>
                <w:ilvl w:val="1"/>
                <w:numId w:val="1"/>
              </w:numPr>
              <w:ind w:left="1159"/>
            </w:pPr>
            <w:r>
              <w:t>positive reactions in 12/20 and 18/20 animals compared to controls with 0.05% technical-grade product as induction and challenge with 50% solution reported in 2 separate studies</w:t>
            </w:r>
            <w:r w:rsidR="00BE1100">
              <w:t>.</w:t>
            </w:r>
          </w:p>
          <w:p w14:paraId="22673282" w14:textId="7F753954" w:rsidR="00861B9B" w:rsidRPr="00DA352E" w:rsidRDefault="00861B9B" w:rsidP="00861B9B">
            <w:pPr>
              <w:pStyle w:val="Tabletextprimarysource"/>
            </w:pPr>
          </w:p>
        </w:tc>
      </w:tr>
      <w:tr w:rsidR="00C978F0" w:rsidRPr="00DA352E" w14:paraId="5981759C" w14:textId="77777777" w:rsidTr="0030794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E157DA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F06BAF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F06BAF">
                  <w:t>NA</w:t>
                </w:r>
              </w:sdtContent>
            </w:sdt>
          </w:p>
        </w:tc>
      </w:tr>
      <w:tr w:rsidR="00C978F0" w:rsidRPr="00DA352E" w14:paraId="7D897B25" w14:textId="77777777" w:rsidTr="0030794D">
        <w:trPr>
          <w:gridAfter w:val="1"/>
          <w:wAfter w:w="8" w:type="pct"/>
          <w:cantSplit/>
        </w:trPr>
        <w:tc>
          <w:tcPr>
            <w:tcW w:w="4992" w:type="pct"/>
          </w:tcPr>
          <w:p w14:paraId="5689BFA2" w14:textId="2FCCC70D" w:rsidR="00C978F0" w:rsidRPr="00DA352E" w:rsidRDefault="00F06BAF" w:rsidP="003365A5">
            <w:pPr>
              <w:pStyle w:val="Tabletextprimarysource"/>
            </w:pPr>
            <w:r>
              <w:t>No report</w:t>
            </w:r>
            <w:r w:rsidR="00BE1100">
              <w:t>.</w:t>
            </w:r>
          </w:p>
        </w:tc>
      </w:tr>
      <w:tr w:rsidR="00DA352E" w:rsidRPr="00DA352E" w14:paraId="07BA7851" w14:textId="77777777" w:rsidTr="0030794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E463DB8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893353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893353">
                  <w:t>NA</w:t>
                </w:r>
              </w:sdtContent>
            </w:sdt>
          </w:p>
        </w:tc>
      </w:tr>
      <w:tr w:rsidR="00DA352E" w:rsidRPr="00DA352E" w14:paraId="64952122" w14:textId="77777777" w:rsidTr="0030794D">
        <w:trPr>
          <w:gridAfter w:val="1"/>
          <w:wAfter w:w="8" w:type="pct"/>
          <w:cantSplit/>
        </w:trPr>
        <w:tc>
          <w:tcPr>
            <w:tcW w:w="4992" w:type="pct"/>
          </w:tcPr>
          <w:p w14:paraId="17A65EF2" w14:textId="5DFD04FA" w:rsidR="00DA352E" w:rsidRPr="00DA352E" w:rsidRDefault="00893353" w:rsidP="003365A5">
            <w:pPr>
              <w:pStyle w:val="Tabletextprimarysource"/>
            </w:pPr>
            <w:r>
              <w:t>No report</w:t>
            </w:r>
            <w:r w:rsidR="00BE1100">
              <w:t>.</w:t>
            </w:r>
          </w:p>
        </w:tc>
      </w:tr>
      <w:tr w:rsidR="00DA352E" w:rsidRPr="00DA352E" w14:paraId="50F822EC" w14:textId="77777777" w:rsidTr="0030794D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48251089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C511FC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C511FC">
                  <w:t>NA</w:t>
                </w:r>
              </w:sdtContent>
            </w:sdt>
          </w:p>
        </w:tc>
      </w:tr>
      <w:tr w:rsidR="00DA352E" w:rsidRPr="00DA352E" w14:paraId="46CE99CA" w14:textId="77777777" w:rsidTr="0030794D">
        <w:trPr>
          <w:gridAfter w:val="1"/>
          <w:wAfter w:w="8" w:type="pct"/>
          <w:cantSplit/>
        </w:trPr>
        <w:tc>
          <w:tcPr>
            <w:tcW w:w="4992" w:type="pct"/>
          </w:tcPr>
          <w:p w14:paraId="5A6098B1" w14:textId="4EB4E10E" w:rsidR="00DA352E" w:rsidRPr="00DA352E" w:rsidRDefault="00C511FC" w:rsidP="003365A5">
            <w:pPr>
              <w:pStyle w:val="Tabletextprimarysource"/>
            </w:pPr>
            <w:r>
              <w:t>No report</w:t>
            </w:r>
            <w:r w:rsidR="00BE1100">
              <w:t>.</w:t>
            </w:r>
          </w:p>
        </w:tc>
      </w:tr>
    </w:tbl>
    <w:p w14:paraId="7EEEABE7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20" w:firstRow="1" w:lastRow="0" w:firstColumn="0" w:lastColumn="0" w:noHBand="1" w:noVBand="1"/>
        <w:tblCaption w:val="Table"/>
        <w:tblDescription w:val="Listing secondary sources with reports"/>
      </w:tblPr>
      <w:tblGrid>
        <w:gridCol w:w="1491"/>
        <w:gridCol w:w="422"/>
        <w:gridCol w:w="661"/>
        <w:gridCol w:w="6452"/>
      </w:tblGrid>
      <w:tr w:rsidR="004966BF" w:rsidRPr="00263255" w14:paraId="436BB71A" w14:textId="77777777" w:rsidTr="0030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3"/>
          <w:tblHeader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2545AEBC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7D4D38D6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168A6214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52" w:type="dxa"/>
            <w:shd w:val="clear" w:color="auto" w:fill="BFBFBF" w:themeFill="background1" w:themeFillShade="BF"/>
            <w:vAlign w:val="center"/>
          </w:tcPr>
          <w:p w14:paraId="55E16850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1BE60AAD" w14:textId="77777777" w:rsidTr="0030794D">
        <w:trPr>
          <w:cantSplit/>
        </w:trPr>
        <w:tc>
          <w:tcPr>
            <w:tcW w:w="1491" w:type="dxa"/>
          </w:tcPr>
          <w:p w14:paraId="7E218636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2" w:type="dxa"/>
          </w:tcPr>
          <w:p w14:paraId="6726B4CF" w14:textId="5C01B9A1" w:rsidR="004966BF" w:rsidRPr="00CE617F" w:rsidRDefault="0030794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0342A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52F35851" w14:textId="67C34B74" w:rsidR="004966BF" w:rsidRPr="004C23F4" w:rsidRDefault="00F36F0C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52" w:type="dxa"/>
          </w:tcPr>
          <w:p w14:paraId="7AE12BE9" w14:textId="18F23FF8" w:rsidR="00F36F0C" w:rsidRDefault="00F36F0C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Classified as a skin sensitiser and category 2 mutagen</w:t>
            </w:r>
          </w:p>
          <w:p w14:paraId="7432E224" w14:textId="62F8D4C0" w:rsidR="00861B9B" w:rsidRPr="00861B9B" w:rsidRDefault="0001708D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lang w:val="en-US"/>
              </w:rPr>
            </w:pPr>
            <w:r w:rsidRPr="0001708D">
              <w:rPr>
                <w:rFonts w:cs="Arial"/>
              </w:rPr>
              <w:t>Several case reports of allergic dermatitis and occupational asthma in workers</w:t>
            </w:r>
            <w:r w:rsidR="00DF68C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129491EC" w14:textId="62FF38CC" w:rsidR="0001708D" w:rsidRPr="0001708D" w:rsidRDefault="0001708D" w:rsidP="00861B9B">
            <w:pPr>
              <w:pStyle w:val="Tablefont"/>
              <w:numPr>
                <w:ilvl w:val="0"/>
                <w:numId w:val="5"/>
              </w:numPr>
              <w:spacing w:before="60" w:after="60"/>
              <w:rPr>
                <w:rFonts w:cs="Arial"/>
                <w:lang w:val="en-US"/>
              </w:rPr>
            </w:pPr>
            <w:r>
              <w:rPr>
                <w:rFonts w:cs="Arial"/>
              </w:rPr>
              <w:t>positive p</w:t>
            </w:r>
            <w:r w:rsidRPr="0001708D">
              <w:rPr>
                <w:rFonts w:cs="Arial"/>
              </w:rPr>
              <w:t>atch tests confirm</w:t>
            </w:r>
            <w:r>
              <w:rPr>
                <w:rFonts w:cs="Arial"/>
              </w:rPr>
              <w:t>ed</w:t>
            </w:r>
            <w:r w:rsidRPr="0001708D">
              <w:rPr>
                <w:rFonts w:cs="Arial"/>
              </w:rPr>
              <w:t xml:space="preserve"> skin sensitisation of these workers</w:t>
            </w:r>
          </w:p>
          <w:p w14:paraId="08C95F18" w14:textId="7F06A742" w:rsidR="00861B9B" w:rsidRPr="00861B9B" w:rsidRDefault="0001708D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lang w:val="en-US"/>
              </w:rPr>
            </w:pPr>
            <w:r>
              <w:rPr>
                <w:rFonts w:cs="Arial"/>
              </w:rPr>
              <w:t>R</w:t>
            </w:r>
            <w:r w:rsidRPr="0001708D">
              <w:rPr>
                <w:rFonts w:cs="Arial"/>
              </w:rPr>
              <w:t xml:space="preserve">espiratory hypersensitivity </w:t>
            </w:r>
            <w:r>
              <w:rPr>
                <w:rFonts w:cs="Arial"/>
              </w:rPr>
              <w:t xml:space="preserve">reported in 2 case studies (also </w:t>
            </w:r>
            <w:r w:rsidR="00A043D8">
              <w:rPr>
                <w:rFonts w:cs="Arial"/>
              </w:rPr>
              <w:t>reported</w:t>
            </w:r>
            <w:r>
              <w:rPr>
                <w:rFonts w:cs="Arial"/>
              </w:rPr>
              <w:t xml:space="preserve"> in DFG, 2014)</w:t>
            </w:r>
            <w:r w:rsidR="00DF68C8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62B23D4D" w14:textId="24BE8E4E" w:rsidR="0001708D" w:rsidRDefault="0001708D" w:rsidP="00861B9B">
            <w:pPr>
              <w:pStyle w:val="Tablefont"/>
              <w:numPr>
                <w:ilvl w:val="0"/>
                <w:numId w:val="5"/>
              </w:numPr>
              <w:spacing w:before="60" w:after="60"/>
              <w:rPr>
                <w:rFonts w:cs="Arial"/>
                <w:lang w:val="en-US"/>
              </w:rPr>
            </w:pPr>
            <w:r w:rsidRPr="0001708D">
              <w:rPr>
                <w:rFonts w:cs="Arial"/>
              </w:rPr>
              <w:t xml:space="preserve">no immunological mechanism </w:t>
            </w:r>
            <w:r w:rsidR="00A043D8">
              <w:rPr>
                <w:rFonts w:cs="Arial"/>
              </w:rPr>
              <w:t>reported</w:t>
            </w:r>
          </w:p>
          <w:p w14:paraId="49B3F69E" w14:textId="51C16811" w:rsidR="004966BF" w:rsidRDefault="000342A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Weak direct-acting mutagen</w:t>
            </w:r>
            <w:r w:rsidRPr="00E900E1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based on mutagenicity assays </w:t>
            </w:r>
            <w:r>
              <w:rPr>
                <w:rFonts w:cs="Arial"/>
                <w:i/>
                <w:lang w:val="en-US"/>
              </w:rPr>
              <w:t>in vitro</w:t>
            </w:r>
            <w:r>
              <w:rPr>
                <w:rFonts w:cs="Arial"/>
                <w:lang w:val="en-US"/>
              </w:rPr>
              <w:t xml:space="preserve"> with bacteria</w:t>
            </w:r>
          </w:p>
          <w:p w14:paraId="239F1E9C" w14:textId="1B1D0723" w:rsidR="00E900E1" w:rsidRDefault="00E900E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Powder coating product </w:t>
            </w:r>
            <w:r w:rsidR="000342A1">
              <w:rPr>
                <w:rFonts w:cs="Arial"/>
              </w:rPr>
              <w:t>mutagenic in</w:t>
            </w:r>
            <w:r w:rsidRPr="00E900E1">
              <w:rPr>
                <w:rFonts w:cs="Arial"/>
              </w:rPr>
              <w:t xml:space="preserve"> </w:t>
            </w:r>
            <w:r w:rsidR="000342A1" w:rsidRPr="00E900E1">
              <w:rPr>
                <w:rFonts w:cs="Arial"/>
              </w:rPr>
              <w:t xml:space="preserve">forward mutation assay </w:t>
            </w:r>
            <w:r w:rsidR="000342A1">
              <w:rPr>
                <w:rFonts w:cs="Arial"/>
              </w:rPr>
              <w:t xml:space="preserve">with </w:t>
            </w:r>
            <w:r w:rsidRPr="00E900E1">
              <w:rPr>
                <w:rFonts w:cs="Arial"/>
              </w:rPr>
              <w:t>mouse lymphoma cells</w:t>
            </w:r>
            <w:r w:rsidR="000342A1">
              <w:rPr>
                <w:rFonts w:cs="Arial"/>
              </w:rPr>
              <w:t xml:space="preserve"> with or without metabolic activation</w:t>
            </w:r>
          </w:p>
          <w:p w14:paraId="75060896" w14:textId="42FCD4BB" w:rsidR="00FA39AA" w:rsidRPr="00FA39AA" w:rsidRDefault="00FA39AA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Low DNA covalent binding potential in rat and human livers </w:t>
            </w:r>
            <w:r>
              <w:rPr>
                <w:rFonts w:cs="Arial"/>
                <w:i/>
              </w:rPr>
              <w:t>in vivo</w:t>
            </w:r>
            <w:r>
              <w:rPr>
                <w:rFonts w:cs="Arial"/>
              </w:rPr>
              <w:t xml:space="preserve"> reported in 1 study</w:t>
            </w:r>
          </w:p>
          <w:p w14:paraId="1DBC85B7" w14:textId="0535DFC0" w:rsidR="00FA39AA" w:rsidRDefault="000342A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Equivocal evidence for</w:t>
            </w:r>
            <w:r w:rsidR="00FA39AA" w:rsidRPr="00FA39AA">
              <w:rPr>
                <w:rFonts w:cs="Arial"/>
              </w:rPr>
              <w:t xml:space="preserve"> dominant lethal mutations in mice</w:t>
            </w:r>
          </w:p>
          <w:p w14:paraId="5C900393" w14:textId="73EB1C2B" w:rsidR="00F36F0C" w:rsidRPr="00E900E1" w:rsidRDefault="000342A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  <w:lang w:val="en-US"/>
              </w:rPr>
            </w:pPr>
            <w:r>
              <w:rPr>
                <w:rFonts w:cs="Arial"/>
                <w:lang w:val="en-US"/>
              </w:rPr>
              <w:t>Insufficient</w:t>
            </w:r>
            <w:r w:rsidR="00F36F0C" w:rsidRPr="00F36F0C">
              <w:rPr>
                <w:rFonts w:cs="Arial"/>
                <w:lang w:val="en-US"/>
              </w:rPr>
              <w:t xml:space="preserve"> data to clas</w:t>
            </w:r>
            <w:r>
              <w:rPr>
                <w:rFonts w:cs="Arial"/>
                <w:lang w:val="en-US"/>
              </w:rPr>
              <w:t>sify carcinogenic potential</w:t>
            </w:r>
            <w:r w:rsidR="00BE1100">
              <w:rPr>
                <w:rFonts w:cs="Arial"/>
                <w:lang w:val="en-US"/>
              </w:rPr>
              <w:t>.</w:t>
            </w:r>
          </w:p>
        </w:tc>
      </w:tr>
      <w:tr w:rsidR="004966BF" w:rsidRPr="004C23F4" w14:paraId="2E2FDAD5" w14:textId="77777777" w:rsidTr="0030794D">
        <w:trPr>
          <w:cantSplit/>
        </w:trPr>
        <w:tc>
          <w:tcPr>
            <w:tcW w:w="1491" w:type="dxa"/>
          </w:tcPr>
          <w:p w14:paraId="26FDEC38" w14:textId="77777777" w:rsidR="004966BF" w:rsidRPr="004C23F4" w:rsidRDefault="004966BF" w:rsidP="00224EE2">
            <w:pPr>
              <w:pStyle w:val="Tablefont"/>
            </w:pPr>
            <w:r>
              <w:t>Nordic Council</w:t>
            </w:r>
          </w:p>
        </w:tc>
        <w:tc>
          <w:tcPr>
            <w:tcW w:w="422" w:type="dxa"/>
          </w:tcPr>
          <w:p w14:paraId="765BF5E9" w14:textId="569E140D" w:rsidR="004966BF" w:rsidRPr="00CE617F" w:rsidRDefault="0030794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0487844"/>
                <w:placeholder>
                  <w:docPart w:val="CA68404C5F6B4780904F09DAAE62489A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A13A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40F5D61E" w14:textId="6BDD9968" w:rsidR="004966BF" w:rsidRPr="004C23F4" w:rsidRDefault="009A13A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2001</w:t>
            </w:r>
          </w:p>
        </w:tc>
        <w:tc>
          <w:tcPr>
            <w:tcW w:w="6452" w:type="dxa"/>
          </w:tcPr>
          <w:p w14:paraId="728542AF" w14:textId="14FED5C3" w:rsidR="00E60CF0" w:rsidRDefault="00E60CF0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342A1">
              <w:rPr>
                <w:rFonts w:cs="Arial"/>
              </w:rPr>
              <w:t xml:space="preserve">ontact </w:t>
            </w:r>
            <w:r>
              <w:rPr>
                <w:rFonts w:cs="Arial"/>
              </w:rPr>
              <w:t>dermatitis evidenced in workers</w:t>
            </w:r>
          </w:p>
          <w:p w14:paraId="3C491A12" w14:textId="4E085A3D" w:rsidR="00E60CF0" w:rsidRDefault="00F07170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0342A1" w:rsidRPr="000342A1">
              <w:rPr>
                <w:rFonts w:cs="Arial"/>
              </w:rPr>
              <w:t xml:space="preserve">enotoxic potential </w:t>
            </w:r>
            <w:r>
              <w:rPr>
                <w:rFonts w:cs="Arial"/>
              </w:rPr>
              <w:t xml:space="preserve">demonstrated </w:t>
            </w:r>
            <w:r w:rsidR="000342A1" w:rsidRPr="00F07170">
              <w:rPr>
                <w:rFonts w:cs="Arial"/>
                <w:i/>
              </w:rPr>
              <w:t>in</w:t>
            </w:r>
            <w:r w:rsidR="000342A1" w:rsidRPr="000342A1">
              <w:rPr>
                <w:rFonts w:cs="Arial"/>
              </w:rPr>
              <w:t xml:space="preserve"> </w:t>
            </w:r>
            <w:r w:rsidR="000342A1" w:rsidRPr="00F07170">
              <w:rPr>
                <w:rFonts w:cs="Arial"/>
                <w:i/>
              </w:rPr>
              <w:t>vitro</w:t>
            </w:r>
            <w:r w:rsidR="000342A1" w:rsidRPr="000342A1">
              <w:rPr>
                <w:rFonts w:cs="Arial"/>
              </w:rPr>
              <w:t xml:space="preserve"> and </w:t>
            </w:r>
            <w:r w:rsidR="000342A1" w:rsidRPr="00F07170">
              <w:rPr>
                <w:rFonts w:cs="Arial"/>
                <w:i/>
              </w:rPr>
              <w:t>in</w:t>
            </w:r>
            <w:r w:rsidR="000342A1" w:rsidRPr="000342A1">
              <w:rPr>
                <w:rFonts w:cs="Arial"/>
              </w:rPr>
              <w:t xml:space="preserve"> </w:t>
            </w:r>
            <w:r w:rsidR="000342A1" w:rsidRPr="00F07170">
              <w:rPr>
                <w:rFonts w:cs="Arial"/>
                <w:i/>
              </w:rPr>
              <w:t>vivo</w:t>
            </w:r>
            <w:r w:rsidR="000342A1" w:rsidRPr="000342A1">
              <w:rPr>
                <w:rFonts w:cs="Arial"/>
              </w:rPr>
              <w:t>, reduce</w:t>
            </w:r>
            <w:r w:rsidR="00E60CF0">
              <w:rPr>
                <w:rFonts w:cs="Arial"/>
              </w:rPr>
              <w:t>d</w:t>
            </w:r>
            <w:r w:rsidR="000342A1" w:rsidRPr="000342A1">
              <w:rPr>
                <w:rFonts w:cs="Arial"/>
              </w:rPr>
              <w:t xml:space="preserve"> number of spermatozoa </w:t>
            </w:r>
            <w:r w:rsidR="00E60CF0">
              <w:rPr>
                <w:rFonts w:cs="Arial"/>
              </w:rPr>
              <w:t>(rats) and fertility (mice)</w:t>
            </w:r>
          </w:p>
          <w:p w14:paraId="32241B16" w14:textId="4D227206" w:rsidR="004966BF" w:rsidRPr="004C23F4" w:rsidRDefault="00E60CF0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N</w:t>
            </w:r>
            <w:r w:rsidR="000342A1" w:rsidRPr="000342A1">
              <w:rPr>
                <w:rFonts w:cs="Arial"/>
              </w:rPr>
              <w:t xml:space="preserve">ot possible to identify </w:t>
            </w:r>
            <w:r>
              <w:rPr>
                <w:rFonts w:cs="Arial"/>
              </w:rPr>
              <w:t>threshold exposure for adverse effects from currently available data</w:t>
            </w:r>
            <w:r w:rsidR="00BE1100">
              <w:rPr>
                <w:rFonts w:cs="Arial"/>
              </w:rPr>
              <w:t>.</w:t>
            </w:r>
          </w:p>
        </w:tc>
      </w:tr>
      <w:tr w:rsidR="004966BF" w:rsidRPr="004C23F4" w14:paraId="68B299EA" w14:textId="77777777" w:rsidTr="0030794D">
        <w:trPr>
          <w:cantSplit/>
        </w:trPr>
        <w:tc>
          <w:tcPr>
            <w:tcW w:w="1491" w:type="dxa"/>
          </w:tcPr>
          <w:p w14:paraId="45902BDB" w14:textId="77777777" w:rsidR="004966BF" w:rsidRPr="004C23F4" w:rsidRDefault="004966BF" w:rsidP="00224EE2">
            <w:pPr>
              <w:pStyle w:val="Tablefont"/>
            </w:pPr>
            <w:r>
              <w:t>ECHA</w:t>
            </w:r>
          </w:p>
        </w:tc>
        <w:tc>
          <w:tcPr>
            <w:tcW w:w="422" w:type="dxa"/>
          </w:tcPr>
          <w:p w14:paraId="46EF484D" w14:textId="7ED5034A" w:rsidR="004966BF" w:rsidRPr="00CE617F" w:rsidRDefault="0030794D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2066787458"/>
                <w:placeholder>
                  <w:docPart w:val="EA32968BF93744FAABC5FC124DBE04BD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9A13A1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4B58059" w14:textId="56B68855" w:rsidR="004966BF" w:rsidRPr="004C23F4" w:rsidRDefault="009A13A1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2020</w:t>
            </w:r>
          </w:p>
        </w:tc>
        <w:tc>
          <w:tcPr>
            <w:tcW w:w="6452" w:type="dxa"/>
          </w:tcPr>
          <w:p w14:paraId="04316A3F" w14:textId="77777777" w:rsidR="00E60CF0" w:rsidRDefault="009A13A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Fonts w:cs="Arial"/>
              </w:rPr>
            </w:pPr>
            <w:r w:rsidRPr="009A13A1">
              <w:rPr>
                <w:rFonts w:cs="Arial"/>
              </w:rPr>
              <w:t xml:space="preserve">No long-term dermal or long-term inhalation </w:t>
            </w:r>
            <w:r w:rsidR="00E60CF0">
              <w:rPr>
                <w:rFonts w:cs="Arial"/>
              </w:rPr>
              <w:t>studies available</w:t>
            </w:r>
          </w:p>
          <w:p w14:paraId="2209B006" w14:textId="3D7D3D6D" w:rsidR="009A13A1" w:rsidRPr="004C23F4" w:rsidRDefault="009A13A1" w:rsidP="00861B9B">
            <w:pPr>
              <w:pStyle w:val="Tablefont"/>
              <w:numPr>
                <w:ilvl w:val="0"/>
                <w:numId w:val="1"/>
              </w:numPr>
              <w:spacing w:before="60" w:after="60"/>
              <w:ind w:left="714" w:hanging="357"/>
              <w:rPr>
                <w:rStyle w:val="checkbox"/>
                <w:rFonts w:ascii="Arial" w:hAnsi="Arial" w:cs="Arial"/>
              </w:rPr>
            </w:pPr>
            <w:r>
              <w:rPr>
                <w:rFonts w:cs="Arial"/>
              </w:rPr>
              <w:t>Long-term worker DNEL adopted from ACGIH (2018) TLV-TWA recommendation</w:t>
            </w:r>
            <w:r w:rsidR="00BE1100">
              <w:rPr>
                <w:rFonts w:cs="Arial"/>
              </w:rPr>
              <w:t>.</w:t>
            </w:r>
          </w:p>
        </w:tc>
      </w:tr>
    </w:tbl>
    <w:bookmarkEnd w:id="0"/>
    <w:p w14:paraId="1681678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2A40CD24" w14:textId="77777777" w:rsidTr="00E60CF0">
        <w:trPr>
          <w:trHeight w:val="454"/>
          <w:tblHeader/>
        </w:trPr>
        <w:tc>
          <w:tcPr>
            <w:tcW w:w="6597" w:type="dxa"/>
            <w:vAlign w:val="center"/>
          </w:tcPr>
          <w:p w14:paraId="7D6D52C6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660D60A0" w14:textId="7A19035B" w:rsidR="002E0D61" w:rsidRDefault="00E60CF0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Yes</w:t>
                </w:r>
              </w:p>
            </w:tc>
          </w:sdtContent>
        </w:sdt>
      </w:tr>
      <w:tr w:rsidR="008A36CF" w14:paraId="72C7FB8D" w14:textId="77777777" w:rsidTr="00E60CF0">
        <w:trPr>
          <w:trHeight w:val="454"/>
        </w:trPr>
        <w:tc>
          <w:tcPr>
            <w:tcW w:w="6597" w:type="dxa"/>
            <w:vAlign w:val="center"/>
          </w:tcPr>
          <w:p w14:paraId="130AB0F4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C333013" w14:textId="53854EFB" w:rsidR="008A36CF" w:rsidRDefault="00E60CF0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61B9B" w14:paraId="3CEF5F36" w14:textId="77777777" w:rsidTr="00C37E4A">
        <w:trPr>
          <w:trHeight w:val="454"/>
        </w:trPr>
        <w:sdt>
          <w:sdtPr>
            <w:rPr>
              <w:b/>
            </w:rPr>
            <w:id w:val="1830936485"/>
            <w:placeholder>
              <w:docPart w:val="A6D5CCCB78B54E47818232E806AABF67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0E85C551" w14:textId="499B50B5" w:rsidR="00861B9B" w:rsidRDefault="00861B9B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2958D8DF" w14:textId="7BE01D16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3648D0C" w14:textId="77777777" w:rsidTr="0030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5084B3EF" w14:textId="77777777" w:rsidR="00687890" w:rsidRPr="004C23F4" w:rsidRDefault="00687890" w:rsidP="00263255">
            <w:pPr>
              <w:pStyle w:val="Tableheader"/>
            </w:pPr>
            <w:bookmarkStart w:id="2" w:name="Notations"/>
            <w:bookmarkStart w:id="3" w:name="_GoBack" w:colFirst="0" w:colLast="2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F7B843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bookmarkEnd w:id="3"/>
      <w:tr w:rsidR="00687890" w:rsidRPr="004C23F4" w14:paraId="7194A8E7" w14:textId="77777777" w:rsidTr="0030794D">
        <w:trPr>
          <w:cantSplit/>
        </w:trPr>
        <w:tc>
          <w:tcPr>
            <w:tcW w:w="3227" w:type="dxa"/>
          </w:tcPr>
          <w:p w14:paraId="7383F3B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282A15D7" w14:textId="77777777" w:rsidR="00687890" w:rsidRPr="00B231A4" w:rsidRDefault="00B231A4" w:rsidP="00DD2F9B">
            <w:pPr>
              <w:pStyle w:val="Tablefont"/>
              <w:rPr>
                <w:highlight w:val="yellow"/>
              </w:rPr>
            </w:pPr>
            <w:r w:rsidRPr="00311BEC">
              <w:t>Sen</w:t>
            </w:r>
          </w:p>
        </w:tc>
      </w:tr>
      <w:tr w:rsidR="007925F0" w:rsidRPr="004C23F4" w14:paraId="5565CF3B" w14:textId="77777777" w:rsidTr="0030794D">
        <w:trPr>
          <w:cantSplit/>
        </w:trPr>
        <w:tc>
          <w:tcPr>
            <w:tcW w:w="3227" w:type="dxa"/>
          </w:tcPr>
          <w:p w14:paraId="6F2090EA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4F644988" w14:textId="77777777" w:rsidR="007925F0" w:rsidRPr="00DD2F9B" w:rsidRDefault="00B231A4" w:rsidP="00DD2F9B">
            <w:pPr>
              <w:pStyle w:val="Tablefont"/>
            </w:pPr>
            <w:r>
              <w:t>NA</w:t>
            </w:r>
          </w:p>
        </w:tc>
      </w:tr>
      <w:tr w:rsidR="00AF483F" w:rsidRPr="004C23F4" w14:paraId="7AE6DD61" w14:textId="77777777" w:rsidTr="0030794D">
        <w:trPr>
          <w:cantSplit/>
        </w:trPr>
        <w:tc>
          <w:tcPr>
            <w:tcW w:w="3227" w:type="dxa"/>
          </w:tcPr>
          <w:p w14:paraId="3DCBE8B2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52AABB78" w14:textId="77777777" w:rsidR="00AF483F" w:rsidRPr="00DD2F9B" w:rsidRDefault="00C511FC" w:rsidP="00DD2F9B">
            <w:pPr>
              <w:pStyle w:val="Tablefont"/>
            </w:pPr>
            <w:r>
              <w:t>—</w:t>
            </w:r>
          </w:p>
        </w:tc>
      </w:tr>
      <w:tr w:rsidR="00687890" w:rsidRPr="004C23F4" w14:paraId="6BE9FD28" w14:textId="77777777" w:rsidTr="0030794D">
        <w:trPr>
          <w:cantSplit/>
        </w:trPr>
        <w:tc>
          <w:tcPr>
            <w:tcW w:w="3227" w:type="dxa"/>
          </w:tcPr>
          <w:p w14:paraId="05C7DCEF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F7378B1" w14:textId="77777777" w:rsidR="00687890" w:rsidRPr="00DD2F9B" w:rsidRDefault="00C511FC" w:rsidP="00DD2F9B">
            <w:pPr>
              <w:pStyle w:val="Tablefont"/>
            </w:pPr>
            <w:r w:rsidRPr="00C511FC">
              <w:t>Skin sensitisation – category 1</w:t>
            </w:r>
          </w:p>
        </w:tc>
      </w:tr>
      <w:tr w:rsidR="00E41A26" w:rsidRPr="004C23F4" w14:paraId="4E4311C2" w14:textId="77777777" w:rsidTr="0030794D">
        <w:trPr>
          <w:cantSplit/>
        </w:trPr>
        <w:tc>
          <w:tcPr>
            <w:tcW w:w="3227" w:type="dxa"/>
          </w:tcPr>
          <w:p w14:paraId="0AA1E617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0004ABE5" w14:textId="6688DE71" w:rsidR="00E41A26" w:rsidRPr="00DD2F9B" w:rsidRDefault="00F36F0C" w:rsidP="00DD2F9B">
            <w:pPr>
              <w:pStyle w:val="Tablefont"/>
            </w:pPr>
            <w:r w:rsidRPr="00F36F0C">
              <w:t>Skin Sens. 1</w:t>
            </w:r>
          </w:p>
        </w:tc>
      </w:tr>
      <w:tr w:rsidR="002E0D61" w:rsidRPr="004C23F4" w14:paraId="29206DA1" w14:textId="77777777" w:rsidTr="0030794D">
        <w:trPr>
          <w:cantSplit/>
        </w:trPr>
        <w:tc>
          <w:tcPr>
            <w:tcW w:w="3227" w:type="dxa"/>
          </w:tcPr>
          <w:p w14:paraId="7E0D27B3" w14:textId="77777777" w:rsidR="004079B4" w:rsidRPr="004C23F4" w:rsidRDefault="002E0D61" w:rsidP="00F4402E">
            <w:pPr>
              <w:pStyle w:val="Tablefont"/>
            </w:pPr>
            <w:r>
              <w:lastRenderedPageBreak/>
              <w:t>ACGIH</w:t>
            </w:r>
          </w:p>
        </w:tc>
        <w:tc>
          <w:tcPr>
            <w:tcW w:w="6015" w:type="dxa"/>
          </w:tcPr>
          <w:p w14:paraId="59B8FF21" w14:textId="6C22AB51" w:rsidR="002E0D61" w:rsidRPr="00DD2F9B" w:rsidRDefault="00C83A7D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0E5C0280" w14:textId="77777777" w:rsidTr="0030794D">
        <w:trPr>
          <w:cantSplit/>
        </w:trPr>
        <w:tc>
          <w:tcPr>
            <w:tcW w:w="3227" w:type="dxa"/>
          </w:tcPr>
          <w:p w14:paraId="5C1A8EC1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01E37715" w14:textId="365F4555" w:rsidR="002E0D61" w:rsidRPr="00311BEC" w:rsidRDefault="00311BEC" w:rsidP="00DD2F9B">
            <w:pPr>
              <w:pStyle w:val="Tablefont"/>
            </w:pPr>
            <w:r w:rsidRPr="00311BEC">
              <w:t xml:space="preserve">Sa (respiratory sensitiser), </w:t>
            </w:r>
            <w:proofErr w:type="spellStart"/>
            <w:r w:rsidRPr="00311BEC">
              <w:t>Sh</w:t>
            </w:r>
            <w:proofErr w:type="spellEnd"/>
            <w:r w:rsidRPr="00311BEC">
              <w:t xml:space="preserve"> (dermal sensitiser)</w:t>
            </w:r>
          </w:p>
        </w:tc>
      </w:tr>
      <w:tr w:rsidR="002E0D61" w:rsidRPr="004C23F4" w14:paraId="605490D9" w14:textId="77777777" w:rsidTr="0030794D">
        <w:trPr>
          <w:cantSplit/>
        </w:trPr>
        <w:tc>
          <w:tcPr>
            <w:tcW w:w="3227" w:type="dxa"/>
          </w:tcPr>
          <w:p w14:paraId="7AD89FD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37A27C5" w14:textId="75B116BA" w:rsidR="002E0D61" w:rsidRPr="00DD2F9B" w:rsidRDefault="006729C6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3502112" w14:textId="77777777" w:rsidTr="0030794D">
        <w:trPr>
          <w:cantSplit/>
        </w:trPr>
        <w:tc>
          <w:tcPr>
            <w:tcW w:w="3227" w:type="dxa"/>
          </w:tcPr>
          <w:p w14:paraId="2745BE55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39A39321" w14:textId="391045B0" w:rsidR="002E0D61" w:rsidRPr="00DD2F9B" w:rsidRDefault="006729C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658999AF" w14:textId="77777777" w:rsidTr="0030794D">
        <w:trPr>
          <w:cantSplit/>
        </w:trPr>
        <w:tc>
          <w:tcPr>
            <w:tcW w:w="3227" w:type="dxa"/>
          </w:tcPr>
          <w:p w14:paraId="44117F5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6E4EF13D" w14:textId="69433669" w:rsidR="00386093" w:rsidRPr="00DD2F9B" w:rsidRDefault="006729C6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4C28C462" w14:textId="77777777" w:rsidTr="0030794D">
        <w:trPr>
          <w:cantSplit/>
        </w:trPr>
        <w:tc>
          <w:tcPr>
            <w:tcW w:w="3227" w:type="dxa"/>
          </w:tcPr>
          <w:p w14:paraId="6AD9B76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D5DA251" w14:textId="62715455" w:rsidR="00386093" w:rsidRPr="00DD2F9B" w:rsidRDefault="006729C6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5302BDF7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2B3E88D2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2074683B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9139CD5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89E26F7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189" w:type="dxa"/>
              <w:tblLook w:val="04A0" w:firstRow="1" w:lastRow="0" w:firstColumn="1" w:lastColumn="0" w:noHBand="0" w:noVBand="1"/>
            </w:tblPr>
            <w:tblGrid>
              <w:gridCol w:w="3822"/>
              <w:gridCol w:w="1132"/>
              <w:gridCol w:w="1132"/>
              <w:gridCol w:w="2724"/>
            </w:tblGrid>
            <w:tr w:rsidR="00F36F0C" w:rsidRPr="00F36F0C" w14:paraId="295FD36D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72ABFEE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E11F5E9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213CD93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269C0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74235803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3ECCEB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4848C8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no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1D12B3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632230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325AE980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AF45D5C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AE460C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C219F8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6B103D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06904469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4BC985B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22DD87D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D70FCC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85DD87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7FBFFB0A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9D24BE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2977A7F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431C13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98D8C0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59B3E4F1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30E9ECE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EEF52A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402C2C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EB4B48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36F0C" w:rsidRPr="00F36F0C" w14:paraId="664D2AA6" w14:textId="77777777" w:rsidTr="00F36F0C">
              <w:trPr>
                <w:trHeight w:val="231"/>
              </w:trPr>
              <w:tc>
                <w:tcPr>
                  <w:tcW w:w="3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562DEF2" w14:textId="77777777" w:rsidR="00F36F0C" w:rsidRPr="00F36F0C" w:rsidRDefault="00F36F0C" w:rsidP="00F36F0C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0FCB40" w14:textId="77777777" w:rsidR="00F36F0C" w:rsidRPr="00F36F0C" w:rsidRDefault="00F36F0C" w:rsidP="00F36F0C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1F507DB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03B197A" w14:textId="77777777" w:rsidR="00F36F0C" w:rsidRPr="00F36F0C" w:rsidRDefault="00F36F0C" w:rsidP="00F36F0C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36F0C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CCF5289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5649995C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338D842E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608D512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286E8914" w14:textId="5274C6CD" w:rsidR="00EB3D1B" w:rsidRDefault="005E3797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5714B03A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150C2A12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FB980E7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1A9303F9" w14:textId="77777777" w:rsidR="001B79E5" w:rsidRDefault="000B670B" w:rsidP="001B79E5">
                <w:pPr>
                  <w:pStyle w:val="Tablefont"/>
                </w:pPr>
                <w:r>
                  <w:t>297.3</w:t>
                </w:r>
              </w:p>
            </w:tc>
          </w:sdtContent>
        </w:sdt>
      </w:tr>
      <w:tr w:rsidR="00A31D99" w:rsidRPr="004C23F4" w14:paraId="35A8C33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0EB6BA60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318B371" w14:textId="554DF36F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137179">
                  <w:t>12.15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137179" w:rsidRPr="00137179">
                  <w:t xml:space="preserve">0.082 </w:t>
                </w:r>
              </w:sdtContent>
            </w:sdt>
            <w:r>
              <w:t>ppm</w:t>
            </w:r>
          </w:p>
        </w:tc>
      </w:tr>
      <w:tr w:rsidR="00687890" w:rsidRPr="004C23F4" w14:paraId="206E78C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656655C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B7B335E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2F9BB69" w14:textId="77777777" w:rsidTr="00EA6243">
        <w:trPr>
          <w:cantSplit/>
        </w:trPr>
        <w:tc>
          <w:tcPr>
            <w:tcW w:w="4077" w:type="dxa"/>
            <w:vAlign w:val="center"/>
          </w:tcPr>
          <w:p w14:paraId="491C967A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C5AFE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EAD51AA" w14:textId="77777777" w:rsidTr="00EA6243">
        <w:trPr>
          <w:cantSplit/>
        </w:trPr>
        <w:tc>
          <w:tcPr>
            <w:tcW w:w="4077" w:type="dxa"/>
            <w:vAlign w:val="center"/>
          </w:tcPr>
          <w:p w14:paraId="41976F1B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98E2EFB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1B72FFDF" w14:textId="77777777" w:rsidTr="00EA6243">
        <w:trPr>
          <w:cantSplit/>
        </w:trPr>
        <w:tc>
          <w:tcPr>
            <w:tcW w:w="4077" w:type="dxa"/>
            <w:vAlign w:val="center"/>
          </w:tcPr>
          <w:p w14:paraId="2A22B19D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1004991F" w14:textId="77777777" w:rsidR="00E06F40" w:rsidRPr="00A006A0" w:rsidRDefault="0030794D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25CEDE09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58FB084B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0C28D8D0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1612595D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A0C784D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317A1856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4047515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3B6FFB5D" w14:textId="77777777" w:rsidR="00F87D92" w:rsidRDefault="00F87D92" w:rsidP="00EF7F78">
      <w:pPr>
        <w:pStyle w:val="Heading2"/>
        <w:tabs>
          <w:tab w:val="right" w:pos="8505"/>
        </w:tabs>
      </w:pPr>
      <w:r>
        <w:lastRenderedPageBreak/>
        <w:t>References</w:t>
      </w:r>
      <w:r w:rsidR="00EF7F78">
        <w:tab/>
      </w:r>
    </w:p>
    <w:p w14:paraId="520AED02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5EF4320" w14:textId="02A70ABD" w:rsidR="008E4F1F" w:rsidRDefault="008E4F1F" w:rsidP="008E4F1F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5E3797">
        <w:t>2014</w:t>
      </w:r>
      <w:r>
        <w:t xml:space="preserve">) </w:t>
      </w:r>
      <w:proofErr w:type="spellStart"/>
      <w:r w:rsidR="005E3797" w:rsidRPr="005E3797">
        <w:t>Triglycidylisocyanurat</w:t>
      </w:r>
      <w:proofErr w:type="spellEnd"/>
      <w:r>
        <w:t xml:space="preserve"> – MAK value documentation</w:t>
      </w:r>
      <w:r w:rsidR="00F531A2">
        <w:t>, German language edition</w:t>
      </w:r>
      <w:r>
        <w:t>.</w:t>
      </w:r>
    </w:p>
    <w:p w14:paraId="18841DD3" w14:textId="4D4CFF4B" w:rsidR="00F531A2" w:rsidRDefault="00F531A2" w:rsidP="00F531A2">
      <w:r>
        <w:t xml:space="preserve">European Chemicals Agency (ECHA) (2020) </w:t>
      </w:r>
      <w:r w:rsidRPr="00F531A2">
        <w:t>1,3,5-tris(</w:t>
      </w:r>
      <w:proofErr w:type="spellStart"/>
      <w:r w:rsidRPr="00F531A2">
        <w:t>oxiranylmethyl</w:t>
      </w:r>
      <w:proofErr w:type="spellEnd"/>
      <w:r w:rsidRPr="00F531A2">
        <w:t>)-1,3,5-triazine-2,4,6(1H,3H,5H)-</w:t>
      </w:r>
      <w:proofErr w:type="spellStart"/>
      <w:r w:rsidRPr="00F531A2">
        <w:t>trione</w:t>
      </w:r>
      <w:proofErr w:type="spellEnd"/>
      <w:r>
        <w:t xml:space="preserve"> – REACH assessment.</w:t>
      </w:r>
    </w:p>
    <w:p w14:paraId="26EF1EA2" w14:textId="056FB1AB" w:rsidR="008E4F1F" w:rsidRDefault="008E4F1F" w:rsidP="008E4F1F">
      <w:r w:rsidRPr="002022B6">
        <w:t>National Industrial Chemicals Notification and Assessment Scheme (NICNAS)</w:t>
      </w:r>
      <w:r>
        <w:t xml:space="preserve"> (</w:t>
      </w:r>
      <w:r w:rsidR="009433F6">
        <w:t>2001</w:t>
      </w:r>
      <w:r>
        <w:t xml:space="preserve">) </w:t>
      </w:r>
      <w:proofErr w:type="spellStart"/>
      <w:r w:rsidR="00311BEC">
        <w:t>Triglycidylisocyanurate</w:t>
      </w:r>
      <w:proofErr w:type="spellEnd"/>
      <w:r w:rsidR="00311BEC">
        <w:t xml:space="preserve"> </w:t>
      </w:r>
      <w:r w:rsidR="009433F6" w:rsidRPr="009433F6">
        <w:t>(TGIC)</w:t>
      </w:r>
      <w:r w:rsidRPr="0071660C">
        <w:t xml:space="preserve">: </w:t>
      </w:r>
      <w:r w:rsidR="007600A3" w:rsidRPr="007600A3">
        <w:t>Priority Existing Chemical Secondary Notification Assessment Report No. 1S</w:t>
      </w:r>
      <w:r>
        <w:t>.</w:t>
      </w:r>
    </w:p>
    <w:p w14:paraId="0FE6DAB6" w14:textId="0DDA0A5F" w:rsidR="00F531A2" w:rsidRDefault="00F531A2" w:rsidP="008E4F1F">
      <w:pPr>
        <w:rPr>
          <w:b/>
        </w:rPr>
      </w:pPr>
      <w:r w:rsidRPr="002022B6">
        <w:t>Nordic Expert Group for Criteria Documentation of Health Risks of Chemicals</w:t>
      </w:r>
      <w:r>
        <w:t xml:space="preserve"> (2001) </w:t>
      </w:r>
      <w:r w:rsidRPr="00F531A2">
        <w:t xml:space="preserve">128. </w:t>
      </w:r>
      <w:proofErr w:type="spellStart"/>
      <w:r w:rsidRPr="00F531A2">
        <w:t>Triglycidyl</w:t>
      </w:r>
      <w:proofErr w:type="spellEnd"/>
      <w:r w:rsidRPr="00F531A2">
        <w:t xml:space="preserve"> </w:t>
      </w:r>
      <w:proofErr w:type="spellStart"/>
      <w:r w:rsidRPr="00F531A2">
        <w:t>isocyanurate</w:t>
      </w:r>
      <w:proofErr w:type="spellEnd"/>
      <w:r>
        <w:t>. NR 2001:18</w:t>
      </w:r>
      <w:r w:rsidRPr="000A11D8">
        <w:t>.</w:t>
      </w:r>
    </w:p>
    <w:p w14:paraId="03B3FA40" w14:textId="77777777" w:rsidR="00BE1100" w:rsidRPr="00AB6403" w:rsidRDefault="00BE1100" w:rsidP="00BE1100">
      <w:r w:rsidRPr="00AB6403">
        <w:t>Tenth Adaptation to Technical Progress Commission Regulation (EU) No 2017/776 amending, for the purposes of its adaptation to technical and scientific progress, Regulation (EC) No 1272/2008 of the European Parliament and of the Council on classification, labelling and packaging of substances and mixtures (the CLP Regulation).</w:t>
      </w:r>
    </w:p>
    <w:p w14:paraId="75123F72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8743" w16cex:dateUtc="2020-05-20T02:38:00Z"/>
  <w16cex:commentExtensible w16cex:durableId="226F8F88" w16cex:dateUtc="2020-05-20T03:14:00Z"/>
  <w16cex:commentExtensible w16cex:durableId="226F948A" w16cex:dateUtc="2020-05-20T03:35:00Z"/>
  <w16cex:commentExtensible w16cex:durableId="226F9533" w16cex:dateUtc="2020-05-20T0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5FDD" w14:textId="77777777" w:rsidR="001D726B" w:rsidRDefault="001D726B" w:rsidP="00F43AD5">
      <w:pPr>
        <w:spacing w:after="0" w:line="240" w:lineRule="auto"/>
      </w:pPr>
      <w:r>
        <w:separator/>
      </w:r>
    </w:p>
  </w:endnote>
  <w:endnote w:type="continuationSeparator" w:id="0">
    <w:p w14:paraId="3BBFA64F" w14:textId="77777777" w:rsidR="001D726B" w:rsidRDefault="001D726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C411" w14:textId="77777777" w:rsidR="0030794D" w:rsidRDefault="0030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21D0596" w14:textId="122164C7" w:rsidR="0001708D" w:rsidRDefault="0001708D" w:rsidP="0034744C">
        <w:pPr>
          <w:pStyle w:val="Footer"/>
          <w:rPr>
            <w:sz w:val="18"/>
            <w:szCs w:val="18"/>
          </w:rPr>
        </w:pPr>
        <w:proofErr w:type="spellStart"/>
        <w:r w:rsidRPr="000B670B">
          <w:rPr>
            <w:b/>
            <w:sz w:val="18"/>
            <w:szCs w:val="18"/>
          </w:rPr>
          <w:t>Triglycidylisocyanurate</w:t>
        </w:r>
        <w:proofErr w:type="spellEnd"/>
        <w:r w:rsidRPr="000B670B">
          <w:rPr>
            <w:b/>
            <w:sz w:val="18"/>
            <w:szCs w:val="18"/>
          </w:rPr>
          <w:t xml:space="preserve"> (TGIC)</w:t>
        </w:r>
        <w:r>
          <w:rPr>
            <w:b/>
            <w:sz w:val="18"/>
            <w:szCs w:val="18"/>
          </w:rPr>
          <w:t xml:space="preserve"> (</w:t>
        </w:r>
        <w:r w:rsidRPr="000B670B">
          <w:rPr>
            <w:b/>
            <w:sz w:val="18"/>
            <w:szCs w:val="18"/>
          </w:rPr>
          <w:t>2451-62-9</w:t>
        </w:r>
        <w:r>
          <w:rPr>
            <w:b/>
            <w:sz w:val="18"/>
            <w:szCs w:val="18"/>
          </w:rPr>
          <w:t>)</w:t>
        </w:r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</w:t>
        </w:r>
        <w:r w:rsidR="00BE1100">
          <w:rPr>
            <w:sz w:val="18"/>
            <w:szCs w:val="18"/>
          </w:rPr>
          <w:t>20</w:t>
        </w:r>
      </w:p>
      <w:p w14:paraId="6E6C173E" w14:textId="4FB89632" w:rsidR="0001708D" w:rsidRPr="00F43AD5" w:rsidRDefault="0001708D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F531A2">
          <w:rPr>
            <w:noProof/>
            <w:sz w:val="18"/>
            <w:szCs w:val="18"/>
          </w:rPr>
          <w:t>1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44A1" w14:textId="77777777" w:rsidR="0030794D" w:rsidRDefault="0030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6C381" w14:textId="77777777" w:rsidR="001D726B" w:rsidRDefault="001D726B" w:rsidP="00F43AD5">
      <w:pPr>
        <w:spacing w:after="0" w:line="240" w:lineRule="auto"/>
      </w:pPr>
      <w:r>
        <w:separator/>
      </w:r>
    </w:p>
  </w:footnote>
  <w:footnote w:type="continuationSeparator" w:id="0">
    <w:p w14:paraId="5AB602B7" w14:textId="77777777" w:rsidR="001D726B" w:rsidRDefault="001D726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EA8EA" w14:textId="77777777" w:rsidR="0030794D" w:rsidRDefault="00307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71DD" w14:textId="61B3F30E" w:rsidR="0030794D" w:rsidRDefault="0030794D" w:rsidP="0030794D">
    <w:pPr>
      <w:pStyle w:val="Header"/>
      <w:jc w:val="right"/>
    </w:pPr>
    <w:r>
      <w:pict w14:anchorId="192BD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8433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42B460AC" wp14:editId="7BC2228A">
          <wp:extent cx="2957195" cy="605790"/>
          <wp:effectExtent l="0" t="0" r="0" b="381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F99C9" w14:textId="44FC2BDF" w:rsidR="0001708D" w:rsidRPr="0030794D" w:rsidRDefault="0001708D" w:rsidP="00307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5A14" w14:textId="77777777" w:rsidR="0030794D" w:rsidRDefault="003079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182D" w14:textId="66B58A22" w:rsidR="0030794D" w:rsidRDefault="0030794D" w:rsidP="0030794D">
    <w:pPr>
      <w:pStyle w:val="Header"/>
      <w:jc w:val="right"/>
    </w:pPr>
    <w:r>
      <w:pict w14:anchorId="7F3D2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8434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6915A5DE" wp14:editId="61B137C6">
          <wp:extent cx="2957195" cy="60579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719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2DA51" w14:textId="77777777" w:rsidR="0001708D" w:rsidRDefault="0001708D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0E6"/>
    <w:multiLevelType w:val="hybridMultilevel"/>
    <w:tmpl w:val="F536A0AC"/>
    <w:lvl w:ilvl="0" w:tplc="D114A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5DA3"/>
    <w:multiLevelType w:val="hybridMultilevel"/>
    <w:tmpl w:val="E5B4E4D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310EF"/>
    <w:multiLevelType w:val="hybridMultilevel"/>
    <w:tmpl w:val="CF8CDA4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CFE6907"/>
    <w:multiLevelType w:val="hybridMultilevel"/>
    <w:tmpl w:val="A3BCF17E"/>
    <w:lvl w:ilvl="0" w:tplc="365CB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42EA"/>
    <w:multiLevelType w:val="hybridMultilevel"/>
    <w:tmpl w:val="18446D3A"/>
    <w:lvl w:ilvl="0" w:tplc="4EF0A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08D"/>
    <w:rsid w:val="00017C82"/>
    <w:rsid w:val="00032B88"/>
    <w:rsid w:val="000342A1"/>
    <w:rsid w:val="00037E52"/>
    <w:rsid w:val="00046DF5"/>
    <w:rsid w:val="000510DC"/>
    <w:rsid w:val="00052060"/>
    <w:rsid w:val="00054078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A66D2"/>
    <w:rsid w:val="000B0868"/>
    <w:rsid w:val="000B3E12"/>
    <w:rsid w:val="000B3E78"/>
    <w:rsid w:val="000B670B"/>
    <w:rsid w:val="000B7B48"/>
    <w:rsid w:val="000C096D"/>
    <w:rsid w:val="000C139A"/>
    <w:rsid w:val="000C2053"/>
    <w:rsid w:val="000C248C"/>
    <w:rsid w:val="000D291C"/>
    <w:rsid w:val="000E5A54"/>
    <w:rsid w:val="000E63D3"/>
    <w:rsid w:val="000E67CF"/>
    <w:rsid w:val="000F26A9"/>
    <w:rsid w:val="0010461E"/>
    <w:rsid w:val="00106FAA"/>
    <w:rsid w:val="00113443"/>
    <w:rsid w:val="001269A7"/>
    <w:rsid w:val="00131092"/>
    <w:rsid w:val="00137179"/>
    <w:rsid w:val="00140E6A"/>
    <w:rsid w:val="00146545"/>
    <w:rsid w:val="00146B75"/>
    <w:rsid w:val="0015266D"/>
    <w:rsid w:val="0015288A"/>
    <w:rsid w:val="00155999"/>
    <w:rsid w:val="00160F47"/>
    <w:rsid w:val="00177CA1"/>
    <w:rsid w:val="00183823"/>
    <w:rsid w:val="00183942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26B"/>
    <w:rsid w:val="001D7B41"/>
    <w:rsid w:val="001E0F29"/>
    <w:rsid w:val="001E46DA"/>
    <w:rsid w:val="001E7D80"/>
    <w:rsid w:val="001F4B6C"/>
    <w:rsid w:val="001F62CB"/>
    <w:rsid w:val="001F6ED0"/>
    <w:rsid w:val="001F72E6"/>
    <w:rsid w:val="001F73C5"/>
    <w:rsid w:val="002046A6"/>
    <w:rsid w:val="0020476F"/>
    <w:rsid w:val="00204956"/>
    <w:rsid w:val="00213640"/>
    <w:rsid w:val="00221547"/>
    <w:rsid w:val="002216FC"/>
    <w:rsid w:val="00222533"/>
    <w:rsid w:val="00222F30"/>
    <w:rsid w:val="00224EE2"/>
    <w:rsid w:val="00227EC7"/>
    <w:rsid w:val="00231560"/>
    <w:rsid w:val="00233101"/>
    <w:rsid w:val="00244AD1"/>
    <w:rsid w:val="002463BC"/>
    <w:rsid w:val="002465CE"/>
    <w:rsid w:val="0025734A"/>
    <w:rsid w:val="00263255"/>
    <w:rsid w:val="00271F0C"/>
    <w:rsid w:val="00276494"/>
    <w:rsid w:val="0027661E"/>
    <w:rsid w:val="00277B0C"/>
    <w:rsid w:val="002A2703"/>
    <w:rsid w:val="002B1A2C"/>
    <w:rsid w:val="002C34F2"/>
    <w:rsid w:val="002C58FF"/>
    <w:rsid w:val="002C7034"/>
    <w:rsid w:val="002C7AFE"/>
    <w:rsid w:val="002D05D2"/>
    <w:rsid w:val="002E0D61"/>
    <w:rsid w:val="002E31F1"/>
    <w:rsid w:val="002E4C7B"/>
    <w:rsid w:val="0030740C"/>
    <w:rsid w:val="0030794D"/>
    <w:rsid w:val="00311452"/>
    <w:rsid w:val="00311BEC"/>
    <w:rsid w:val="00315833"/>
    <w:rsid w:val="003215EE"/>
    <w:rsid w:val="003224BF"/>
    <w:rsid w:val="003241A8"/>
    <w:rsid w:val="003253F0"/>
    <w:rsid w:val="00326213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576F3"/>
    <w:rsid w:val="00362895"/>
    <w:rsid w:val="00370DBF"/>
    <w:rsid w:val="00386093"/>
    <w:rsid w:val="003904A4"/>
    <w:rsid w:val="00391841"/>
    <w:rsid w:val="00391B6D"/>
    <w:rsid w:val="003929D6"/>
    <w:rsid w:val="00394922"/>
    <w:rsid w:val="003A0E32"/>
    <w:rsid w:val="003A2B94"/>
    <w:rsid w:val="003B387D"/>
    <w:rsid w:val="003C0D58"/>
    <w:rsid w:val="003C7F56"/>
    <w:rsid w:val="003D4FA3"/>
    <w:rsid w:val="003E0807"/>
    <w:rsid w:val="003E51FB"/>
    <w:rsid w:val="003E6B39"/>
    <w:rsid w:val="003F07E1"/>
    <w:rsid w:val="00400F54"/>
    <w:rsid w:val="004030BC"/>
    <w:rsid w:val="00403F7D"/>
    <w:rsid w:val="00406785"/>
    <w:rsid w:val="004079B4"/>
    <w:rsid w:val="00417A56"/>
    <w:rsid w:val="00420957"/>
    <w:rsid w:val="00422A10"/>
    <w:rsid w:val="004278D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4DE2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A54E9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9D8"/>
    <w:rsid w:val="00502B88"/>
    <w:rsid w:val="005142C4"/>
    <w:rsid w:val="0051509C"/>
    <w:rsid w:val="00516ACF"/>
    <w:rsid w:val="005272E2"/>
    <w:rsid w:val="00527732"/>
    <w:rsid w:val="0053108F"/>
    <w:rsid w:val="00532B56"/>
    <w:rsid w:val="005335FD"/>
    <w:rsid w:val="00534B10"/>
    <w:rsid w:val="005446A2"/>
    <w:rsid w:val="00544D2F"/>
    <w:rsid w:val="00551BD8"/>
    <w:rsid w:val="00566853"/>
    <w:rsid w:val="00574A96"/>
    <w:rsid w:val="0057756A"/>
    <w:rsid w:val="00581055"/>
    <w:rsid w:val="00591E38"/>
    <w:rsid w:val="005A19C5"/>
    <w:rsid w:val="005A3034"/>
    <w:rsid w:val="005A462D"/>
    <w:rsid w:val="005B253B"/>
    <w:rsid w:val="005B771D"/>
    <w:rsid w:val="005C5D16"/>
    <w:rsid w:val="005D3193"/>
    <w:rsid w:val="005D4A6E"/>
    <w:rsid w:val="005E3797"/>
    <w:rsid w:val="005E6979"/>
    <w:rsid w:val="005E75CB"/>
    <w:rsid w:val="005F53D0"/>
    <w:rsid w:val="005F6A48"/>
    <w:rsid w:val="006013C1"/>
    <w:rsid w:val="0060669E"/>
    <w:rsid w:val="00610F2E"/>
    <w:rsid w:val="00611399"/>
    <w:rsid w:val="00624C4E"/>
    <w:rsid w:val="00625200"/>
    <w:rsid w:val="00635D40"/>
    <w:rsid w:val="006363A8"/>
    <w:rsid w:val="00636DB7"/>
    <w:rsid w:val="00650905"/>
    <w:rsid w:val="00650C7A"/>
    <w:rsid w:val="006532ED"/>
    <w:rsid w:val="006549F2"/>
    <w:rsid w:val="006567B7"/>
    <w:rsid w:val="00657BFB"/>
    <w:rsid w:val="0066333C"/>
    <w:rsid w:val="006639B4"/>
    <w:rsid w:val="006650FE"/>
    <w:rsid w:val="006729C6"/>
    <w:rsid w:val="0067305D"/>
    <w:rsid w:val="006768AD"/>
    <w:rsid w:val="00677D9B"/>
    <w:rsid w:val="006867F3"/>
    <w:rsid w:val="00687890"/>
    <w:rsid w:val="006901A2"/>
    <w:rsid w:val="00690368"/>
    <w:rsid w:val="0069079C"/>
    <w:rsid w:val="00690B53"/>
    <w:rsid w:val="00695B72"/>
    <w:rsid w:val="006B1094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00A3"/>
    <w:rsid w:val="00765F14"/>
    <w:rsid w:val="00770E31"/>
    <w:rsid w:val="007770F1"/>
    <w:rsid w:val="00783FB1"/>
    <w:rsid w:val="00785CDD"/>
    <w:rsid w:val="00791847"/>
    <w:rsid w:val="007925F0"/>
    <w:rsid w:val="007939B3"/>
    <w:rsid w:val="0079509C"/>
    <w:rsid w:val="00796708"/>
    <w:rsid w:val="007A109D"/>
    <w:rsid w:val="007A369B"/>
    <w:rsid w:val="007B1B42"/>
    <w:rsid w:val="007C30EB"/>
    <w:rsid w:val="007D0317"/>
    <w:rsid w:val="007D2609"/>
    <w:rsid w:val="007D26AA"/>
    <w:rsid w:val="007D7B6D"/>
    <w:rsid w:val="007E063C"/>
    <w:rsid w:val="007E2A4B"/>
    <w:rsid w:val="007E307D"/>
    <w:rsid w:val="007E39F8"/>
    <w:rsid w:val="007E6A4E"/>
    <w:rsid w:val="007E6C94"/>
    <w:rsid w:val="007F1005"/>
    <w:rsid w:val="007F25E0"/>
    <w:rsid w:val="007F5328"/>
    <w:rsid w:val="007F6217"/>
    <w:rsid w:val="0080357D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46BF3"/>
    <w:rsid w:val="00850982"/>
    <w:rsid w:val="00857A8A"/>
    <w:rsid w:val="00861B9B"/>
    <w:rsid w:val="008630EE"/>
    <w:rsid w:val="00864D13"/>
    <w:rsid w:val="00871CD5"/>
    <w:rsid w:val="008745A2"/>
    <w:rsid w:val="008768A8"/>
    <w:rsid w:val="0088798F"/>
    <w:rsid w:val="00887E4B"/>
    <w:rsid w:val="008915C8"/>
    <w:rsid w:val="00893353"/>
    <w:rsid w:val="008A36CF"/>
    <w:rsid w:val="008A3BC4"/>
    <w:rsid w:val="008B0991"/>
    <w:rsid w:val="008B0AEC"/>
    <w:rsid w:val="008B403C"/>
    <w:rsid w:val="008B7983"/>
    <w:rsid w:val="008C2511"/>
    <w:rsid w:val="008D026D"/>
    <w:rsid w:val="008D23AB"/>
    <w:rsid w:val="008D4B8B"/>
    <w:rsid w:val="008D5A78"/>
    <w:rsid w:val="008E4F1F"/>
    <w:rsid w:val="008E7B64"/>
    <w:rsid w:val="008F5DCD"/>
    <w:rsid w:val="008F721C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33F6"/>
    <w:rsid w:val="00946044"/>
    <w:rsid w:val="0094660B"/>
    <w:rsid w:val="00946A33"/>
    <w:rsid w:val="0095260E"/>
    <w:rsid w:val="009578DD"/>
    <w:rsid w:val="00961124"/>
    <w:rsid w:val="009621B6"/>
    <w:rsid w:val="0096423F"/>
    <w:rsid w:val="009667D3"/>
    <w:rsid w:val="00974F2D"/>
    <w:rsid w:val="00977524"/>
    <w:rsid w:val="00977E88"/>
    <w:rsid w:val="00984920"/>
    <w:rsid w:val="0099303A"/>
    <w:rsid w:val="009971C2"/>
    <w:rsid w:val="009A1254"/>
    <w:rsid w:val="009A13A1"/>
    <w:rsid w:val="009A45D6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9F69CE"/>
    <w:rsid w:val="00A01D0C"/>
    <w:rsid w:val="00A043D8"/>
    <w:rsid w:val="00A0643F"/>
    <w:rsid w:val="00A067EE"/>
    <w:rsid w:val="00A10FCE"/>
    <w:rsid w:val="00A16D91"/>
    <w:rsid w:val="00A174CC"/>
    <w:rsid w:val="00A20111"/>
    <w:rsid w:val="00A2073D"/>
    <w:rsid w:val="00A20751"/>
    <w:rsid w:val="00A24E8E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B6403"/>
    <w:rsid w:val="00AC105B"/>
    <w:rsid w:val="00AC32E7"/>
    <w:rsid w:val="00AC3A9F"/>
    <w:rsid w:val="00AC6D2F"/>
    <w:rsid w:val="00AE2745"/>
    <w:rsid w:val="00AE2F64"/>
    <w:rsid w:val="00AE7844"/>
    <w:rsid w:val="00AF42CB"/>
    <w:rsid w:val="00AF483F"/>
    <w:rsid w:val="00AF5E07"/>
    <w:rsid w:val="00AF5F06"/>
    <w:rsid w:val="00B00A25"/>
    <w:rsid w:val="00B1422A"/>
    <w:rsid w:val="00B1765C"/>
    <w:rsid w:val="00B213C4"/>
    <w:rsid w:val="00B231A4"/>
    <w:rsid w:val="00B26AC5"/>
    <w:rsid w:val="00B40C60"/>
    <w:rsid w:val="00B479A9"/>
    <w:rsid w:val="00B52EDF"/>
    <w:rsid w:val="00B71188"/>
    <w:rsid w:val="00B76A41"/>
    <w:rsid w:val="00B87D4C"/>
    <w:rsid w:val="00B93646"/>
    <w:rsid w:val="00BA0B38"/>
    <w:rsid w:val="00BA1DBB"/>
    <w:rsid w:val="00BA4510"/>
    <w:rsid w:val="00BA529A"/>
    <w:rsid w:val="00BB612A"/>
    <w:rsid w:val="00BC469E"/>
    <w:rsid w:val="00BD13EF"/>
    <w:rsid w:val="00BD499F"/>
    <w:rsid w:val="00BD56DE"/>
    <w:rsid w:val="00BE1100"/>
    <w:rsid w:val="00BF2406"/>
    <w:rsid w:val="00C06E43"/>
    <w:rsid w:val="00C11D74"/>
    <w:rsid w:val="00C16315"/>
    <w:rsid w:val="00C3091E"/>
    <w:rsid w:val="00C312F8"/>
    <w:rsid w:val="00C40FF1"/>
    <w:rsid w:val="00C419E2"/>
    <w:rsid w:val="00C5020E"/>
    <w:rsid w:val="00C511FC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3A7D"/>
    <w:rsid w:val="00C850A0"/>
    <w:rsid w:val="00C85A86"/>
    <w:rsid w:val="00C978F0"/>
    <w:rsid w:val="00CA58FE"/>
    <w:rsid w:val="00CB1CB1"/>
    <w:rsid w:val="00CB6A2E"/>
    <w:rsid w:val="00CB6BC1"/>
    <w:rsid w:val="00CB6CB8"/>
    <w:rsid w:val="00CC1A68"/>
    <w:rsid w:val="00CC2123"/>
    <w:rsid w:val="00CD2BFD"/>
    <w:rsid w:val="00CE5AD6"/>
    <w:rsid w:val="00CE617F"/>
    <w:rsid w:val="00CE78EF"/>
    <w:rsid w:val="00CF0EEB"/>
    <w:rsid w:val="00D048F7"/>
    <w:rsid w:val="00D0517E"/>
    <w:rsid w:val="00D140FC"/>
    <w:rsid w:val="00D21D8C"/>
    <w:rsid w:val="00D31357"/>
    <w:rsid w:val="00D33220"/>
    <w:rsid w:val="00D334D1"/>
    <w:rsid w:val="00D44075"/>
    <w:rsid w:val="00D44C89"/>
    <w:rsid w:val="00D516CD"/>
    <w:rsid w:val="00D668E6"/>
    <w:rsid w:val="00D70670"/>
    <w:rsid w:val="00D74D80"/>
    <w:rsid w:val="00D76624"/>
    <w:rsid w:val="00D87570"/>
    <w:rsid w:val="00D91CB9"/>
    <w:rsid w:val="00D94B0B"/>
    <w:rsid w:val="00D97989"/>
    <w:rsid w:val="00D97D8D"/>
    <w:rsid w:val="00DA24D0"/>
    <w:rsid w:val="00DA352E"/>
    <w:rsid w:val="00DC7694"/>
    <w:rsid w:val="00DD1BF6"/>
    <w:rsid w:val="00DD2F9B"/>
    <w:rsid w:val="00DE2513"/>
    <w:rsid w:val="00DE26E8"/>
    <w:rsid w:val="00DE2E6B"/>
    <w:rsid w:val="00DF68C8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60CF0"/>
    <w:rsid w:val="00E60F04"/>
    <w:rsid w:val="00E62AAC"/>
    <w:rsid w:val="00E67C2F"/>
    <w:rsid w:val="00E67EF5"/>
    <w:rsid w:val="00E804EA"/>
    <w:rsid w:val="00E80A71"/>
    <w:rsid w:val="00E82337"/>
    <w:rsid w:val="00E900E1"/>
    <w:rsid w:val="00E92499"/>
    <w:rsid w:val="00E949AF"/>
    <w:rsid w:val="00E96077"/>
    <w:rsid w:val="00EA0A06"/>
    <w:rsid w:val="00EA6058"/>
    <w:rsid w:val="00EA6243"/>
    <w:rsid w:val="00EA74AB"/>
    <w:rsid w:val="00EB3D1B"/>
    <w:rsid w:val="00EC1266"/>
    <w:rsid w:val="00ED1D89"/>
    <w:rsid w:val="00ED2C7C"/>
    <w:rsid w:val="00ED57DA"/>
    <w:rsid w:val="00ED66BC"/>
    <w:rsid w:val="00EF233A"/>
    <w:rsid w:val="00EF303E"/>
    <w:rsid w:val="00EF3A40"/>
    <w:rsid w:val="00EF7F78"/>
    <w:rsid w:val="00F01B08"/>
    <w:rsid w:val="00F01C4D"/>
    <w:rsid w:val="00F053FA"/>
    <w:rsid w:val="00F06BAF"/>
    <w:rsid w:val="00F07170"/>
    <w:rsid w:val="00F10C97"/>
    <w:rsid w:val="00F11C71"/>
    <w:rsid w:val="00F16019"/>
    <w:rsid w:val="00F173D4"/>
    <w:rsid w:val="00F20E68"/>
    <w:rsid w:val="00F22093"/>
    <w:rsid w:val="00F236DF"/>
    <w:rsid w:val="00F36F0C"/>
    <w:rsid w:val="00F43AD5"/>
    <w:rsid w:val="00F4402E"/>
    <w:rsid w:val="00F531A2"/>
    <w:rsid w:val="00F56DD0"/>
    <w:rsid w:val="00F6491C"/>
    <w:rsid w:val="00F67BBB"/>
    <w:rsid w:val="00F83A60"/>
    <w:rsid w:val="00F87D92"/>
    <w:rsid w:val="00F90AA7"/>
    <w:rsid w:val="00F92498"/>
    <w:rsid w:val="00F9496B"/>
    <w:rsid w:val="00F970C9"/>
    <w:rsid w:val="00FA06A8"/>
    <w:rsid w:val="00FA39AA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."/>
  <w:listSeparator w:val=","/>
  <w14:docId w14:val="770BB532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1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1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1F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1F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CA68404C5F6B4780904F09DAAE6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F3A-3709-4B4B-A8CF-1DE054402F6A}"/>
      </w:docPartPr>
      <w:docPartBody>
        <w:p w:rsidR="00D21A9F" w:rsidRDefault="00D21A9F">
          <w:pPr>
            <w:pStyle w:val="CA68404C5F6B4780904F09DAAE62489A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32968BF93744FAABC5FC124D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2459-1556-46A4-AC27-2E79E2305DAC}"/>
      </w:docPartPr>
      <w:docPartBody>
        <w:p w:rsidR="00D21A9F" w:rsidRDefault="00D21A9F">
          <w:pPr>
            <w:pStyle w:val="EA32968BF93744FAABC5FC124DBE04BD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61080C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A6D5CCCB78B54E47818232E806AA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4920-1EF8-4D44-974B-18EC037A0221}"/>
      </w:docPartPr>
      <w:docPartBody>
        <w:p w:rsidR="00333A75" w:rsidRDefault="001A389A" w:rsidP="001A389A">
          <w:pPr>
            <w:pStyle w:val="A6D5CCCB78B54E47818232E806AABF67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1A389A"/>
    <w:rsid w:val="00333A75"/>
    <w:rsid w:val="00347D16"/>
    <w:rsid w:val="003E0149"/>
    <w:rsid w:val="0061080C"/>
    <w:rsid w:val="00755FBF"/>
    <w:rsid w:val="00A2442C"/>
    <w:rsid w:val="00CA72D3"/>
    <w:rsid w:val="00D21A9F"/>
    <w:rsid w:val="00D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89A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AE3FFC921ACC407AB7C2965E32ED742E">
    <w:name w:val="AE3FFC921ACC407AB7C2965E32ED742E"/>
    <w:rsid w:val="00A2442C"/>
  </w:style>
  <w:style w:type="paragraph" w:customStyle="1" w:styleId="15EAB980A80E4A71AEB1582A012B4711">
    <w:name w:val="15EAB980A80E4A71AEB1582A012B4711"/>
    <w:rsid w:val="00A2442C"/>
  </w:style>
  <w:style w:type="paragraph" w:customStyle="1" w:styleId="4D574E1EF47046CF89B341B2D6F1B2FD">
    <w:name w:val="4D574E1EF47046CF89B341B2D6F1B2FD"/>
    <w:rsid w:val="00A2442C"/>
  </w:style>
  <w:style w:type="paragraph" w:customStyle="1" w:styleId="A6D5CCCB78B54E47818232E806AABF67">
    <w:name w:val="A6D5CCCB78B54E47818232E806AABF67"/>
    <w:rsid w:val="001A3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f54d604-3e62-4e70-ba33-9e9084b96a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4279F-8439-41AE-85EC-08FF3A6E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92340-CCB6-4EBA-A48E-C8E0B6A2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18</cp:revision>
  <cp:lastPrinted>2018-10-22T22:41:00Z</cp:lastPrinted>
  <dcterms:created xsi:type="dcterms:W3CDTF">2020-03-26T23:46:00Z</dcterms:created>
  <dcterms:modified xsi:type="dcterms:W3CDTF">2020-07-21T01:51:00Z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