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BDC583B" w14:textId="77777777" w:rsidR="00BD499F" w:rsidRPr="004C23F4" w:rsidRDefault="00A246A6" w:rsidP="00B40C60">
          <w:pPr>
            <w:pStyle w:val="Heading1"/>
            <w:jc w:val="center"/>
            <w:rPr>
              <w:rFonts w:ascii="Arial" w:hAnsi="Arial" w:cs="Arial"/>
            </w:rPr>
          </w:pPr>
          <w:r w:rsidRPr="00A246A6">
            <w:rPr>
              <w:rFonts w:ascii="Arial" w:hAnsi="Arial" w:cs="Arial"/>
            </w:rPr>
            <w:t>Trimellitic anhydride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167FF463" w14:textId="77777777" w:rsidTr="00B95D43">
        <w:trPr>
          <w:cantSplit/>
          <w:tblHeader/>
        </w:trPr>
        <w:tc>
          <w:tcPr>
            <w:tcW w:w="3975" w:type="dxa"/>
          </w:tcPr>
          <w:p w14:paraId="3F318CC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1" w:type="dxa"/>
          </w:tcPr>
          <w:p w14:paraId="6AF3653E" w14:textId="77777777" w:rsidR="00F43AD5" w:rsidRPr="00717D45" w:rsidRDefault="00A246A6" w:rsidP="00B76A41">
            <w:pPr>
              <w:pStyle w:val="Tablefont"/>
            </w:pPr>
            <w:r w:rsidRPr="00A246A6">
              <w:t>552-30-7</w:t>
            </w:r>
          </w:p>
        </w:tc>
      </w:tr>
      <w:tr w:rsidR="00F43AD5" w:rsidRPr="004C23F4" w14:paraId="20B42C41" w14:textId="77777777" w:rsidTr="00B95D43">
        <w:trPr>
          <w:cantSplit/>
        </w:trPr>
        <w:tc>
          <w:tcPr>
            <w:tcW w:w="3975" w:type="dxa"/>
          </w:tcPr>
          <w:p w14:paraId="45CF2CF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1" w:type="dxa"/>
          </w:tcPr>
          <w:p w14:paraId="37FDDA80" w14:textId="5DA8726D" w:rsidR="00F43AD5" w:rsidRPr="00717D45" w:rsidRDefault="00A246A6" w:rsidP="00A246A6">
            <w:pPr>
              <w:pStyle w:val="Tablefont"/>
            </w:pPr>
            <w:proofErr w:type="spellStart"/>
            <w:r>
              <w:t>Anhydrotrimellitic</w:t>
            </w:r>
            <w:proofErr w:type="spellEnd"/>
            <w:r>
              <w:t xml:space="preserve"> acid, </w:t>
            </w:r>
            <w:r w:rsidR="00B95D43">
              <w:t>TMA, TMAN,</w:t>
            </w:r>
            <w:r w:rsidR="00B95D43">
              <w:br/>
            </w:r>
            <w:r>
              <w:t xml:space="preserve">1,2,4-Benzenetricarboxylic anhydride, </w:t>
            </w:r>
            <w:r w:rsidR="00B95D43">
              <w:br/>
            </w:r>
            <w:r>
              <w:t xml:space="preserve">1,2,4-Benzenetricarboxylic acid 1,2-anhydride, Benzene-1,2,4-tricarboxylic acid 1,2-anhydride, </w:t>
            </w:r>
            <w:proofErr w:type="spellStart"/>
            <w:r>
              <w:t>t</w:t>
            </w:r>
            <w:r w:rsidRPr="00A246A6">
              <w:t>rimellitic</w:t>
            </w:r>
            <w:proofErr w:type="spellEnd"/>
            <w:r w:rsidRPr="00A246A6">
              <w:t xml:space="preserve"> acid anhydride</w:t>
            </w:r>
          </w:p>
        </w:tc>
      </w:tr>
      <w:tr w:rsidR="00F43AD5" w:rsidRPr="004C23F4" w14:paraId="04F0712F" w14:textId="77777777" w:rsidTr="00B95D43">
        <w:trPr>
          <w:cantSplit/>
        </w:trPr>
        <w:tc>
          <w:tcPr>
            <w:tcW w:w="3975" w:type="dxa"/>
          </w:tcPr>
          <w:p w14:paraId="3B128597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1" w:type="dxa"/>
          </w:tcPr>
          <w:p w14:paraId="509BD2BD" w14:textId="77777777" w:rsidR="00F43AD5" w:rsidRPr="00717D45" w:rsidRDefault="00C83086" w:rsidP="00B76A41">
            <w:pPr>
              <w:pStyle w:val="Tablefont"/>
            </w:pPr>
            <w:r w:rsidRPr="00C83086">
              <w:t>C</w:t>
            </w:r>
            <w:r w:rsidRPr="00C83086">
              <w:rPr>
                <w:vertAlign w:val="subscript"/>
              </w:rPr>
              <w:t>9</w:t>
            </w:r>
            <w:r w:rsidRPr="00C83086">
              <w:t>H</w:t>
            </w:r>
            <w:r w:rsidRPr="00C83086">
              <w:rPr>
                <w:vertAlign w:val="subscript"/>
              </w:rPr>
              <w:t>4</w:t>
            </w:r>
            <w:r w:rsidRPr="00C83086">
              <w:t>O</w:t>
            </w:r>
            <w:r w:rsidRPr="00C83086">
              <w:rPr>
                <w:vertAlign w:val="subscript"/>
              </w:rPr>
              <w:t>5</w:t>
            </w:r>
          </w:p>
        </w:tc>
      </w:tr>
    </w:tbl>
    <w:p w14:paraId="21B6D200" w14:textId="7F1F7AC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B6292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64E27083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7DA31B2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75554FC7" w14:textId="63ED9470" w:rsidR="002C7AFE" w:rsidRPr="00EB3D1B" w:rsidRDefault="004B6292" w:rsidP="00017C82">
            <w:pPr>
              <w:pStyle w:val="Tablefont"/>
              <w:rPr>
                <w:b/>
              </w:rPr>
            </w:pPr>
            <w:r w:rsidRPr="004B6292">
              <w:rPr>
                <w:b/>
              </w:rPr>
              <w:t>0.06 ppb (0.5 µg/m</w:t>
            </w:r>
            <w:r w:rsidRPr="004B6292">
              <w:rPr>
                <w:b/>
                <w:vertAlign w:val="superscript"/>
              </w:rPr>
              <w:t>3</w:t>
            </w:r>
            <w:r w:rsidRPr="004B6292">
              <w:rPr>
                <w:b/>
              </w:rPr>
              <w:t>)</w:t>
            </w:r>
          </w:p>
        </w:tc>
      </w:tr>
      <w:tr w:rsidR="00037E52" w:rsidRPr="004C23F4" w14:paraId="1560C033" w14:textId="77777777" w:rsidTr="00037E52">
        <w:trPr>
          <w:cantSplit/>
        </w:trPr>
        <w:tc>
          <w:tcPr>
            <w:tcW w:w="4010" w:type="dxa"/>
            <w:vAlign w:val="center"/>
          </w:tcPr>
          <w:p w14:paraId="5E034F1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3FFE2F13" w14:textId="137C3707" w:rsidR="00037E52" w:rsidRPr="00EB3D1B" w:rsidRDefault="001333E7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B18594E" w14:textId="77777777" w:rsidTr="00037E52">
        <w:trPr>
          <w:cantSplit/>
        </w:trPr>
        <w:tc>
          <w:tcPr>
            <w:tcW w:w="4010" w:type="dxa"/>
            <w:vAlign w:val="center"/>
          </w:tcPr>
          <w:p w14:paraId="3BBA2544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6F347924" w14:textId="5C21B07B" w:rsidR="00037E52" w:rsidRPr="00EB3D1B" w:rsidRDefault="001333E7" w:rsidP="00037E52">
            <w:pPr>
              <w:pStyle w:val="Tablefont"/>
              <w:rPr>
                <w:b/>
              </w:rPr>
            </w:pPr>
            <w:r w:rsidRPr="004B6292">
              <w:rPr>
                <w:b/>
              </w:rPr>
              <w:t>0.02 ppb (2 µg/m</w:t>
            </w:r>
            <w:r w:rsidRPr="004B6292">
              <w:rPr>
                <w:b/>
                <w:vertAlign w:val="superscript"/>
              </w:rPr>
              <w:t>3</w:t>
            </w:r>
            <w:r w:rsidRPr="004B6292">
              <w:rPr>
                <w:b/>
              </w:rPr>
              <w:t>)</w:t>
            </w:r>
          </w:p>
        </w:tc>
      </w:tr>
      <w:tr w:rsidR="00037E52" w:rsidRPr="004C23F4" w14:paraId="4F340027" w14:textId="77777777" w:rsidTr="00037E52">
        <w:trPr>
          <w:cantSplit/>
        </w:trPr>
        <w:tc>
          <w:tcPr>
            <w:tcW w:w="4010" w:type="dxa"/>
          </w:tcPr>
          <w:p w14:paraId="0026EFAA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70C4F691" w14:textId="7DA3CF54" w:rsidR="00037E52" w:rsidRPr="00EB3D1B" w:rsidRDefault="004455BB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Sk., RSEN, DSEN</w:t>
            </w:r>
          </w:p>
        </w:tc>
      </w:tr>
      <w:tr w:rsidR="00037E52" w:rsidRPr="004C23F4" w14:paraId="05CAF1FC" w14:textId="77777777" w:rsidTr="00037E52">
        <w:trPr>
          <w:cantSplit/>
        </w:trPr>
        <w:tc>
          <w:tcPr>
            <w:tcW w:w="4010" w:type="dxa"/>
            <w:vAlign w:val="center"/>
          </w:tcPr>
          <w:p w14:paraId="18F6BA8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4C5F79A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83A5866" w14:textId="77777777" w:rsidTr="00114E24">
        <w:trPr>
          <w:cantSplit/>
        </w:trPr>
        <w:tc>
          <w:tcPr>
            <w:tcW w:w="9026" w:type="dxa"/>
            <w:gridSpan w:val="2"/>
            <w:vAlign w:val="center"/>
          </w:tcPr>
          <w:p w14:paraId="55B1FCC1" w14:textId="0DAD2643" w:rsidR="00155999" w:rsidRPr="00EB3D1B" w:rsidRDefault="00155999" w:rsidP="00037E52">
            <w:pPr>
              <w:pStyle w:val="Tablefont"/>
              <w:rPr>
                <w:b/>
              </w:rPr>
            </w:pPr>
            <w:r w:rsidRPr="00847774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354E14" w:rsidRPr="00847774">
                  <w:rPr>
                    <w:rStyle w:val="WESstatus"/>
                    <w:bCs/>
                    <w:color w:val="auto"/>
                  </w:rPr>
                  <w:t xml:space="preserve">There </w:t>
                </w:r>
                <w:proofErr w:type="gramStart"/>
                <w:r w:rsidR="00354E14" w:rsidRPr="00847774">
                  <w:rPr>
                    <w:rStyle w:val="WESstatus"/>
                    <w:bCs/>
                    <w:color w:val="auto"/>
                  </w:rPr>
                  <w:t>is</w:t>
                </w:r>
                <w:proofErr w:type="gramEnd"/>
                <w:r w:rsidR="00354E14" w:rsidRPr="00847774">
                  <w:rPr>
                    <w:rStyle w:val="WESstatus"/>
                    <w:bCs/>
                    <w:color w:val="auto"/>
                  </w:rPr>
                  <w:t xml:space="preserve"> uncertainty regarding quantification of the recommended value with available sampling and/or analysis techniques.</w:t>
                </w:r>
              </w:sdtContent>
            </w:sdt>
          </w:p>
        </w:tc>
      </w:tr>
    </w:tbl>
    <w:p w14:paraId="615E0430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15FA7AB" w14:textId="259F92ED" w:rsidR="004B6292" w:rsidRPr="004B6292" w:rsidRDefault="004B6292" w:rsidP="004B6292">
      <w:pPr>
        <w:rPr>
          <w:rFonts w:cs="Arial"/>
        </w:rPr>
      </w:pPr>
      <w:r w:rsidRPr="004B6292">
        <w:rPr>
          <w:rFonts w:cs="Arial"/>
        </w:rPr>
        <w:t xml:space="preserve">A TWA of </w:t>
      </w:r>
      <w:r>
        <w:rPr>
          <w:rFonts w:cs="Arial"/>
        </w:rPr>
        <w:t>0.06</w:t>
      </w:r>
      <w:r w:rsidRPr="004B6292">
        <w:rPr>
          <w:rFonts w:cs="Arial"/>
        </w:rPr>
        <w:t xml:space="preserve"> </w:t>
      </w:r>
      <w:r>
        <w:rPr>
          <w:rFonts w:cs="Arial"/>
        </w:rPr>
        <w:t>ppb</w:t>
      </w:r>
      <w:r w:rsidRPr="004B6292">
        <w:rPr>
          <w:rFonts w:cs="Arial"/>
        </w:rPr>
        <w:t xml:space="preserve"> (</w:t>
      </w:r>
      <w:r>
        <w:rPr>
          <w:rFonts w:cs="Arial"/>
        </w:rPr>
        <w:t>0.5 µ</w:t>
      </w:r>
      <w:r w:rsidRPr="004B6292">
        <w:rPr>
          <w:rFonts w:cs="Arial"/>
        </w:rPr>
        <w:t>g/m</w:t>
      </w:r>
      <w:r w:rsidRPr="004B6292">
        <w:rPr>
          <w:rFonts w:cs="Arial"/>
          <w:vertAlign w:val="superscript"/>
        </w:rPr>
        <w:t>3</w:t>
      </w:r>
      <w:r w:rsidRPr="004B6292">
        <w:rPr>
          <w:rFonts w:cs="Arial"/>
        </w:rPr>
        <w:t xml:space="preserve">) is recommended to protect for </w:t>
      </w:r>
      <w:r>
        <w:rPr>
          <w:rFonts w:cs="Arial"/>
        </w:rPr>
        <w:t xml:space="preserve">respiratory and dermal sensitisation and mucous membrane irritation </w:t>
      </w:r>
      <w:r w:rsidRPr="004B6292">
        <w:rPr>
          <w:rFonts w:cs="Arial"/>
        </w:rPr>
        <w:t xml:space="preserve">in exposed workers. </w:t>
      </w:r>
    </w:p>
    <w:p w14:paraId="6ED39C0C" w14:textId="75DE6253" w:rsidR="006639B4" w:rsidRPr="004C23F4" w:rsidRDefault="004B6292" w:rsidP="004B6292">
      <w:pPr>
        <w:rPr>
          <w:rFonts w:cs="Arial"/>
        </w:rPr>
      </w:pPr>
      <w:r w:rsidRPr="004B6292">
        <w:rPr>
          <w:rFonts w:cs="Arial"/>
        </w:rPr>
        <w:t xml:space="preserve">A </w:t>
      </w:r>
      <w:r w:rsidR="00B95D43">
        <w:rPr>
          <w:rFonts w:cs="Arial"/>
        </w:rPr>
        <w:t>p</w:t>
      </w:r>
      <w:r w:rsidR="001333E7">
        <w:rPr>
          <w:rFonts w:cs="Arial"/>
        </w:rPr>
        <w:t xml:space="preserve">eak </w:t>
      </w:r>
      <w:r w:rsidR="00B95D43">
        <w:rPr>
          <w:rFonts w:cs="Arial"/>
        </w:rPr>
        <w:t>l</w:t>
      </w:r>
      <w:r w:rsidR="001333E7">
        <w:rPr>
          <w:rFonts w:cs="Arial"/>
        </w:rPr>
        <w:t>imitation</w:t>
      </w:r>
      <w:r w:rsidRPr="004B6292">
        <w:rPr>
          <w:rFonts w:cs="Arial"/>
        </w:rPr>
        <w:t xml:space="preserve"> of </w:t>
      </w:r>
      <w:r>
        <w:rPr>
          <w:rFonts w:cs="Arial"/>
        </w:rPr>
        <w:t>0.02 ppb</w:t>
      </w:r>
      <w:r w:rsidRPr="004B6292">
        <w:rPr>
          <w:rFonts w:cs="Arial"/>
        </w:rPr>
        <w:t xml:space="preserve"> (</w:t>
      </w:r>
      <w:r>
        <w:rPr>
          <w:rFonts w:cs="Arial"/>
        </w:rPr>
        <w:t>2</w:t>
      </w:r>
      <w:r w:rsidRPr="004B6292">
        <w:rPr>
          <w:rFonts w:cs="Arial"/>
        </w:rPr>
        <w:t xml:space="preserve"> </w:t>
      </w:r>
      <w:r>
        <w:rPr>
          <w:rFonts w:cs="Arial"/>
        </w:rPr>
        <w:t>µ</w:t>
      </w:r>
      <w:r w:rsidRPr="004B6292">
        <w:rPr>
          <w:rFonts w:cs="Arial"/>
        </w:rPr>
        <w:t>g/m</w:t>
      </w:r>
      <w:r w:rsidRPr="004B6292">
        <w:rPr>
          <w:rFonts w:cs="Arial"/>
          <w:vertAlign w:val="superscript"/>
        </w:rPr>
        <w:t>3</w:t>
      </w:r>
      <w:r w:rsidRPr="004B6292">
        <w:rPr>
          <w:rFonts w:cs="Arial"/>
        </w:rPr>
        <w:t xml:space="preserve">) is recommended to protect </w:t>
      </w:r>
      <w:r>
        <w:rPr>
          <w:rFonts w:cs="Arial"/>
        </w:rPr>
        <w:t xml:space="preserve">for </w:t>
      </w:r>
      <w:r w:rsidR="0093007A">
        <w:rPr>
          <w:rFonts w:cs="Arial"/>
        </w:rPr>
        <w:t>acute respiratory and dermal sensitisation.</w:t>
      </w:r>
    </w:p>
    <w:p w14:paraId="471666CE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D712A12" w14:textId="6F6EF67F" w:rsidR="00132462" w:rsidRDefault="00C21CC7" w:rsidP="006639B4">
      <w:pPr>
        <w:rPr>
          <w:rFonts w:cs="Arial"/>
        </w:rPr>
      </w:pPr>
      <w:proofErr w:type="spellStart"/>
      <w:r>
        <w:rPr>
          <w:rFonts w:cs="Arial"/>
        </w:rPr>
        <w:t>Trimellitic</w:t>
      </w:r>
      <w:proofErr w:type="spellEnd"/>
      <w:r>
        <w:rPr>
          <w:rFonts w:cs="Arial"/>
        </w:rPr>
        <w:t xml:space="preserve"> anhydride is used in the manufacture of plastics, resins, plasticisers and various coatings.</w:t>
      </w:r>
      <w:r w:rsidR="00847774">
        <w:rPr>
          <w:rFonts w:cs="Arial"/>
        </w:rPr>
        <w:t xml:space="preserve"> </w:t>
      </w:r>
    </w:p>
    <w:p w14:paraId="6A6D8461" w14:textId="77777777" w:rsidR="007B6664" w:rsidRDefault="00132462" w:rsidP="006639B4">
      <w:pPr>
        <w:rPr>
          <w:rFonts w:cs="Arial"/>
        </w:rPr>
      </w:pPr>
      <w:r>
        <w:rPr>
          <w:rFonts w:cs="Arial"/>
        </w:rPr>
        <w:t>The c</w:t>
      </w:r>
      <w:r w:rsidR="00C21CC7">
        <w:rPr>
          <w:rFonts w:cs="Arial"/>
        </w:rPr>
        <w:t>ritical effects of exposure are respiratory and dermal sensitisation and mucous membrane irritation.</w:t>
      </w:r>
      <w:r>
        <w:rPr>
          <w:rFonts w:cs="Arial"/>
        </w:rPr>
        <w:t xml:space="preserve"> </w:t>
      </w:r>
    </w:p>
    <w:p w14:paraId="12C9F011" w14:textId="28252198" w:rsidR="00C21CC7" w:rsidRDefault="00C21CC7" w:rsidP="006639B4">
      <w:pPr>
        <w:rPr>
          <w:rFonts w:cs="Arial"/>
        </w:rPr>
      </w:pPr>
      <w:r>
        <w:rPr>
          <w:rFonts w:cs="Arial"/>
        </w:rPr>
        <w:t xml:space="preserve">Respiratory </w:t>
      </w:r>
      <w:r w:rsidR="00782A5A">
        <w:rPr>
          <w:rFonts w:cs="Arial"/>
        </w:rPr>
        <w:t xml:space="preserve">and dermal </w:t>
      </w:r>
      <w:r>
        <w:rPr>
          <w:rFonts w:cs="Arial"/>
        </w:rPr>
        <w:t>sensitisation</w:t>
      </w:r>
      <w:r w:rsidR="00782A5A">
        <w:rPr>
          <w:rFonts w:cs="Arial"/>
        </w:rPr>
        <w:t xml:space="preserve"> potential</w:t>
      </w:r>
      <w:r>
        <w:rPr>
          <w:rFonts w:cs="Arial"/>
        </w:rPr>
        <w:t xml:space="preserve">, as measured by specific immunological responses, </w:t>
      </w:r>
      <w:r w:rsidR="00B95D43">
        <w:rPr>
          <w:rFonts w:cs="Arial"/>
        </w:rPr>
        <w:t>a</w:t>
      </w:r>
      <w:r w:rsidR="00782A5A">
        <w:rPr>
          <w:rFonts w:cs="Arial"/>
        </w:rPr>
        <w:t>re</w:t>
      </w:r>
      <w:r>
        <w:rPr>
          <w:rFonts w:cs="Arial"/>
        </w:rPr>
        <w:t xml:space="preserve"> </w:t>
      </w:r>
      <w:r w:rsidR="001F6187">
        <w:rPr>
          <w:rFonts w:cs="Arial"/>
        </w:rPr>
        <w:t>ob</w:t>
      </w:r>
      <w:r w:rsidR="000A33E9">
        <w:rPr>
          <w:rFonts w:cs="Arial"/>
        </w:rPr>
        <w:t>served</w:t>
      </w:r>
      <w:r w:rsidR="001F6187">
        <w:rPr>
          <w:rFonts w:cs="Arial"/>
        </w:rPr>
        <w:t xml:space="preserve"> </w:t>
      </w:r>
      <w:r>
        <w:rPr>
          <w:rFonts w:cs="Arial"/>
        </w:rPr>
        <w:t xml:space="preserve">in various epidemiological studies and </w:t>
      </w:r>
      <w:r w:rsidR="007B6664">
        <w:rPr>
          <w:rFonts w:cs="Arial"/>
        </w:rPr>
        <w:t xml:space="preserve">confirmed in </w:t>
      </w:r>
      <w:r w:rsidR="00782A5A">
        <w:rPr>
          <w:rFonts w:cs="Arial"/>
        </w:rPr>
        <w:t>animal models (ACGIH, 2018)</w:t>
      </w:r>
      <w:r>
        <w:rPr>
          <w:rFonts w:cs="Arial"/>
        </w:rPr>
        <w:t>.</w:t>
      </w:r>
      <w:r w:rsidR="00D20D2D" w:rsidRPr="00D20D2D">
        <w:t xml:space="preserve"> </w:t>
      </w:r>
      <w:r w:rsidR="000A33E9">
        <w:t>O</w:t>
      </w:r>
      <w:r w:rsidR="00D20D2D" w:rsidRPr="00D20D2D">
        <w:rPr>
          <w:rFonts w:cs="Arial"/>
        </w:rPr>
        <w:t xml:space="preserve">dds ratios </w:t>
      </w:r>
      <w:r w:rsidR="00B95D43">
        <w:rPr>
          <w:rFonts w:cs="Arial"/>
        </w:rPr>
        <w:t xml:space="preserve">(OR) </w:t>
      </w:r>
      <w:r w:rsidR="00D20D2D" w:rsidRPr="00D20D2D">
        <w:rPr>
          <w:rFonts w:cs="Arial"/>
        </w:rPr>
        <w:t xml:space="preserve">for </w:t>
      </w:r>
      <w:r w:rsidR="00D20D2D">
        <w:rPr>
          <w:rFonts w:cs="Arial"/>
        </w:rPr>
        <w:t xml:space="preserve">both </w:t>
      </w:r>
      <w:r w:rsidR="00D20D2D" w:rsidRPr="00D20D2D">
        <w:rPr>
          <w:rFonts w:cs="Arial"/>
        </w:rPr>
        <w:t xml:space="preserve">dermal and respiratory sensitisation </w:t>
      </w:r>
      <w:r w:rsidR="00D20D2D">
        <w:rPr>
          <w:rFonts w:cs="Arial"/>
        </w:rPr>
        <w:t>increased</w:t>
      </w:r>
      <w:r w:rsidR="00D20D2D" w:rsidRPr="00D20D2D">
        <w:rPr>
          <w:rFonts w:cs="Arial"/>
        </w:rPr>
        <w:t xml:space="preserve"> in workers exposed at 10</w:t>
      </w:r>
      <w:r w:rsidR="00D20D2D">
        <w:rPr>
          <w:rFonts w:cs="Arial"/>
        </w:rPr>
        <w:t xml:space="preserve"> to </w:t>
      </w:r>
      <w:r w:rsidR="00D20D2D" w:rsidRPr="00D20D2D">
        <w:rPr>
          <w:rFonts w:cs="Arial"/>
        </w:rPr>
        <w:t>40</w:t>
      </w:r>
      <w:r w:rsidR="00B323A3">
        <w:rPr>
          <w:rFonts w:cs="Arial"/>
        </w:rPr>
        <w:t> </w:t>
      </w:r>
      <w:r w:rsidR="00D20D2D" w:rsidRPr="00D20D2D">
        <w:rPr>
          <w:rFonts w:cs="Arial"/>
        </w:rPr>
        <w:t>µg/m</w:t>
      </w:r>
      <w:r w:rsidR="00D20D2D" w:rsidRPr="00D20D2D">
        <w:rPr>
          <w:rFonts w:cs="Arial"/>
          <w:vertAlign w:val="superscript"/>
        </w:rPr>
        <w:t>3</w:t>
      </w:r>
      <w:r w:rsidR="00D20D2D" w:rsidRPr="00D20D2D">
        <w:rPr>
          <w:rFonts w:cs="Arial"/>
        </w:rPr>
        <w:t xml:space="preserve"> </w:t>
      </w:r>
      <w:r w:rsidR="00D20D2D">
        <w:rPr>
          <w:rFonts w:cs="Arial"/>
        </w:rPr>
        <w:t xml:space="preserve">(ACGIH, 2018). </w:t>
      </w:r>
      <w:r w:rsidR="00114E24">
        <w:rPr>
          <w:rFonts w:cs="Arial"/>
        </w:rPr>
        <w:t>In a</w:t>
      </w:r>
      <w:r w:rsidR="00B95D43">
        <w:rPr>
          <w:rFonts w:cs="Arial"/>
        </w:rPr>
        <w:t>nother</w:t>
      </w:r>
      <w:r w:rsidR="00D20D2D">
        <w:rPr>
          <w:rFonts w:cs="Arial"/>
        </w:rPr>
        <w:t xml:space="preserve"> </w:t>
      </w:r>
      <w:r w:rsidR="00114E24">
        <w:rPr>
          <w:rFonts w:cs="Arial"/>
        </w:rPr>
        <w:t>well-conducted cohort study of exposed workers, i</w:t>
      </w:r>
      <w:r>
        <w:rPr>
          <w:rFonts w:cs="Arial"/>
        </w:rPr>
        <w:t xml:space="preserve">mmunological diseases </w:t>
      </w:r>
      <w:r w:rsidR="00B323A3">
        <w:rPr>
          <w:rFonts w:cs="Arial"/>
        </w:rPr>
        <w:t xml:space="preserve">were </w:t>
      </w:r>
      <w:r w:rsidR="00114E24">
        <w:rPr>
          <w:rFonts w:cs="Arial"/>
        </w:rPr>
        <w:t>associated with average exposures above 2 µg/m</w:t>
      </w:r>
      <w:r w:rsidR="00114E24">
        <w:rPr>
          <w:rFonts w:cs="Arial"/>
          <w:vertAlign w:val="superscript"/>
        </w:rPr>
        <w:t>3</w:t>
      </w:r>
      <w:r w:rsidR="00114E24">
        <w:rPr>
          <w:rFonts w:cs="Arial"/>
        </w:rPr>
        <w:t xml:space="preserve"> and a peak of 120</w:t>
      </w:r>
      <w:r w:rsidR="007B6664">
        <w:rPr>
          <w:rFonts w:cs="Arial"/>
        </w:rPr>
        <w:t> </w:t>
      </w:r>
      <w:r w:rsidR="00114E24">
        <w:rPr>
          <w:rFonts w:cs="Arial"/>
        </w:rPr>
        <w:t>µg/m</w:t>
      </w:r>
      <w:r w:rsidR="00114E24">
        <w:rPr>
          <w:rFonts w:cs="Arial"/>
          <w:vertAlign w:val="superscript"/>
        </w:rPr>
        <w:t>3</w:t>
      </w:r>
      <w:r w:rsidR="00114E24">
        <w:rPr>
          <w:rFonts w:cs="Arial"/>
        </w:rPr>
        <w:t xml:space="preserve"> </w:t>
      </w:r>
      <w:r w:rsidR="00B323A3">
        <w:rPr>
          <w:rFonts w:cs="Arial"/>
        </w:rPr>
        <w:t xml:space="preserve">but </w:t>
      </w:r>
      <w:r>
        <w:rPr>
          <w:rFonts w:cs="Arial"/>
        </w:rPr>
        <w:t xml:space="preserve">not at less than 0.5 </w:t>
      </w:r>
      <w:r w:rsidR="00114E24">
        <w:rPr>
          <w:rFonts w:cs="Arial"/>
        </w:rPr>
        <w:t>µg/m</w:t>
      </w:r>
      <w:r w:rsidR="00114E24">
        <w:rPr>
          <w:rFonts w:cs="Arial"/>
          <w:vertAlign w:val="superscript"/>
        </w:rPr>
        <w:t>3</w:t>
      </w:r>
      <w:r w:rsidR="00114E24">
        <w:rPr>
          <w:rFonts w:cs="Arial"/>
        </w:rPr>
        <w:t xml:space="preserve"> (ACGIH, 2018; HCOTN, 2010). However, a 9</w:t>
      </w:r>
      <w:r w:rsidR="00847774">
        <w:rPr>
          <w:rFonts w:cs="Arial"/>
        </w:rPr>
        <w:t xml:space="preserve"> per cent</w:t>
      </w:r>
      <w:r w:rsidR="00114E24">
        <w:rPr>
          <w:rFonts w:cs="Arial"/>
        </w:rPr>
        <w:t xml:space="preserve"> incidence of a specific immunological response </w:t>
      </w:r>
      <w:r w:rsidR="00B323A3">
        <w:rPr>
          <w:rFonts w:cs="Arial"/>
        </w:rPr>
        <w:t>wa</w:t>
      </w:r>
      <w:r w:rsidR="00114E24">
        <w:rPr>
          <w:rFonts w:cs="Arial"/>
        </w:rPr>
        <w:t>s recorded</w:t>
      </w:r>
      <w:r w:rsidR="00B323A3">
        <w:rPr>
          <w:rFonts w:cs="Arial"/>
        </w:rPr>
        <w:t xml:space="preserve"> </w:t>
      </w:r>
      <w:r w:rsidR="00114E24">
        <w:rPr>
          <w:rFonts w:cs="Arial"/>
        </w:rPr>
        <w:t>at 0.5 µg/m</w:t>
      </w:r>
      <w:r w:rsidR="00114E24">
        <w:rPr>
          <w:rFonts w:cs="Arial"/>
          <w:vertAlign w:val="superscript"/>
        </w:rPr>
        <w:t>3</w:t>
      </w:r>
      <w:r w:rsidR="00114E24">
        <w:rPr>
          <w:rFonts w:cs="Arial"/>
        </w:rPr>
        <w:t xml:space="preserve"> (ACGIH, 2018). Respiratory sensitisation</w:t>
      </w:r>
      <w:r w:rsidR="00782A5A">
        <w:rPr>
          <w:rFonts w:cs="Arial"/>
        </w:rPr>
        <w:t xml:space="preserve"> was induced following</w:t>
      </w:r>
      <w:r w:rsidR="00114E24">
        <w:rPr>
          <w:rFonts w:cs="Arial"/>
        </w:rPr>
        <w:t xml:space="preserve"> dermal application in controlled animal studies</w:t>
      </w:r>
      <w:r w:rsidR="00782A5A">
        <w:rPr>
          <w:rFonts w:cs="Arial"/>
        </w:rPr>
        <w:t xml:space="preserve"> (ACGIH, 2018).</w:t>
      </w:r>
      <w:r w:rsidR="00114E24">
        <w:rPr>
          <w:rFonts w:cs="Arial"/>
        </w:rPr>
        <w:t xml:space="preserve"> </w:t>
      </w:r>
    </w:p>
    <w:p w14:paraId="30099C58" w14:textId="25866B54" w:rsidR="007B6664" w:rsidRDefault="00782A5A" w:rsidP="006639B4">
      <w:pPr>
        <w:rPr>
          <w:rFonts w:cs="Arial"/>
        </w:rPr>
      </w:pPr>
      <w:r>
        <w:rPr>
          <w:rFonts w:cs="Arial"/>
        </w:rPr>
        <w:t xml:space="preserve">Based </w:t>
      </w:r>
      <w:r w:rsidR="00D20D2D">
        <w:rPr>
          <w:rFonts w:cs="Arial"/>
        </w:rPr>
        <w:t>on the absence of immunologically mediated respiratory disease in exposed workers reported in a cohort study of exposed workers</w:t>
      </w:r>
      <w:r>
        <w:rPr>
          <w:rFonts w:cs="Arial"/>
        </w:rPr>
        <w:t>, ACGIH</w:t>
      </w:r>
      <w:r w:rsidR="00D20D2D">
        <w:rPr>
          <w:rFonts w:cs="Arial"/>
        </w:rPr>
        <w:t xml:space="preserve"> (2018) recommend a TWA equivalent of 0.5 µg/m</w:t>
      </w:r>
      <w:r w:rsidR="00D20D2D">
        <w:rPr>
          <w:rFonts w:cs="Arial"/>
          <w:vertAlign w:val="superscript"/>
        </w:rPr>
        <w:t>3</w:t>
      </w:r>
      <w:r w:rsidR="00D20D2D">
        <w:rPr>
          <w:rFonts w:cs="Arial"/>
        </w:rPr>
        <w:t>. From a dose-response relationship based on the same dataset, HCOTN (2010) estimated that exposure at 0.18 µg/m</w:t>
      </w:r>
      <w:r w:rsidR="00D20D2D">
        <w:rPr>
          <w:rFonts w:cs="Arial"/>
          <w:vertAlign w:val="superscript"/>
        </w:rPr>
        <w:t>3</w:t>
      </w:r>
      <w:r w:rsidR="00D20D2D">
        <w:rPr>
          <w:rFonts w:cs="Arial"/>
        </w:rPr>
        <w:t xml:space="preserve"> may be expected to increase the risk of sensitisation by 0.1</w:t>
      </w:r>
      <w:r w:rsidR="00847774">
        <w:rPr>
          <w:rFonts w:cs="Arial"/>
        </w:rPr>
        <w:t xml:space="preserve"> per </w:t>
      </w:r>
      <w:r w:rsidR="00B816E9">
        <w:rPr>
          <w:rFonts w:cs="Arial"/>
        </w:rPr>
        <w:t>cent but</w:t>
      </w:r>
      <w:r w:rsidR="00D20D2D">
        <w:rPr>
          <w:rFonts w:cs="Arial"/>
        </w:rPr>
        <w:t xml:space="preserve"> did not recommend a health-based occupational exposure limit (HBROEL). The current MAK </w:t>
      </w:r>
      <w:r w:rsidR="00D20D2D">
        <w:rPr>
          <w:rFonts w:cs="Arial"/>
        </w:rPr>
        <w:lastRenderedPageBreak/>
        <w:t>recommendation</w:t>
      </w:r>
      <w:r w:rsidR="004B6292">
        <w:rPr>
          <w:rFonts w:cs="Arial"/>
        </w:rPr>
        <w:t xml:space="preserve"> of 0.04</w:t>
      </w:r>
      <w:r w:rsidR="00B95D43">
        <w:rPr>
          <w:rFonts w:cs="Arial"/>
        </w:rPr>
        <w:t xml:space="preserve"> </w:t>
      </w:r>
      <w:r w:rsidR="004B6292">
        <w:rPr>
          <w:rFonts w:cs="Arial"/>
        </w:rPr>
        <w:t>mg/m</w:t>
      </w:r>
      <w:r w:rsidR="004B6292">
        <w:rPr>
          <w:rFonts w:cs="Arial"/>
          <w:vertAlign w:val="superscript"/>
        </w:rPr>
        <w:t>3</w:t>
      </w:r>
      <w:r w:rsidR="00D20D2D">
        <w:rPr>
          <w:rFonts w:cs="Arial"/>
        </w:rPr>
        <w:t xml:space="preserve"> predates the </w:t>
      </w:r>
      <w:r w:rsidR="004B6292">
        <w:rPr>
          <w:rFonts w:cs="Arial"/>
        </w:rPr>
        <w:t xml:space="preserve">publication of this cohort study but was provisionally intended to only protect for local irritation (DFG, 1981–2000). </w:t>
      </w:r>
      <w:r w:rsidR="007B6664">
        <w:rPr>
          <w:rFonts w:cs="Arial"/>
        </w:rPr>
        <w:t>Based</w:t>
      </w:r>
      <w:r w:rsidR="002E0E5E">
        <w:rPr>
          <w:rFonts w:cs="Arial"/>
        </w:rPr>
        <w:t xml:space="preserve"> on </w:t>
      </w:r>
      <w:r w:rsidR="004B6292">
        <w:rPr>
          <w:rFonts w:cs="Arial"/>
        </w:rPr>
        <w:t xml:space="preserve">the available human exposure data, the </w:t>
      </w:r>
      <w:r w:rsidR="00D131A1">
        <w:rPr>
          <w:rFonts w:cs="Arial"/>
        </w:rPr>
        <w:t>TLV-</w:t>
      </w:r>
      <w:r w:rsidR="004B6292">
        <w:rPr>
          <w:rFonts w:cs="Arial"/>
        </w:rPr>
        <w:t>TWA of 0.5 µg/m</w:t>
      </w:r>
      <w:r w:rsidR="004B6292">
        <w:rPr>
          <w:rFonts w:cs="Arial"/>
          <w:vertAlign w:val="superscript"/>
        </w:rPr>
        <w:t>3</w:t>
      </w:r>
      <w:r w:rsidR="004B6292">
        <w:rPr>
          <w:rFonts w:cs="Arial"/>
        </w:rPr>
        <w:t xml:space="preserve"> and </w:t>
      </w:r>
      <w:r w:rsidR="00D131A1">
        <w:rPr>
          <w:rFonts w:cs="Arial"/>
        </w:rPr>
        <w:t xml:space="preserve">TLV-STEL </w:t>
      </w:r>
      <w:r w:rsidR="004B6292">
        <w:rPr>
          <w:rFonts w:cs="Arial"/>
        </w:rPr>
        <w:t>of 2 µg/</w:t>
      </w:r>
      <w:r w:rsidR="004B6292" w:rsidRPr="004B6292">
        <w:rPr>
          <w:rFonts w:cs="Arial"/>
        </w:rPr>
        <w:t>m</w:t>
      </w:r>
      <w:r w:rsidR="004B6292" w:rsidRPr="004B6292">
        <w:rPr>
          <w:rFonts w:cs="Arial"/>
          <w:vertAlign w:val="superscript"/>
        </w:rPr>
        <w:t>3</w:t>
      </w:r>
      <w:r w:rsidR="00D131A1">
        <w:rPr>
          <w:rFonts w:cs="Arial"/>
        </w:rPr>
        <w:t xml:space="preserve"> by ACGIH (2018) </w:t>
      </w:r>
      <w:r w:rsidR="004B6292">
        <w:rPr>
          <w:rFonts w:cs="Arial"/>
        </w:rPr>
        <w:t xml:space="preserve">are recommended </w:t>
      </w:r>
      <w:r w:rsidR="00B816E9">
        <w:rPr>
          <w:rFonts w:cs="Arial"/>
        </w:rPr>
        <w:t xml:space="preserve">to </w:t>
      </w:r>
      <w:r w:rsidR="00D131A1">
        <w:rPr>
          <w:rFonts w:cs="Arial"/>
        </w:rPr>
        <w:t>be adopted</w:t>
      </w:r>
      <w:r w:rsidR="004B6292">
        <w:rPr>
          <w:rFonts w:cs="Arial"/>
        </w:rPr>
        <w:t xml:space="preserve"> </w:t>
      </w:r>
      <w:r w:rsidR="00D131A1">
        <w:rPr>
          <w:rFonts w:cs="Arial"/>
        </w:rPr>
        <w:t>as TWA and peak limitation</w:t>
      </w:r>
      <w:r w:rsidR="00EB57BE">
        <w:rPr>
          <w:rFonts w:cs="Arial"/>
        </w:rPr>
        <w:t xml:space="preserve"> by</w:t>
      </w:r>
      <w:r w:rsidR="007B6664">
        <w:rPr>
          <w:rFonts w:cs="Arial"/>
        </w:rPr>
        <w:t xml:space="preserve"> </w:t>
      </w:r>
      <w:r w:rsidR="00EB57BE">
        <w:rPr>
          <w:rFonts w:cs="Arial"/>
        </w:rPr>
        <w:t>SWA</w:t>
      </w:r>
      <w:r w:rsidR="00D131A1">
        <w:rPr>
          <w:rFonts w:cs="Arial"/>
        </w:rPr>
        <w:t xml:space="preserve">. </w:t>
      </w:r>
      <w:r w:rsidR="00B816E9">
        <w:rPr>
          <w:rFonts w:cs="Arial"/>
        </w:rPr>
        <w:t xml:space="preserve">The peak limitation is recommended in favour of a STEL due to the severity of the critical effects. </w:t>
      </w:r>
      <w:r w:rsidR="00D131A1">
        <w:rPr>
          <w:rFonts w:cs="Arial"/>
        </w:rPr>
        <w:t xml:space="preserve">These </w:t>
      </w:r>
      <w:r w:rsidR="00EB57BE">
        <w:rPr>
          <w:rFonts w:cs="Arial"/>
        </w:rPr>
        <w:t>are</w:t>
      </w:r>
      <w:r w:rsidR="004B6292">
        <w:rPr>
          <w:rFonts w:cs="Arial"/>
        </w:rPr>
        <w:t xml:space="preserve"> expected to be protective of respiratory and dermal sensitisation and mucous membrane irritation. </w:t>
      </w:r>
    </w:p>
    <w:p w14:paraId="69C13D97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564AA24" w14:textId="77777777" w:rsidR="008E4F1F" w:rsidRPr="004455BB" w:rsidRDefault="008E4F1F" w:rsidP="008E4F1F">
      <w:pPr>
        <w:rPr>
          <w:rFonts w:cs="Arial"/>
        </w:rPr>
      </w:pPr>
      <w:r w:rsidRPr="004455BB">
        <w:rPr>
          <w:rFonts w:cs="Arial"/>
        </w:rPr>
        <w:t>Not classified as a carcinogen according to the Globally Harmonized System of</w:t>
      </w:r>
      <w:r w:rsidR="00155999" w:rsidRPr="004455BB">
        <w:rPr>
          <w:rFonts w:cs="Arial"/>
        </w:rPr>
        <w:t xml:space="preserve"> Classification and Labelling of</w:t>
      </w:r>
      <w:r w:rsidRPr="004455BB">
        <w:rPr>
          <w:rFonts w:cs="Arial"/>
        </w:rPr>
        <w:t xml:space="preserve"> Chemicals (GHS). </w:t>
      </w:r>
    </w:p>
    <w:p w14:paraId="1C5D0308" w14:textId="77777777" w:rsidR="004455BB" w:rsidRPr="004455BB" w:rsidRDefault="004455BB" w:rsidP="004455BB">
      <w:pPr>
        <w:rPr>
          <w:rFonts w:cs="Arial"/>
        </w:rPr>
      </w:pPr>
      <w:r w:rsidRPr="004455BB">
        <w:rPr>
          <w:rFonts w:cs="Arial"/>
        </w:rPr>
        <w:t>Classified as a skin sensitiser and respiratory sensitiser according to the GHS.</w:t>
      </w:r>
    </w:p>
    <w:p w14:paraId="10991B18" w14:textId="70EAFE32" w:rsidR="004455BB" w:rsidRPr="004455BB" w:rsidRDefault="004455BB" w:rsidP="004455BB">
      <w:pPr>
        <w:rPr>
          <w:rFonts w:cs="Arial"/>
        </w:rPr>
      </w:pPr>
      <w:r w:rsidRPr="004455BB">
        <w:rPr>
          <w:rFonts w:cs="Arial"/>
        </w:rPr>
        <w:t xml:space="preserve">A skin notation is </w:t>
      </w:r>
      <w:r w:rsidR="00B95D43">
        <w:rPr>
          <w:rFonts w:cs="Arial"/>
        </w:rPr>
        <w:t>recommend</w:t>
      </w:r>
      <w:r w:rsidRPr="004455BB">
        <w:rPr>
          <w:rFonts w:cs="Arial"/>
        </w:rPr>
        <w:t>ed as evidence indicates contact dermatitis in humans and reports of systemic effects in animals.</w:t>
      </w:r>
    </w:p>
    <w:p w14:paraId="60606F96" w14:textId="77777777" w:rsidR="0025734A" w:rsidRPr="004C23F4" w:rsidRDefault="0025734A">
      <w:pPr>
        <w:rPr>
          <w:rFonts w:cs="Arial"/>
        </w:rPr>
      </w:pPr>
    </w:p>
    <w:p w14:paraId="6EA5CA9F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95B1CA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766823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937C6C8" w14:textId="77777777" w:rsidTr="009F7E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29D57A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6ECCFAA" w14:textId="77777777" w:rsidTr="009F7EBD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BD1B3D4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C66D4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66D4F">
                  <w:t>TWA: 0.005 ppm (0.039 mg/m</w:t>
                </w:r>
                <w:r w:rsidR="00C66D4F" w:rsidRPr="00C66D4F">
                  <w:rPr>
                    <w:vertAlign w:val="superscript"/>
                  </w:rPr>
                  <w:t>3</w:t>
                </w:r>
                <w:r w:rsidR="00C66D4F">
                  <w:t>)</w:t>
                </w:r>
              </w:sdtContent>
            </w:sdt>
          </w:p>
        </w:tc>
      </w:tr>
      <w:tr w:rsidR="00C978F0" w:rsidRPr="00DA352E" w14:paraId="0EF823B0" w14:textId="77777777" w:rsidTr="009F7EBD">
        <w:trPr>
          <w:gridAfter w:val="1"/>
          <w:wAfter w:w="8" w:type="pct"/>
          <w:cantSplit/>
        </w:trPr>
        <w:tc>
          <w:tcPr>
            <w:tcW w:w="4992" w:type="pct"/>
          </w:tcPr>
          <w:p w14:paraId="35E78C24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5049398" w14:textId="77777777" w:rsidTr="009F7EB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07DCBE9" w14:textId="5C2DE058" w:rsidR="00C978F0" w:rsidRPr="00DA352E" w:rsidRDefault="00DA352E" w:rsidP="00B875A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296" w:hanging="2296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B4758">
                  <w:t>2014</w:t>
                </w:r>
              </w:sdtContent>
            </w:sdt>
            <w:r w:rsidR="00916EC0" w:rsidRPr="003365A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B4758">
                  <w:t>TLV-</w:t>
                </w:r>
                <w:r w:rsidR="00BB4758" w:rsidRPr="00BB4758">
                  <w:t>TWA: 0.</w:t>
                </w:r>
                <w:r w:rsidR="00BB4758">
                  <w:t>0</w:t>
                </w:r>
                <w:r w:rsidR="00BB4758" w:rsidRPr="00BB4758">
                  <w:t>00</w:t>
                </w:r>
                <w:r w:rsidR="00BB4758">
                  <w:t>06</w:t>
                </w:r>
                <w:r w:rsidR="00BB4758" w:rsidRPr="00BB4758">
                  <w:t xml:space="preserve"> ppm (0.</w:t>
                </w:r>
                <w:r w:rsidR="00BB4758">
                  <w:t>0005</w:t>
                </w:r>
                <w:r w:rsidR="00BB4758" w:rsidRPr="00BB4758">
                  <w:t xml:space="preserve"> mg/m</w:t>
                </w:r>
                <w:r w:rsidR="00BB4758" w:rsidRPr="00BB4758">
                  <w:rPr>
                    <w:vertAlign w:val="superscript"/>
                  </w:rPr>
                  <w:t>3</w:t>
                </w:r>
                <w:r w:rsidR="00BB4758" w:rsidRPr="00BB4758">
                  <w:t>)</w:t>
                </w:r>
                <w:r w:rsidR="00BB4758">
                  <w:t>; TLV-STEL: 0.0002 ppm</w:t>
                </w:r>
                <w:r w:rsidR="00B875A7">
                  <w:t xml:space="preserve"> </w:t>
                </w:r>
                <w:r w:rsidR="00BB4758">
                  <w:t>(0.002 mg/m</w:t>
                </w:r>
                <w:r w:rsidR="00BB4758" w:rsidRPr="00BB4758">
                  <w:rPr>
                    <w:vertAlign w:val="superscript"/>
                  </w:rPr>
                  <w:t>3</w:t>
                </w:r>
                <w:r w:rsidR="00BB4758">
                  <w:t>) (Inhalable vapor fraction)</w:t>
                </w:r>
              </w:sdtContent>
            </w:sdt>
          </w:p>
        </w:tc>
      </w:tr>
      <w:tr w:rsidR="00C978F0" w:rsidRPr="00DA352E" w14:paraId="0E1943BB" w14:textId="77777777" w:rsidTr="009F7EBD">
        <w:trPr>
          <w:gridAfter w:val="1"/>
          <w:wAfter w:w="8" w:type="pct"/>
        </w:trPr>
        <w:tc>
          <w:tcPr>
            <w:tcW w:w="4992" w:type="pct"/>
          </w:tcPr>
          <w:p w14:paraId="71760531" w14:textId="53D4B8E5" w:rsidR="00B95D43" w:rsidRDefault="00506046" w:rsidP="003365A5">
            <w:pPr>
              <w:pStyle w:val="Tabletextprimarysource"/>
            </w:pPr>
            <w:r>
              <w:t xml:space="preserve">TLV-TWA and TLV-STEL recommended to minimise potential for </w:t>
            </w:r>
            <w:r w:rsidR="00E36B93">
              <w:t xml:space="preserve">dermal and respiratory </w:t>
            </w:r>
            <w:r>
              <w:t>sensitisation</w:t>
            </w:r>
            <w:r w:rsidR="00E36B93">
              <w:t xml:space="preserve"> and</w:t>
            </w:r>
            <w:r>
              <w:t xml:space="preserve"> </w:t>
            </w:r>
            <w:r w:rsidR="00E36B93">
              <w:t xml:space="preserve">skin and </w:t>
            </w:r>
            <w:r>
              <w:t>mucous membrane irritation</w:t>
            </w:r>
            <w:r w:rsidR="00E36B93">
              <w:t xml:space="preserve">. </w:t>
            </w:r>
          </w:p>
          <w:p w14:paraId="78273E36" w14:textId="6247A446" w:rsidR="00C978F0" w:rsidRDefault="00E36B93" w:rsidP="003365A5">
            <w:pPr>
              <w:pStyle w:val="Tabletextprimarysource"/>
            </w:pPr>
            <w:r>
              <w:t>RSEN and DSEN notations recommended based on positive sensitisation in humans and animals; dermal contact was demonstrated to elicit respiratory sensitisation in animals, skin notation therefore recommended.</w:t>
            </w:r>
          </w:p>
          <w:p w14:paraId="482D7780" w14:textId="0BCA1F1D" w:rsidR="00E36B93" w:rsidRDefault="00E36B93" w:rsidP="003365A5">
            <w:pPr>
              <w:pStyle w:val="Tabletextprimarysource"/>
            </w:pPr>
            <w:r>
              <w:t>Summary of information</w:t>
            </w:r>
            <w:r w:rsidR="00B816E9">
              <w:t>:</w:t>
            </w:r>
          </w:p>
          <w:p w14:paraId="17711B0E" w14:textId="64185753" w:rsidR="00E36B93" w:rsidRPr="00FE756E" w:rsidRDefault="00E36B93" w:rsidP="003365A5">
            <w:pPr>
              <w:pStyle w:val="Tabletextprimarysource"/>
            </w:pPr>
            <w:r>
              <w:t>TLV</w:t>
            </w:r>
            <w:r w:rsidR="00D131A1">
              <w:t>-TWA</w:t>
            </w:r>
            <w:r>
              <w:t xml:space="preserve"> intended to be measured as combined vapour and particulate fraction to account for potential volatile losses during sampling.</w:t>
            </w:r>
            <w:r w:rsidR="00747904">
              <w:t xml:space="preserve"> </w:t>
            </w:r>
            <w:r w:rsidR="00D131A1">
              <w:t xml:space="preserve">TLV-TWA </w:t>
            </w:r>
            <w:r w:rsidR="00440C79">
              <w:t xml:space="preserve">based on increased </w:t>
            </w:r>
            <w:r w:rsidR="00B95D43">
              <w:t>OR</w:t>
            </w:r>
            <w:r w:rsidR="00440C79">
              <w:t xml:space="preserve"> to develop dermal and respiratory sensitisation of 10 and 5.9, respectively, in workers exposed at 10–40 µg/m</w:t>
            </w:r>
            <w:r w:rsidR="00440C79">
              <w:rPr>
                <w:vertAlign w:val="superscript"/>
              </w:rPr>
              <w:t>3</w:t>
            </w:r>
            <w:r w:rsidR="00440C79">
              <w:rPr>
                <w:vertAlign w:val="superscript"/>
              </w:rPr>
              <w:softHyphen/>
            </w:r>
            <w:r w:rsidR="00440C79">
              <w:t>; exposures at 0.</w:t>
            </w:r>
            <w:r w:rsidR="00B95D43">
              <w:t>5 </w:t>
            </w:r>
            <w:r w:rsidR="00440C79">
              <w:t>µg/m</w:t>
            </w:r>
            <w:r w:rsidR="00440C79">
              <w:rPr>
                <w:vertAlign w:val="superscript"/>
              </w:rPr>
              <w:t>3</w:t>
            </w:r>
            <w:r w:rsidR="00440C79">
              <w:t xml:space="preserve"> not associated with IgG </w:t>
            </w:r>
            <w:r w:rsidR="00A32E8B">
              <w:t>disease</w:t>
            </w:r>
            <w:r w:rsidR="00440C79">
              <w:t xml:space="preserve"> in exposed workers, an Ig</w:t>
            </w:r>
            <w:r w:rsidR="00A32E8B">
              <w:t>G antibody</w:t>
            </w:r>
            <w:r w:rsidR="00440C79">
              <w:t xml:space="preserve"> response was elicited in 9% of workers at this concentration. Sensitised workers </w:t>
            </w:r>
            <w:r w:rsidR="00FE756E">
              <w:t>should experience improved immunologic outcomes i</w:t>
            </w:r>
            <w:r w:rsidR="00A32E8B">
              <w:t>f exposures are reduced below 4 </w:t>
            </w:r>
            <w:r w:rsidR="00FE756E">
              <w:t>µg/m</w:t>
            </w:r>
            <w:r w:rsidR="00FE756E">
              <w:rPr>
                <w:vertAlign w:val="superscript"/>
              </w:rPr>
              <w:t>3</w:t>
            </w:r>
            <w:r w:rsidR="00FE756E">
              <w:t>; though some may require complete removal from exposure.</w:t>
            </w:r>
          </w:p>
          <w:p w14:paraId="0E7A4C5A" w14:textId="59432A42" w:rsidR="00E36B93" w:rsidRDefault="00E36B93" w:rsidP="003365A5">
            <w:pPr>
              <w:pStyle w:val="Tabletextprimarysource"/>
            </w:pPr>
            <w:r>
              <w:t>Human data:</w:t>
            </w:r>
          </w:p>
          <w:p w14:paraId="6C84E6FE" w14:textId="79F0E52A" w:rsidR="00B95D43" w:rsidRDefault="009A2636" w:rsidP="00FE756E">
            <w:pPr>
              <w:pStyle w:val="Tabletextprimarysource"/>
              <w:numPr>
                <w:ilvl w:val="0"/>
                <w:numId w:val="2"/>
              </w:numPr>
            </w:pPr>
            <w:r>
              <w:t>Single exposures caused local irritation</w:t>
            </w:r>
            <w:r w:rsidR="00B95D43">
              <w:t xml:space="preserve"> and </w:t>
            </w:r>
            <w:r>
              <w:t>did not induce potent immunological response (no further details provided)</w:t>
            </w:r>
            <w:r w:rsidR="00B816E9">
              <w:t>:</w:t>
            </w:r>
            <w:r>
              <w:t xml:space="preserve"> </w:t>
            </w:r>
          </w:p>
          <w:p w14:paraId="1EE56114" w14:textId="63F29682" w:rsidR="009A2636" w:rsidRDefault="009A2636" w:rsidP="00B95D43">
            <w:pPr>
              <w:pStyle w:val="Tabletextprimarysource"/>
              <w:numPr>
                <w:ilvl w:val="0"/>
                <w:numId w:val="3"/>
              </w:numPr>
            </w:pPr>
            <w:r>
              <w:t xml:space="preserve">latency for sensitisation between several weeks to years </w:t>
            </w:r>
          </w:p>
          <w:p w14:paraId="6DCABB8F" w14:textId="2994671B" w:rsidR="00B95D43" w:rsidRDefault="00FE756E" w:rsidP="00FE756E">
            <w:pPr>
              <w:pStyle w:val="Tabletextprimarysource"/>
              <w:numPr>
                <w:ilvl w:val="0"/>
                <w:numId w:val="2"/>
              </w:numPr>
            </w:pPr>
            <w:r>
              <w:t>5% incidence of immunologically mediated disease in workers exposed at mean levels of 2 µg/m</w:t>
            </w:r>
            <w:r>
              <w:rPr>
                <w:vertAlign w:val="superscript"/>
              </w:rPr>
              <w:t>3</w:t>
            </w:r>
            <w:r>
              <w:t xml:space="preserve"> (peak: 120 µg/m</w:t>
            </w:r>
            <w:r>
              <w:rPr>
                <w:vertAlign w:val="superscript"/>
              </w:rPr>
              <w:t>3</w:t>
            </w:r>
            <w:r>
              <w:t>)</w:t>
            </w:r>
            <w:r w:rsidR="00B816E9">
              <w:t>:</w:t>
            </w:r>
            <w:r>
              <w:t xml:space="preserve"> </w:t>
            </w:r>
          </w:p>
          <w:p w14:paraId="4564F35B" w14:textId="057B7F2E" w:rsidR="00E36B93" w:rsidRDefault="00FE756E" w:rsidP="00B95D43">
            <w:pPr>
              <w:pStyle w:val="Tabletextprimarysource"/>
              <w:numPr>
                <w:ilvl w:val="0"/>
                <w:numId w:val="3"/>
              </w:numPr>
            </w:pPr>
            <w:r>
              <w:t>used as justification for TLV-STEL by agency</w:t>
            </w:r>
          </w:p>
          <w:p w14:paraId="30627D93" w14:textId="4F38648B" w:rsidR="006C32DE" w:rsidRDefault="0035540F" w:rsidP="00FE756E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Increased </w:t>
            </w:r>
            <w:r w:rsidR="00B95D43">
              <w:t>OR</w:t>
            </w:r>
            <w:r>
              <w:t xml:space="preserve"> for dermal and respiratory sensitisation (10 and 5.9, respectively) in workers exposed at 10–40 µg/m</w:t>
            </w:r>
            <w:r>
              <w:rPr>
                <w:vertAlign w:val="superscript"/>
              </w:rPr>
              <w:t>3</w:t>
            </w:r>
            <w:r>
              <w:t xml:space="preserve"> compared to those exposed at &lt;10 µg/m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14:paraId="27C37354" w14:textId="00F9406E" w:rsidR="0035540F" w:rsidRDefault="00AB6BE0" w:rsidP="00B95D43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Exposure-dependent levels of IgG and IgG and </w:t>
            </w:r>
            <w:proofErr w:type="spellStart"/>
            <w:r>
              <w:t>IgE</w:t>
            </w:r>
            <w:proofErr w:type="spellEnd"/>
            <w:r>
              <w:t xml:space="preserve"> disease in workers (n=286) exposed at &lt;0.5–130 µg/m</w:t>
            </w:r>
            <w:r w:rsidRPr="00B95D43">
              <w:rPr>
                <w:vertAlign w:val="superscript"/>
              </w:rPr>
              <w:t>3</w:t>
            </w:r>
            <w:r>
              <w:t xml:space="preserve">; incidence of IgG and </w:t>
            </w:r>
            <w:proofErr w:type="spellStart"/>
            <w:r>
              <w:t>IgE</w:t>
            </w:r>
            <w:proofErr w:type="spellEnd"/>
            <w:r>
              <w:t xml:space="preserve"> diseases in these workers ranged from 0–43% and 0–25%, respectively</w:t>
            </w:r>
            <w:r w:rsidR="00B816E9">
              <w:t>:</w:t>
            </w:r>
          </w:p>
          <w:p w14:paraId="01CB6E20" w14:textId="6931A2B2" w:rsidR="00B95D43" w:rsidRDefault="00AB6BE0" w:rsidP="00847774">
            <w:pPr>
              <w:pStyle w:val="Tabletextprimarysource"/>
              <w:numPr>
                <w:ilvl w:val="1"/>
                <w:numId w:val="2"/>
              </w:numPr>
              <w:ind w:left="1159"/>
            </w:pPr>
            <w:r>
              <w:t>no cases of IgG disease in workers exposed at 2.4 µg/m</w:t>
            </w:r>
            <w:r>
              <w:rPr>
                <w:vertAlign w:val="superscript"/>
              </w:rPr>
              <w:t>3</w:t>
            </w:r>
            <w:r>
              <w:t xml:space="preserve"> (mean: 0.5 µg/m</w:t>
            </w:r>
            <w:r>
              <w:rPr>
                <w:vertAlign w:val="superscript"/>
              </w:rPr>
              <w:t>3</w:t>
            </w:r>
            <w:r>
              <w:t>)</w:t>
            </w:r>
            <w:r w:rsidR="00A32E8B">
              <w:t xml:space="preserve"> </w:t>
            </w:r>
          </w:p>
          <w:p w14:paraId="46A853B7" w14:textId="10B4C3E2" w:rsidR="00AB6BE0" w:rsidRDefault="00A32E8B" w:rsidP="00847774">
            <w:pPr>
              <w:pStyle w:val="Tabletextprimarysource"/>
              <w:numPr>
                <w:ilvl w:val="1"/>
                <w:numId w:val="2"/>
              </w:numPr>
              <w:ind w:left="1159"/>
            </w:pPr>
            <w:r>
              <w:t>9% had IgG antibody for serum albumin adduct of substance at this concentration</w:t>
            </w:r>
            <w:r w:rsidR="00847774">
              <w:t>.</w:t>
            </w:r>
          </w:p>
          <w:p w14:paraId="40FADBAC" w14:textId="42FF8F99" w:rsidR="00C8100B" w:rsidRDefault="00E36B93" w:rsidP="00C8100B">
            <w:pPr>
              <w:pStyle w:val="Tabletextprimarysource"/>
            </w:pPr>
            <w:r>
              <w:t>Animal data:</w:t>
            </w:r>
            <w:r w:rsidR="00C8100B">
              <w:t xml:space="preserve"> </w:t>
            </w:r>
          </w:p>
          <w:p w14:paraId="3E70DDC4" w14:textId="4CB52423" w:rsidR="00BC5B73" w:rsidRDefault="00C04B13" w:rsidP="0074790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Lung cell adducts became sites for </w:t>
            </w:r>
            <w:proofErr w:type="spellStart"/>
            <w:r>
              <w:t>immunocytotoxic</w:t>
            </w:r>
            <w:proofErr w:type="spellEnd"/>
            <w:r>
              <w:t xml:space="preserve"> injury following repeat inhalation at 500 µg/m</w:t>
            </w:r>
            <w:r>
              <w:rPr>
                <w:vertAlign w:val="superscript"/>
              </w:rPr>
              <w:t>3</w:t>
            </w:r>
            <w:r>
              <w:t xml:space="preserve"> (rats, 4 h/d, 1–10 d)</w:t>
            </w:r>
          </w:p>
          <w:p w14:paraId="358588FD" w14:textId="4FEA4147" w:rsidR="00B95D43" w:rsidRDefault="00C04B13" w:rsidP="0074790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Immediate respiratory resistance </w:t>
            </w:r>
            <w:r w:rsidR="00C56E5C">
              <w:t xml:space="preserve">and increased eosinophils in lungs </w:t>
            </w:r>
            <w:r>
              <w:t>at 150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C56E5C">
              <w:t>(30 min) in pre-sensitised guinea pigs</w:t>
            </w:r>
            <w:r w:rsidR="00B816E9">
              <w:t>:</w:t>
            </w:r>
            <w:r w:rsidR="00C56E5C">
              <w:t xml:space="preserve"> </w:t>
            </w:r>
          </w:p>
          <w:p w14:paraId="5C384055" w14:textId="744C7DDD" w:rsidR="00C04B13" w:rsidRDefault="00C56E5C" w:rsidP="00B95D43">
            <w:pPr>
              <w:pStyle w:val="Tabletextprimarysource"/>
              <w:numPr>
                <w:ilvl w:val="0"/>
                <w:numId w:val="4"/>
              </w:numPr>
            </w:pPr>
            <w:r>
              <w:t>respiratory resistance reversible in 6 h</w:t>
            </w:r>
          </w:p>
          <w:p w14:paraId="0D4A04F0" w14:textId="69E550D3" w:rsidR="00E36B93" w:rsidRDefault="00FE756E" w:rsidP="00747904">
            <w:pPr>
              <w:pStyle w:val="Tabletextprimarysource"/>
              <w:numPr>
                <w:ilvl w:val="0"/>
                <w:numId w:val="1"/>
              </w:numPr>
            </w:pPr>
            <w:r>
              <w:t>Haemorrhagic lung foci at 500 µg/m</w:t>
            </w:r>
            <w:r>
              <w:rPr>
                <w:vertAlign w:val="superscript"/>
              </w:rPr>
              <w:t>3</w:t>
            </w:r>
            <w:r>
              <w:t xml:space="preserve"> correlated well with increased Ig levels following challenge with 500 µg/m</w:t>
            </w:r>
            <w:r>
              <w:rPr>
                <w:vertAlign w:val="superscript"/>
              </w:rPr>
              <w:t>3</w:t>
            </w:r>
            <w:r>
              <w:t xml:space="preserve"> after 29 d (rats, 6 h/d)</w:t>
            </w:r>
          </w:p>
          <w:p w14:paraId="1D5AA711" w14:textId="6F412D2D" w:rsidR="00C56E5C" w:rsidRDefault="00C56E5C" w:rsidP="0074790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Significant increase in </w:t>
            </w:r>
            <w:proofErr w:type="spellStart"/>
            <w:r>
              <w:t>IgE</w:t>
            </w:r>
            <w:proofErr w:type="spellEnd"/>
            <w:r>
              <w:t xml:space="preserve"> serum levels following dermal induction with 10% solution and inhalation challenge with intranasal instillation or </w:t>
            </w:r>
            <w:r w:rsidR="00C8100B">
              <w:t>vice versa 17–27 d (mice)</w:t>
            </w:r>
          </w:p>
          <w:p w14:paraId="21B9A75A" w14:textId="2486C7D4" w:rsidR="00C8100B" w:rsidRDefault="00C8100B" w:rsidP="0074790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Dermal hypersensitivity and </w:t>
            </w:r>
            <w:proofErr w:type="spellStart"/>
            <w:r>
              <w:t>IgE</w:t>
            </w:r>
            <w:proofErr w:type="spellEnd"/>
            <w:r>
              <w:t xml:space="preserve"> response following dermal applications of &gt;5% solutions followed by dermal challenge after 7 d (mice)</w:t>
            </w:r>
          </w:p>
          <w:p w14:paraId="1284769E" w14:textId="1A29B06F" w:rsidR="00B95D43" w:rsidRDefault="00C8100B" w:rsidP="00747904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>NOAEC: 30 µg/m</w:t>
            </w:r>
            <w:r>
              <w:rPr>
                <w:vertAlign w:val="superscript"/>
              </w:rPr>
              <w:t>3</w:t>
            </w:r>
            <w:r>
              <w:t xml:space="preserve"> for respiratory sensitisation and dose-dependent alveolar haemorrhaging in sub</w:t>
            </w:r>
            <w:r w:rsidR="00B816E9">
              <w:t>-</w:t>
            </w:r>
            <w:r>
              <w:t xml:space="preserve">chronic inhalation study with exposure groups 0, 10, 30, 100 and </w:t>
            </w:r>
            <w:r w:rsidR="00B95D43">
              <w:t>300 </w:t>
            </w:r>
            <w:r>
              <w:t>µg/m</w:t>
            </w:r>
            <w:r>
              <w:rPr>
                <w:vertAlign w:val="superscript"/>
              </w:rPr>
              <w:t>3</w:t>
            </w:r>
            <w:r>
              <w:t xml:space="preserve"> (rats, 6 h/d, 10 d)</w:t>
            </w:r>
            <w:r w:rsidR="00B816E9">
              <w:t>:</w:t>
            </w:r>
            <w:r>
              <w:t xml:space="preserve"> </w:t>
            </w:r>
          </w:p>
          <w:p w14:paraId="61ACDCF7" w14:textId="6721E3B6" w:rsidR="00C8100B" w:rsidRDefault="00C8100B" w:rsidP="00B95D43">
            <w:pPr>
              <w:pStyle w:val="Tabletextprimarysource"/>
              <w:numPr>
                <w:ilvl w:val="0"/>
                <w:numId w:val="4"/>
              </w:numPr>
            </w:pPr>
            <w:r>
              <w:t xml:space="preserve">effect </w:t>
            </w:r>
            <w:r w:rsidR="00EB57BE">
              <w:t>ceased</w:t>
            </w:r>
            <w:r>
              <w:t xml:space="preserve"> </w:t>
            </w:r>
            <w:r w:rsidR="00EB57BE">
              <w:t>after</w:t>
            </w:r>
            <w:r>
              <w:t xml:space="preserve"> exposure</w:t>
            </w:r>
            <w:r w:rsidR="00B95D43">
              <w:t xml:space="preserve"> </w:t>
            </w:r>
            <w:r w:rsidR="00EB57BE">
              <w:t xml:space="preserve">was stopped </w:t>
            </w:r>
            <w:r w:rsidR="00B95D43">
              <w:t>and</w:t>
            </w:r>
            <w:r>
              <w:t xml:space="preserve"> </w:t>
            </w:r>
            <w:r w:rsidR="00EB57BE">
              <w:t xml:space="preserve">developed </w:t>
            </w:r>
            <w:r>
              <w:t xml:space="preserve">rapidly </w:t>
            </w:r>
            <w:r w:rsidR="00EB57BE">
              <w:t xml:space="preserve">on </w:t>
            </w:r>
            <w:r>
              <w:t xml:space="preserve">reintroduction </w:t>
            </w:r>
            <w:r w:rsidR="00EB57BE">
              <w:t xml:space="preserve">of exposure </w:t>
            </w:r>
            <w:r>
              <w:t xml:space="preserve">up to 12 </w:t>
            </w:r>
            <w:proofErr w:type="spellStart"/>
            <w:r>
              <w:t>wk</w:t>
            </w:r>
            <w:proofErr w:type="spellEnd"/>
            <w:r>
              <w:t xml:space="preserve"> post-exposure</w:t>
            </w:r>
          </w:p>
          <w:p w14:paraId="4374014D" w14:textId="08D49BF5" w:rsidR="00A32E8B" w:rsidRPr="002E0E5E" w:rsidRDefault="00FB3D7F" w:rsidP="00A32E8B">
            <w:pPr>
              <w:pStyle w:val="Tabletextprimarysource"/>
              <w:numPr>
                <w:ilvl w:val="0"/>
                <w:numId w:val="1"/>
              </w:numPr>
              <w:rPr>
                <w:lang w:val="it-IT"/>
              </w:rPr>
            </w:pPr>
            <w:r w:rsidRPr="002E0E5E">
              <w:rPr>
                <w:lang w:val="it-IT"/>
              </w:rPr>
              <w:t xml:space="preserve">Negative mutagenicity </w:t>
            </w:r>
            <w:r w:rsidRPr="002E0E5E">
              <w:rPr>
                <w:i/>
                <w:lang w:val="it-IT"/>
              </w:rPr>
              <w:t>in vitro</w:t>
            </w:r>
            <w:r w:rsidRPr="002E0E5E">
              <w:rPr>
                <w:lang w:val="it-IT"/>
              </w:rPr>
              <w:t xml:space="preserve"> in bacteria, non-clastogenic </w:t>
            </w:r>
            <w:r w:rsidRPr="002E0E5E">
              <w:rPr>
                <w:i/>
                <w:lang w:val="it-IT"/>
              </w:rPr>
              <w:t>in vitro</w:t>
            </w:r>
            <w:r w:rsidRPr="002E0E5E">
              <w:rPr>
                <w:lang w:val="it-IT"/>
              </w:rPr>
              <w:t xml:space="preserve"> in </w:t>
            </w:r>
            <w:r w:rsidR="00A32E8B" w:rsidRPr="002E0E5E">
              <w:rPr>
                <w:lang w:val="it-IT"/>
              </w:rPr>
              <w:t xml:space="preserve">CHO </w:t>
            </w:r>
            <w:r w:rsidRPr="002E0E5E">
              <w:rPr>
                <w:lang w:val="it-IT"/>
              </w:rPr>
              <w:t>cells</w:t>
            </w:r>
            <w:r w:rsidR="00847774" w:rsidRPr="002E0E5E">
              <w:rPr>
                <w:lang w:val="it-IT"/>
              </w:rPr>
              <w:t>.</w:t>
            </w:r>
          </w:p>
          <w:p w14:paraId="066114DC" w14:textId="77777777" w:rsidR="00B95D43" w:rsidRPr="00D131A1" w:rsidRDefault="00B95D43" w:rsidP="00A32E8B">
            <w:pPr>
              <w:pStyle w:val="Tabletextprimarysource"/>
              <w:rPr>
                <w:lang w:val="it-IT"/>
              </w:rPr>
            </w:pPr>
          </w:p>
          <w:p w14:paraId="5A2F0374" w14:textId="77777777" w:rsidR="00E36B93" w:rsidRDefault="00E36B93" w:rsidP="00A32E8B">
            <w:pPr>
              <w:pStyle w:val="Tabletextprimarysource"/>
            </w:pPr>
            <w:r>
              <w:t>Insufficient data to recommend a carcinogenicity notation.</w:t>
            </w:r>
          </w:p>
          <w:p w14:paraId="2B9F01EA" w14:textId="5569E2CF" w:rsidR="00B95D43" w:rsidRPr="00DA352E" w:rsidRDefault="00B95D43" w:rsidP="00A32E8B">
            <w:pPr>
              <w:pStyle w:val="Tabletextprimarysource"/>
            </w:pPr>
          </w:p>
        </w:tc>
      </w:tr>
      <w:tr w:rsidR="00C978F0" w:rsidRPr="00DA352E" w14:paraId="387F6B44" w14:textId="77777777" w:rsidTr="009F7EB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A48089D" w14:textId="1CB7B71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C7D76">
                  <w:t>1981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85964">
                  <w:t>MAK: 0.04 mg/m</w:t>
                </w:r>
                <w:r w:rsidR="00B85964" w:rsidRPr="00B8596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1F7C04F" w14:textId="77777777" w:rsidTr="009F7EBD">
        <w:trPr>
          <w:gridAfter w:val="1"/>
          <w:wAfter w:w="8" w:type="pct"/>
          <w:cantSplit/>
        </w:trPr>
        <w:tc>
          <w:tcPr>
            <w:tcW w:w="4992" w:type="pct"/>
          </w:tcPr>
          <w:p w14:paraId="790795FF" w14:textId="77777777" w:rsidR="00C978F0" w:rsidRDefault="00775FE0" w:rsidP="003365A5">
            <w:pPr>
              <w:pStyle w:val="Tabletextprimarysource"/>
            </w:pPr>
            <w:r>
              <w:t>Summary of additional information:</w:t>
            </w:r>
          </w:p>
          <w:p w14:paraId="44E9CB4F" w14:textId="2B2DBAE9" w:rsidR="00346B8C" w:rsidRDefault="00FB4CA1" w:rsidP="003365A5">
            <w:pPr>
              <w:pStyle w:val="Tabletextprimarysource"/>
            </w:pPr>
            <w:r>
              <w:t>Air concentrations of 0.14–0.27 mg/m</w:t>
            </w:r>
            <w:r>
              <w:rPr>
                <w:vertAlign w:val="superscript"/>
              </w:rPr>
              <w:t>3</w:t>
            </w:r>
            <w:r>
              <w:t xml:space="preserve"> associated with local irritation, breathing impairment and immunological responses in exposed workers. </w:t>
            </w:r>
            <w:r w:rsidR="00826BAB">
              <w:t xml:space="preserve">Contact of substance with hot surfaces produces fumes, which cause </w:t>
            </w:r>
            <w:r w:rsidR="00B202D1">
              <w:t>irritation and lung damage. In rats, effects observed at acute exposures of 0.17 mg/m</w:t>
            </w:r>
            <w:r w:rsidR="00B202D1">
              <w:rPr>
                <w:vertAlign w:val="superscript"/>
              </w:rPr>
              <w:t>3</w:t>
            </w:r>
            <w:r w:rsidR="00B202D1">
              <w:t xml:space="preserve"> or 0.1 mg/m</w:t>
            </w:r>
            <w:r w:rsidR="00B202D1">
              <w:rPr>
                <w:vertAlign w:val="superscript"/>
              </w:rPr>
              <w:t>3</w:t>
            </w:r>
            <w:r w:rsidR="00B202D1">
              <w:t xml:space="preserve"> after 1 wk.</w:t>
            </w:r>
            <w:r w:rsidR="00826BAB">
              <w:t xml:space="preserve"> Based on weight of evidence, provisional MAK of 0.04 mg/m</w:t>
            </w:r>
            <w:r w:rsidR="00826BAB">
              <w:rPr>
                <w:vertAlign w:val="superscript"/>
              </w:rPr>
              <w:t>3</w:t>
            </w:r>
            <w:r w:rsidR="00826BAB">
              <w:t xml:space="preserve"> considered protective of local </w:t>
            </w:r>
            <w:r w:rsidR="00B202D1">
              <w:t>irritation.</w:t>
            </w:r>
          </w:p>
          <w:p w14:paraId="1F9E85DE" w14:textId="08384A3F" w:rsidR="00826BAB" w:rsidRDefault="00B202D1" w:rsidP="003365A5">
            <w:pPr>
              <w:pStyle w:val="Tabletextprimarysource"/>
            </w:pPr>
            <w:r>
              <w:t>Classified as a respiratory sensitiser, acute high exposures should be avoided, peak limitation factor of 1 therefore recommended. Provisional MAK not considered protective of this effect.</w:t>
            </w:r>
          </w:p>
          <w:p w14:paraId="507313A7" w14:textId="34FD3C69" w:rsidR="00826BAB" w:rsidRDefault="00826BAB" w:rsidP="003365A5">
            <w:pPr>
              <w:pStyle w:val="Tabletextprimarysource"/>
            </w:pPr>
            <w:r>
              <w:t>Human data:</w:t>
            </w:r>
          </w:p>
          <w:p w14:paraId="61215ACD" w14:textId="20361B54" w:rsidR="00B202D1" w:rsidRDefault="00B202D1" w:rsidP="00B202D1">
            <w:pPr>
              <w:pStyle w:val="Tabletextprimarysource"/>
              <w:numPr>
                <w:ilvl w:val="0"/>
                <w:numId w:val="1"/>
              </w:numPr>
            </w:pPr>
            <w:r>
              <w:t>Air concentrations of 1.5–7.5 and 0.14–0.27 mg/m</w:t>
            </w:r>
            <w:r>
              <w:rPr>
                <w:vertAlign w:val="superscript"/>
              </w:rPr>
              <w:t>3</w:t>
            </w:r>
            <w:r>
              <w:t xml:space="preserve"> associated with adverse effects in </w:t>
            </w:r>
            <w:r w:rsidR="00B95D43">
              <w:t>2 </w:t>
            </w:r>
            <w:r>
              <w:t>workplace studies</w:t>
            </w:r>
            <w:r w:rsidR="00B816E9">
              <w:t>:</w:t>
            </w:r>
          </w:p>
          <w:p w14:paraId="77AD3941" w14:textId="5BB8D282" w:rsidR="00B202D1" w:rsidRDefault="00B202D1" w:rsidP="00847774">
            <w:pPr>
              <w:pStyle w:val="Tabletextprimarysource"/>
              <w:numPr>
                <w:ilvl w:val="1"/>
                <w:numId w:val="1"/>
              </w:numPr>
              <w:ind w:left="1159"/>
            </w:pPr>
            <w:r w:rsidRPr="00B202D1">
              <w:t>lower incidence of adverse effects reported at 0.14–0.27 mg/m</w:t>
            </w:r>
            <w:r w:rsidRPr="00B202D1">
              <w:rPr>
                <w:vertAlign w:val="superscript"/>
              </w:rPr>
              <w:t>3</w:t>
            </w:r>
            <w:r w:rsidRPr="00B202D1">
              <w:t xml:space="preserve"> following 2 </w:t>
            </w:r>
            <w:proofErr w:type="spellStart"/>
            <w:r w:rsidRPr="00B202D1">
              <w:t>yr</w:t>
            </w:r>
            <w:proofErr w:type="spellEnd"/>
            <w:r w:rsidRPr="00B202D1">
              <w:t xml:space="preserve"> of improved workplace conditions</w:t>
            </w:r>
            <w:r w:rsidR="00FB4CA1">
              <w:t xml:space="preserve"> (no further details provided)</w:t>
            </w:r>
          </w:p>
          <w:p w14:paraId="155206D7" w14:textId="7E60CC08" w:rsidR="00826BAB" w:rsidRDefault="00B202D1" w:rsidP="00B202D1">
            <w:pPr>
              <w:pStyle w:val="Tabletextprimarysource"/>
              <w:numPr>
                <w:ilvl w:val="0"/>
                <w:numId w:val="1"/>
              </w:numPr>
            </w:pPr>
            <w:r>
              <w:t>Irritation of mucous membranes, cough, breathing impairment and evidence for immunological re</w:t>
            </w:r>
            <w:r w:rsidR="00FB4CA1">
              <w:t>sponses in exposed workers (n=6, no further details provided)</w:t>
            </w:r>
          </w:p>
          <w:p w14:paraId="2671D6E6" w14:textId="56C3292D" w:rsidR="00B95D43" w:rsidRDefault="00FB4CA1" w:rsidP="00B202D1">
            <w:pPr>
              <w:pStyle w:val="Tabletextprimarysource"/>
              <w:numPr>
                <w:ilvl w:val="0"/>
                <w:numId w:val="1"/>
              </w:numPr>
            </w:pPr>
            <w:r>
              <w:t>Severe pulmonary impairment, haematopoietic disturbances, cough and lung infiltration reported in separate workplace study (no exposure details provided)</w:t>
            </w:r>
            <w:r w:rsidR="00B816E9">
              <w:t>:</w:t>
            </w:r>
            <w:r>
              <w:t xml:space="preserve"> </w:t>
            </w:r>
          </w:p>
          <w:p w14:paraId="16D77B8D" w14:textId="3D1D41CB" w:rsidR="00FB4CA1" w:rsidRDefault="00FB4CA1" w:rsidP="00B95D43">
            <w:pPr>
              <w:pStyle w:val="Tabletextprimarysource"/>
              <w:numPr>
                <w:ilvl w:val="0"/>
                <w:numId w:val="5"/>
              </w:numPr>
            </w:pPr>
            <w:r>
              <w:t>effects resolved at 3 </w:t>
            </w:r>
            <w:proofErr w:type="spellStart"/>
            <w:r>
              <w:t>wk</w:t>
            </w:r>
            <w:proofErr w:type="spellEnd"/>
            <w:r>
              <w:t xml:space="preserve"> and 1 </w:t>
            </w:r>
            <w:proofErr w:type="spellStart"/>
            <w:r>
              <w:t>yr</w:t>
            </w:r>
            <w:proofErr w:type="spellEnd"/>
            <w:r>
              <w:t xml:space="preserve"> follow-up</w:t>
            </w:r>
            <w:r w:rsidR="00847774">
              <w:t>.</w:t>
            </w:r>
          </w:p>
          <w:p w14:paraId="099F93CC" w14:textId="1886BFD0" w:rsidR="00FB4CA1" w:rsidRDefault="00FB4CA1" w:rsidP="00FB4CA1">
            <w:pPr>
              <w:pStyle w:val="Tabletextprimarysource"/>
            </w:pPr>
            <w:r>
              <w:t>Animal data:</w:t>
            </w:r>
          </w:p>
          <w:p w14:paraId="42C287A2" w14:textId="303B63CD" w:rsidR="00FB4CA1" w:rsidRDefault="00676531" w:rsidP="00FB4CA1">
            <w:pPr>
              <w:pStyle w:val="Tabletextprimarysource"/>
              <w:numPr>
                <w:ilvl w:val="0"/>
                <w:numId w:val="1"/>
              </w:numPr>
            </w:pPr>
            <w:r>
              <w:t>Focal haemorrhaging in lung tissue at 0.17 mg/m</w:t>
            </w:r>
            <w:r>
              <w:rPr>
                <w:vertAlign w:val="superscript"/>
              </w:rPr>
              <w:t>3</w:t>
            </w:r>
            <w:r>
              <w:t xml:space="preserve"> in repeat inhalation study with dose groups 0.17, 0.38 and 3.4 mg/m</w:t>
            </w:r>
            <w:r>
              <w:rPr>
                <w:vertAlign w:val="superscript"/>
              </w:rPr>
              <w:t>3</w:t>
            </w:r>
            <w:r>
              <w:t xml:space="preserve"> (rats, 6 h/d, 5 d/</w:t>
            </w:r>
            <w:proofErr w:type="spellStart"/>
            <w:r>
              <w:t>wk</w:t>
            </w:r>
            <w:proofErr w:type="spellEnd"/>
            <w:r>
              <w:t xml:space="preserve">, 2 </w:t>
            </w:r>
            <w:proofErr w:type="spellStart"/>
            <w:r>
              <w:t>wk</w:t>
            </w:r>
            <w:proofErr w:type="spellEnd"/>
            <w:r>
              <w:t>)</w:t>
            </w:r>
            <w:r w:rsidR="00727C9F">
              <w:t>:</w:t>
            </w:r>
          </w:p>
          <w:p w14:paraId="4685BC6F" w14:textId="77777777" w:rsidR="00192B17" w:rsidRDefault="00192B17" w:rsidP="00847774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extrapolated NAEC: 0.065 mg/m</w:t>
            </w:r>
            <w:r>
              <w:rPr>
                <w:vertAlign w:val="superscript"/>
              </w:rPr>
              <w:t>3</w:t>
            </w:r>
          </w:p>
          <w:p w14:paraId="3AB98C62" w14:textId="5B0DA7F1" w:rsidR="00192B17" w:rsidRDefault="00192B17" w:rsidP="00192B17">
            <w:pPr>
              <w:pStyle w:val="Tabletextprimarysource"/>
              <w:numPr>
                <w:ilvl w:val="0"/>
                <w:numId w:val="1"/>
              </w:numPr>
            </w:pPr>
            <w:r>
              <w:t>Focal haemorrhaging in lung tissue at 0.1 mg/m</w:t>
            </w:r>
            <w:r>
              <w:rPr>
                <w:vertAlign w:val="superscript"/>
              </w:rPr>
              <w:t>3</w:t>
            </w:r>
            <w:r>
              <w:rPr>
                <w:vertAlign w:val="subscript"/>
              </w:rPr>
              <w:t xml:space="preserve"> </w:t>
            </w:r>
            <w:r>
              <w:t>of smoke in repeat inhalation study (rats, 6 h/d, 5 d/</w:t>
            </w:r>
            <w:proofErr w:type="spellStart"/>
            <w:r>
              <w:t>wk</w:t>
            </w:r>
            <w:proofErr w:type="spellEnd"/>
            <w:r>
              <w:t xml:space="preserve">, 2 </w:t>
            </w:r>
            <w:proofErr w:type="spellStart"/>
            <w:r>
              <w:t>wk</w:t>
            </w:r>
            <w:proofErr w:type="spellEnd"/>
            <w:r>
              <w:t>); no lung changes observed after 1 wk</w:t>
            </w:r>
            <w:r w:rsidR="00847774">
              <w:t>.</w:t>
            </w:r>
          </w:p>
          <w:p w14:paraId="19A41F2E" w14:textId="77777777" w:rsidR="00B95D43" w:rsidRDefault="00B95D43" w:rsidP="00192B17">
            <w:pPr>
              <w:pStyle w:val="Tabletextprimarysource"/>
            </w:pPr>
          </w:p>
          <w:p w14:paraId="485EE827" w14:textId="77777777" w:rsidR="00192B17" w:rsidRDefault="00192B17" w:rsidP="00192B17">
            <w:pPr>
              <w:pStyle w:val="Tabletextprimarysource"/>
            </w:pPr>
            <w:r>
              <w:t>Insufficient data to recommend notations for carcinogenicity or skin absorption.</w:t>
            </w:r>
          </w:p>
          <w:p w14:paraId="0B42EFD7" w14:textId="484CE0F5" w:rsidR="00B95D43" w:rsidRPr="008F4865" w:rsidRDefault="00B95D43" w:rsidP="00192B17">
            <w:pPr>
              <w:pStyle w:val="Tabletextprimarysource"/>
            </w:pPr>
          </w:p>
        </w:tc>
      </w:tr>
      <w:tr w:rsidR="00C978F0" w:rsidRPr="00DA352E" w14:paraId="6B8BB458" w14:textId="77777777" w:rsidTr="009F7EB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89948D4" w14:textId="439B809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3979F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3979F8">
                  <w:t>NA</w:t>
                </w:r>
                <w:proofErr w:type="spellEnd"/>
              </w:sdtContent>
            </w:sdt>
          </w:p>
        </w:tc>
      </w:tr>
      <w:tr w:rsidR="00C978F0" w:rsidRPr="00DA352E" w14:paraId="36D832E8" w14:textId="77777777" w:rsidTr="009F7EBD">
        <w:trPr>
          <w:gridAfter w:val="1"/>
          <w:wAfter w:w="8" w:type="pct"/>
          <w:cantSplit/>
        </w:trPr>
        <w:tc>
          <w:tcPr>
            <w:tcW w:w="4992" w:type="pct"/>
          </w:tcPr>
          <w:p w14:paraId="6992912C" w14:textId="7379F0CF" w:rsidR="00C978F0" w:rsidRPr="00DA352E" w:rsidRDefault="00CC64B4" w:rsidP="003365A5">
            <w:pPr>
              <w:pStyle w:val="Tabletextprimarysource"/>
            </w:pPr>
            <w:r>
              <w:t>No report</w:t>
            </w:r>
            <w:r w:rsidR="00847774">
              <w:t>.</w:t>
            </w:r>
          </w:p>
        </w:tc>
      </w:tr>
      <w:tr w:rsidR="00DA352E" w:rsidRPr="00DA352E" w14:paraId="046A623E" w14:textId="77777777" w:rsidTr="009F7EB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25B3AB" w14:textId="1263752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C64B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C64B4">
                  <w:t>NA</w:t>
                </w:r>
                <w:proofErr w:type="spellEnd"/>
              </w:sdtContent>
            </w:sdt>
          </w:p>
        </w:tc>
      </w:tr>
      <w:tr w:rsidR="00DA352E" w:rsidRPr="00DA352E" w14:paraId="576DD4D9" w14:textId="77777777" w:rsidTr="009F7EBD">
        <w:trPr>
          <w:gridAfter w:val="1"/>
          <w:wAfter w:w="8" w:type="pct"/>
          <w:cantSplit/>
        </w:trPr>
        <w:tc>
          <w:tcPr>
            <w:tcW w:w="4992" w:type="pct"/>
          </w:tcPr>
          <w:p w14:paraId="0047A411" w14:textId="28182A77" w:rsidR="00DA352E" w:rsidRPr="00DA352E" w:rsidRDefault="00CC64B4" w:rsidP="003365A5">
            <w:pPr>
              <w:pStyle w:val="Tabletextprimarysource"/>
            </w:pPr>
            <w:r>
              <w:t>No report</w:t>
            </w:r>
            <w:r w:rsidR="00847774">
              <w:t>.</w:t>
            </w:r>
          </w:p>
        </w:tc>
      </w:tr>
      <w:tr w:rsidR="00DA352E" w:rsidRPr="00DA352E" w14:paraId="2151B2A2" w14:textId="77777777" w:rsidTr="009F7EB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B8B7D46" w14:textId="115CB49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979F8"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B6BE0">
                  <w:t>not established</w:t>
                </w:r>
              </w:sdtContent>
            </w:sdt>
          </w:p>
        </w:tc>
      </w:tr>
      <w:tr w:rsidR="00DA352E" w:rsidRPr="00DA352E" w14:paraId="40632BF3" w14:textId="77777777" w:rsidTr="009F7EBD">
        <w:trPr>
          <w:gridAfter w:val="1"/>
          <w:wAfter w:w="8" w:type="pct"/>
        </w:trPr>
        <w:tc>
          <w:tcPr>
            <w:tcW w:w="4992" w:type="pct"/>
          </w:tcPr>
          <w:p w14:paraId="31CBA0B2" w14:textId="77777777" w:rsidR="00DA352E" w:rsidRDefault="00192B17" w:rsidP="003365A5">
            <w:pPr>
              <w:pStyle w:val="Tabletextprimarysource"/>
            </w:pPr>
            <w:r>
              <w:t>Summary of additional information:</w:t>
            </w:r>
          </w:p>
          <w:p w14:paraId="2B0D4FF0" w14:textId="1AD0DA4F" w:rsidR="00192B17" w:rsidRDefault="00192B17" w:rsidP="003365A5">
            <w:pPr>
              <w:pStyle w:val="Tabletextprimarysource"/>
            </w:pPr>
            <w:r>
              <w:t xml:space="preserve">No </w:t>
            </w:r>
            <w:r w:rsidR="005B7B2F">
              <w:t>existing</w:t>
            </w:r>
            <w:r>
              <w:t xml:space="preserve"> </w:t>
            </w:r>
            <w:r w:rsidR="005B7B2F">
              <w:t>administrative</w:t>
            </w:r>
            <w:r>
              <w:t xml:space="preserve"> OEL available. Induction of allergenic effects considered the critical effect of exposure. </w:t>
            </w:r>
            <w:r w:rsidR="005B7B2F">
              <w:t xml:space="preserve">HBROEL not derived due to </w:t>
            </w:r>
            <w:r>
              <w:t xml:space="preserve">lack of accepted level of additional </w:t>
            </w:r>
            <w:r w:rsidR="005B7B2F">
              <w:t xml:space="preserve">sensitisation </w:t>
            </w:r>
            <w:r w:rsidR="005B7B2F">
              <w:lastRenderedPageBreak/>
              <w:t xml:space="preserve">risk in the Netherlands. Additional risk estimates based on </w:t>
            </w:r>
            <w:r w:rsidR="003445FC">
              <w:t xml:space="preserve">cohort study of exposed workers (n=286, also </w:t>
            </w:r>
            <w:r w:rsidR="00D131A1">
              <w:t xml:space="preserve">reported </w:t>
            </w:r>
            <w:r w:rsidR="003445FC">
              <w:t>by ACGIH, 2018)</w:t>
            </w:r>
            <w:r w:rsidR="00B816E9">
              <w:t>:</w:t>
            </w:r>
          </w:p>
          <w:p w14:paraId="53506F35" w14:textId="77777777" w:rsidR="003445FC" w:rsidRDefault="003445FC" w:rsidP="003445FC">
            <w:pPr>
              <w:pStyle w:val="Tabletextprimarysource"/>
              <w:numPr>
                <w:ilvl w:val="0"/>
                <w:numId w:val="1"/>
              </w:numPr>
            </w:pPr>
            <w:r>
              <w:t>10% incidence of substance-specific sensitisation estimated from fitted dose-response curve at 18 µg/m</w:t>
            </w:r>
            <w:r>
              <w:rPr>
                <w:vertAlign w:val="superscript"/>
              </w:rPr>
              <w:t>3</w:t>
            </w:r>
          </w:p>
          <w:p w14:paraId="19766E60" w14:textId="717080D8" w:rsidR="003445FC" w:rsidRDefault="003445FC" w:rsidP="003445FC">
            <w:pPr>
              <w:pStyle w:val="Tabletextprimarysource"/>
              <w:numPr>
                <w:ilvl w:val="0"/>
                <w:numId w:val="1"/>
              </w:numPr>
            </w:pPr>
            <w:r>
              <w:t>18 µg/m</w:t>
            </w:r>
            <w:r>
              <w:rPr>
                <w:vertAlign w:val="superscript"/>
              </w:rPr>
              <w:t>3</w:t>
            </w:r>
            <w:r>
              <w:t xml:space="preserve"> used as point of departure for linear extrapolation to 1 and 0.1% predicted sensitisation incidence risk</w:t>
            </w:r>
            <w:r w:rsidR="00727C9F">
              <w:t>:</w:t>
            </w:r>
          </w:p>
          <w:p w14:paraId="1AE72721" w14:textId="77777777" w:rsidR="003445FC" w:rsidRDefault="003445FC" w:rsidP="003445FC">
            <w:pPr>
              <w:pStyle w:val="Tabletextprimarysource"/>
              <w:numPr>
                <w:ilvl w:val="1"/>
                <w:numId w:val="1"/>
              </w:numPr>
            </w:pPr>
            <w:r>
              <w:t>1.8 µg/m</w:t>
            </w:r>
            <w:r>
              <w:rPr>
                <w:vertAlign w:val="superscript"/>
              </w:rPr>
              <w:t>3</w:t>
            </w:r>
            <w:r>
              <w:t xml:space="preserve"> (1% increased risk); 0.18 µg/m</w:t>
            </w:r>
            <w:r>
              <w:rPr>
                <w:vertAlign w:val="superscript"/>
              </w:rPr>
              <w:t>3</w:t>
            </w:r>
            <w:r>
              <w:t xml:space="preserve"> (0.1% increased risk)</w:t>
            </w:r>
            <w:r w:rsidR="00847774">
              <w:t>.</w:t>
            </w:r>
          </w:p>
          <w:p w14:paraId="563EC046" w14:textId="2D5116DF" w:rsidR="00B95D43" w:rsidRPr="00DA352E" w:rsidRDefault="00B95D43" w:rsidP="00B95D43">
            <w:pPr>
              <w:pStyle w:val="Tabletextprimarysource"/>
            </w:pPr>
          </w:p>
        </w:tc>
      </w:tr>
    </w:tbl>
    <w:p w14:paraId="3799E00C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8"/>
        <w:gridCol w:w="422"/>
        <w:gridCol w:w="661"/>
        <w:gridCol w:w="6455"/>
      </w:tblGrid>
      <w:tr w:rsidR="004966BF" w:rsidRPr="00263255" w14:paraId="3DA3687C" w14:textId="77777777" w:rsidTr="009F7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2534ECE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7A700FE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81F42E0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5" w:type="dxa"/>
            <w:shd w:val="clear" w:color="auto" w:fill="BFBFBF" w:themeFill="background1" w:themeFillShade="BF"/>
            <w:vAlign w:val="center"/>
          </w:tcPr>
          <w:p w14:paraId="22554E23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035D8CE" w14:textId="77777777" w:rsidTr="009F7EBD">
        <w:trPr>
          <w:cantSplit/>
        </w:trPr>
        <w:tc>
          <w:tcPr>
            <w:tcW w:w="1488" w:type="dxa"/>
          </w:tcPr>
          <w:p w14:paraId="592FFD7C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211C5710" w14:textId="3ABD677F" w:rsidR="004966BF" w:rsidRPr="00CE617F" w:rsidRDefault="009F7EB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4459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744D28F" w14:textId="750D2C27" w:rsidR="004966BF" w:rsidRPr="004C23F4" w:rsidRDefault="00E4459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55" w:type="dxa"/>
          </w:tcPr>
          <w:p w14:paraId="1887F59A" w14:textId="39EA9BEB" w:rsidR="004966BF" w:rsidRDefault="00C65467" w:rsidP="00B95D43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>Critical effect is</w:t>
            </w:r>
            <w:r w:rsidR="00E4459E" w:rsidRPr="00E4459E">
              <w:rPr>
                <w:rFonts w:cs="Arial"/>
              </w:rPr>
              <w:t xml:space="preserve"> respiratory sensitisation</w:t>
            </w:r>
            <w:r w:rsidR="00C21CC7">
              <w:rPr>
                <w:rFonts w:cs="Arial"/>
              </w:rPr>
              <w:t>; exposure may also cause</w:t>
            </w:r>
            <w:r w:rsidR="00E4459E" w:rsidRPr="00E4459E">
              <w:rPr>
                <w:rFonts w:cs="Arial"/>
              </w:rPr>
              <w:t xml:space="preserve"> eye and respiratory tract irritation and skin sensitisation</w:t>
            </w:r>
          </w:p>
          <w:p w14:paraId="2273AA3E" w14:textId="5953BBF3" w:rsidR="00C21CC7" w:rsidRDefault="00C21CC7" w:rsidP="00B95D43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4459E" w:rsidRPr="00E4459E">
              <w:rPr>
                <w:rFonts w:cs="Arial"/>
              </w:rPr>
              <w:t xml:space="preserve">resence of a solvent increases the dermal sensitisation potential </w:t>
            </w:r>
            <w:r>
              <w:rPr>
                <w:rFonts w:cs="Arial"/>
              </w:rPr>
              <w:t>in studies with rodents</w:t>
            </w:r>
            <w:r w:rsidR="00E907EF">
              <w:rPr>
                <w:rFonts w:cs="Arial"/>
              </w:rPr>
              <w:t>:</w:t>
            </w:r>
          </w:p>
          <w:p w14:paraId="2C127991" w14:textId="6A83A0D1" w:rsidR="00E4459E" w:rsidRDefault="00E4459E" w:rsidP="00B95D43">
            <w:pPr>
              <w:pStyle w:val="Tablefont"/>
              <w:numPr>
                <w:ilvl w:val="1"/>
                <w:numId w:val="1"/>
              </w:numPr>
              <w:spacing w:before="60" w:after="60"/>
              <w:ind w:left="1149" w:hanging="357"/>
              <w:rPr>
                <w:rFonts w:cs="Arial"/>
              </w:rPr>
            </w:pPr>
            <w:r w:rsidRPr="00E4459E">
              <w:rPr>
                <w:rFonts w:cs="Arial"/>
              </w:rPr>
              <w:t xml:space="preserve">under conditions of </w:t>
            </w:r>
            <w:r w:rsidR="00C21CC7" w:rsidRPr="00E4459E">
              <w:rPr>
                <w:rFonts w:cs="Arial"/>
              </w:rPr>
              <w:t xml:space="preserve">normal </w:t>
            </w:r>
            <w:r w:rsidRPr="00E4459E">
              <w:rPr>
                <w:rFonts w:cs="Arial"/>
              </w:rPr>
              <w:t xml:space="preserve">manufacture and use, </w:t>
            </w:r>
            <w:r w:rsidR="00C21CC7">
              <w:rPr>
                <w:rFonts w:cs="Arial"/>
              </w:rPr>
              <w:t xml:space="preserve">substance unlikely to be used in a solvent and should </w:t>
            </w:r>
            <w:r w:rsidRPr="00E4459E">
              <w:rPr>
                <w:rFonts w:cs="Arial"/>
              </w:rPr>
              <w:t>be considered a potential dermal sensitiser</w:t>
            </w:r>
          </w:p>
          <w:p w14:paraId="6F8E22EB" w14:textId="39C30847" w:rsidR="00E4459E" w:rsidRDefault="00E4459E" w:rsidP="00B95D43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 xml:space="preserve">Dermal </w:t>
            </w:r>
            <w:r w:rsidRPr="00E4459E">
              <w:rPr>
                <w:rFonts w:cs="Arial"/>
              </w:rPr>
              <w:t>LD</w:t>
            </w:r>
            <w:r w:rsidRPr="00C21CC7">
              <w:rPr>
                <w:rFonts w:cs="Arial"/>
                <w:vertAlign w:val="subscript"/>
              </w:rPr>
              <w:t>50</w:t>
            </w:r>
            <w:r w:rsidRPr="00E4459E">
              <w:rPr>
                <w:rFonts w:cs="Arial"/>
              </w:rPr>
              <w:t xml:space="preserve"> </w:t>
            </w:r>
            <w:r w:rsidR="00C21CC7">
              <w:rPr>
                <w:rFonts w:cs="Arial"/>
              </w:rPr>
              <w:t>&gt;2</w:t>
            </w:r>
            <w:r w:rsidR="007C4DD6">
              <w:rPr>
                <w:rFonts w:cs="Arial"/>
              </w:rPr>
              <w:t>,</w:t>
            </w:r>
            <w:r w:rsidR="00C21CC7">
              <w:rPr>
                <w:rFonts w:cs="Arial"/>
              </w:rPr>
              <w:t xml:space="preserve">000 mg/kg (rabbits), </w:t>
            </w:r>
            <w:r w:rsidRPr="00E4459E">
              <w:rPr>
                <w:rFonts w:cs="Arial"/>
              </w:rPr>
              <w:t xml:space="preserve">5,600 mg/kg </w:t>
            </w:r>
            <w:r w:rsidR="00C21CC7">
              <w:rPr>
                <w:rFonts w:cs="Arial"/>
              </w:rPr>
              <w:t>(rats)</w:t>
            </w:r>
          </w:p>
          <w:p w14:paraId="064E9850" w14:textId="1F29A104" w:rsidR="00E4459E" w:rsidRPr="004C23F4" w:rsidRDefault="00C21CC7" w:rsidP="00B95D43">
            <w:pPr>
              <w:pStyle w:val="Tablefont"/>
              <w:numPr>
                <w:ilvl w:val="0"/>
                <w:numId w:val="1"/>
              </w:numPr>
              <w:spacing w:before="60" w:after="60"/>
              <w:ind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 xml:space="preserve">Consistently negative mutagenicity results </w:t>
            </w:r>
            <w:r>
              <w:rPr>
                <w:rFonts w:cs="Arial"/>
                <w:i/>
              </w:rPr>
              <w:t xml:space="preserve">in </w:t>
            </w:r>
            <w:r w:rsidRPr="00C21CC7">
              <w:rPr>
                <w:rFonts w:cs="Arial"/>
                <w:i/>
              </w:rPr>
              <w:t>vitro</w:t>
            </w:r>
            <w:r>
              <w:rPr>
                <w:rFonts w:cs="Arial"/>
              </w:rPr>
              <w:t xml:space="preserve"> with bacteri</w:t>
            </w:r>
            <w:r w:rsidR="00847774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and Chinese hamster ovary cells</w:t>
            </w:r>
            <w:r w:rsidR="00847774">
              <w:rPr>
                <w:rFonts w:cs="Arial"/>
              </w:rPr>
              <w:t>.</w:t>
            </w:r>
          </w:p>
        </w:tc>
      </w:tr>
      <w:tr w:rsidR="004966BF" w:rsidRPr="004C23F4" w14:paraId="455E8FFC" w14:textId="77777777" w:rsidTr="009F7EBD">
        <w:trPr>
          <w:cantSplit/>
        </w:trPr>
        <w:tc>
          <w:tcPr>
            <w:tcW w:w="1488" w:type="dxa"/>
          </w:tcPr>
          <w:p w14:paraId="1702342C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4A982C2A" w14:textId="7916F932" w:rsidR="004966BF" w:rsidRPr="00CE617F" w:rsidRDefault="009F7EB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522D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AE3193B" w14:textId="7CB193A9" w:rsidR="004966BF" w:rsidRPr="004C23F4" w:rsidRDefault="00C522D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55" w:type="dxa"/>
          </w:tcPr>
          <w:p w14:paraId="054BBB56" w14:textId="1B12E6DB" w:rsidR="004966BF" w:rsidRPr="004C23F4" w:rsidRDefault="00C522DC" w:rsidP="00B95D4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High hazard; no long-term or short-term DNELs recommended</w:t>
            </w:r>
            <w:r w:rsidR="00847774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59DD8E66" w14:textId="77777777" w:rsidTr="009F7EBD">
        <w:trPr>
          <w:cantSplit/>
        </w:trPr>
        <w:tc>
          <w:tcPr>
            <w:tcW w:w="1488" w:type="dxa"/>
          </w:tcPr>
          <w:p w14:paraId="57C683CC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2" w:type="dxa"/>
          </w:tcPr>
          <w:p w14:paraId="75BB0D5C" w14:textId="559C7D71" w:rsidR="004966BF" w:rsidRPr="00CE617F" w:rsidRDefault="009F7EB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4459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3FC83FA" w14:textId="6833B083" w:rsidR="004966BF" w:rsidRPr="004C23F4" w:rsidRDefault="00E4459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2002</w:t>
            </w:r>
          </w:p>
        </w:tc>
        <w:tc>
          <w:tcPr>
            <w:tcW w:w="6455" w:type="dxa"/>
          </w:tcPr>
          <w:p w14:paraId="06BC5E73" w14:textId="7C3CAE94" w:rsidR="00E4459E" w:rsidRDefault="00E4459E" w:rsidP="00B95D4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Grouped assessment with </w:t>
            </w:r>
            <w:proofErr w:type="spellStart"/>
            <w:r>
              <w:rPr>
                <w:rFonts w:cs="Arial"/>
              </w:rPr>
              <w:t>t</w:t>
            </w:r>
            <w:r w:rsidRPr="00E4459E">
              <w:rPr>
                <w:rFonts w:cs="Arial"/>
              </w:rPr>
              <w:t>rimellitic</w:t>
            </w:r>
            <w:proofErr w:type="spellEnd"/>
            <w:r w:rsidRPr="00E4459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  <w:r w:rsidRPr="00E4459E">
              <w:rPr>
                <w:rFonts w:cs="Arial"/>
              </w:rPr>
              <w:t>cid</w:t>
            </w:r>
          </w:p>
          <w:p w14:paraId="473107EE" w14:textId="6DAF0B06" w:rsidR="00E4459E" w:rsidRDefault="00C21CC7" w:rsidP="00B95D4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E4459E" w:rsidRPr="00E4459E">
              <w:rPr>
                <w:rFonts w:cs="Arial"/>
              </w:rPr>
              <w:t xml:space="preserve">levated antibody levels and lung foci </w:t>
            </w:r>
            <w:r>
              <w:rPr>
                <w:rFonts w:cs="Arial"/>
              </w:rPr>
              <w:t>at 0.002–0.054 mg/m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in sub</w:t>
            </w:r>
            <w:r w:rsidR="00EB57BE">
              <w:rPr>
                <w:rFonts w:cs="Arial"/>
              </w:rPr>
              <w:t>-</w:t>
            </w:r>
            <w:r>
              <w:rPr>
                <w:rFonts w:cs="Arial"/>
              </w:rPr>
              <w:t xml:space="preserve">chronic inhalation study (rats, 13 </w:t>
            </w:r>
            <w:proofErr w:type="spellStart"/>
            <w:r>
              <w:rPr>
                <w:rFonts w:cs="Arial"/>
              </w:rPr>
              <w:t>wk</w:t>
            </w:r>
            <w:proofErr w:type="spellEnd"/>
            <w:r>
              <w:rPr>
                <w:rFonts w:cs="Arial"/>
              </w:rPr>
              <w:t>, no further details on exposure provided); NOAEC not determined in this study</w:t>
            </w:r>
          </w:p>
          <w:p w14:paraId="295FC38C" w14:textId="3F2F0F37" w:rsidR="00E4459E" w:rsidRPr="004C23F4" w:rsidRDefault="00C21CC7" w:rsidP="00B95D4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t xml:space="preserve">Non-mutagenic in 3 </w:t>
            </w:r>
            <w:r>
              <w:rPr>
                <w:i/>
              </w:rPr>
              <w:t xml:space="preserve">in vitro </w:t>
            </w:r>
            <w:r>
              <w:t xml:space="preserve">studies with bacteria and mammalian cells; no </w:t>
            </w:r>
            <w:r>
              <w:rPr>
                <w:i/>
              </w:rPr>
              <w:t>in vivo</w:t>
            </w:r>
            <w:r>
              <w:t xml:space="preserve"> data were available</w:t>
            </w:r>
            <w:r w:rsidR="00847774">
              <w:t>.</w:t>
            </w:r>
          </w:p>
        </w:tc>
        <w:bookmarkStart w:id="1" w:name="_GoBack"/>
        <w:bookmarkEnd w:id="1"/>
      </w:tr>
    </w:tbl>
    <w:bookmarkEnd w:id="0"/>
    <w:p w14:paraId="00AA634F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0FD5AC3" w14:textId="77777777" w:rsidTr="00354E14">
        <w:trPr>
          <w:trHeight w:val="454"/>
          <w:tblHeader/>
        </w:trPr>
        <w:tc>
          <w:tcPr>
            <w:tcW w:w="6603" w:type="dxa"/>
            <w:vAlign w:val="center"/>
          </w:tcPr>
          <w:p w14:paraId="23B08CC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715F8FA" w14:textId="1E475293" w:rsidR="002E0D61" w:rsidRDefault="00354E1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01D2F14" w14:textId="77777777" w:rsidTr="00354E14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46C09FA0" w14:textId="1F8113E2" w:rsidR="008A36CF" w:rsidRPr="006901A2" w:rsidRDefault="00354E14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66B886E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42741028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7A7180D" w14:textId="77777777" w:rsidTr="009F7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99C96D5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7537473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12270D8" w14:textId="77777777" w:rsidTr="009F7EBD">
        <w:trPr>
          <w:cantSplit/>
        </w:trPr>
        <w:tc>
          <w:tcPr>
            <w:tcW w:w="3227" w:type="dxa"/>
          </w:tcPr>
          <w:p w14:paraId="50526E0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55320EA" w14:textId="39E893FF" w:rsidR="00687890" w:rsidRPr="00DD2F9B" w:rsidRDefault="00C522DC" w:rsidP="00DD2F9B">
            <w:pPr>
              <w:pStyle w:val="Tablefont"/>
            </w:pPr>
            <w:r>
              <w:t>Sen</w:t>
            </w:r>
          </w:p>
        </w:tc>
      </w:tr>
      <w:tr w:rsidR="007925F0" w:rsidRPr="004C23F4" w14:paraId="5CBDC37A" w14:textId="77777777" w:rsidTr="009F7EBD">
        <w:trPr>
          <w:cantSplit/>
        </w:trPr>
        <w:tc>
          <w:tcPr>
            <w:tcW w:w="3227" w:type="dxa"/>
          </w:tcPr>
          <w:p w14:paraId="01500562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5EB3E31" w14:textId="3A525AD7" w:rsidR="007925F0" w:rsidRPr="00DD2F9B" w:rsidRDefault="00C522DC" w:rsidP="00DD2F9B">
            <w:pPr>
              <w:pStyle w:val="Tablefont"/>
            </w:pPr>
            <w:r w:rsidRPr="00C522DC">
              <w:t>Respiratory sensitisation – category 1</w:t>
            </w:r>
            <w:r>
              <w:t xml:space="preserve">, </w:t>
            </w:r>
            <w:r w:rsidR="005B30EC" w:rsidRPr="005B30EC">
              <w:t>Skin sensitisation – category 1</w:t>
            </w:r>
          </w:p>
        </w:tc>
      </w:tr>
      <w:tr w:rsidR="00AF483F" w:rsidRPr="004C23F4" w14:paraId="37418F0B" w14:textId="77777777" w:rsidTr="009F7EBD">
        <w:trPr>
          <w:cantSplit/>
        </w:trPr>
        <w:tc>
          <w:tcPr>
            <w:tcW w:w="3227" w:type="dxa"/>
          </w:tcPr>
          <w:p w14:paraId="7701176D" w14:textId="77777777" w:rsidR="00AF483F" w:rsidRPr="004455BB" w:rsidRDefault="00AF483F" w:rsidP="00F4402E">
            <w:pPr>
              <w:pStyle w:val="Tablefont"/>
            </w:pPr>
            <w:r w:rsidRPr="004455BB">
              <w:t>NICNAS</w:t>
            </w:r>
          </w:p>
        </w:tc>
        <w:tc>
          <w:tcPr>
            <w:tcW w:w="6015" w:type="dxa"/>
          </w:tcPr>
          <w:p w14:paraId="7FECB751" w14:textId="4DEB556D" w:rsidR="00AF483F" w:rsidRPr="004455BB" w:rsidRDefault="004455BB" w:rsidP="00DD2F9B">
            <w:pPr>
              <w:pStyle w:val="Tablefont"/>
            </w:pPr>
            <w:r w:rsidRPr="004455BB">
              <w:t>Respiratory sensitisation – category 1, Skin sensitisation – category 1</w:t>
            </w:r>
          </w:p>
        </w:tc>
      </w:tr>
      <w:tr w:rsidR="00687890" w:rsidRPr="004C23F4" w14:paraId="395B5C76" w14:textId="77777777" w:rsidTr="009F7EBD">
        <w:trPr>
          <w:cantSplit/>
        </w:trPr>
        <w:tc>
          <w:tcPr>
            <w:tcW w:w="3227" w:type="dxa"/>
          </w:tcPr>
          <w:p w14:paraId="69197322" w14:textId="77777777" w:rsidR="004079B4" w:rsidRPr="004C23F4" w:rsidRDefault="00687890" w:rsidP="00F4402E">
            <w:pPr>
              <w:pStyle w:val="Tablefont"/>
            </w:pPr>
            <w:r w:rsidRPr="004C23F4">
              <w:lastRenderedPageBreak/>
              <w:t>EU Annex</w:t>
            </w:r>
          </w:p>
        </w:tc>
        <w:tc>
          <w:tcPr>
            <w:tcW w:w="6015" w:type="dxa"/>
          </w:tcPr>
          <w:p w14:paraId="1062CCE6" w14:textId="04D47301" w:rsidR="00687890" w:rsidRPr="00DD2F9B" w:rsidRDefault="00C522DC" w:rsidP="00BE6126">
            <w:r w:rsidRPr="00C522DC">
              <w:t>Respiratory sensitisation – category 1</w:t>
            </w:r>
            <w:r>
              <w:t xml:space="preserve">, </w:t>
            </w:r>
            <w:r w:rsidR="00BE6126">
              <w:t>Skin sensitisation – category 1</w:t>
            </w:r>
          </w:p>
        </w:tc>
      </w:tr>
      <w:tr w:rsidR="00E41A26" w:rsidRPr="004C23F4" w14:paraId="5F4D78BF" w14:textId="77777777" w:rsidTr="009F7EBD">
        <w:trPr>
          <w:cantSplit/>
        </w:trPr>
        <w:tc>
          <w:tcPr>
            <w:tcW w:w="3227" w:type="dxa"/>
          </w:tcPr>
          <w:p w14:paraId="00F6EA98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B9286E3" w14:textId="18147B54" w:rsidR="00E41A26" w:rsidRPr="00DD2F9B" w:rsidRDefault="00C522DC" w:rsidP="00DD2F9B">
            <w:pPr>
              <w:pStyle w:val="Tablefont"/>
            </w:pPr>
            <w:r w:rsidRPr="00C522DC">
              <w:t>Skin Sens. 1</w:t>
            </w:r>
          </w:p>
        </w:tc>
      </w:tr>
      <w:tr w:rsidR="002E0D61" w:rsidRPr="004C23F4" w14:paraId="5704125A" w14:textId="77777777" w:rsidTr="009F7EBD">
        <w:trPr>
          <w:cantSplit/>
        </w:trPr>
        <w:tc>
          <w:tcPr>
            <w:tcW w:w="3227" w:type="dxa"/>
          </w:tcPr>
          <w:p w14:paraId="3A1E2B4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26E92D7" w14:textId="77777777" w:rsidR="002E0D61" w:rsidRPr="00DD2F9B" w:rsidRDefault="00B85964" w:rsidP="00DD2F9B">
            <w:pPr>
              <w:pStyle w:val="Tablefont"/>
            </w:pPr>
            <w:r>
              <w:t>Skin, DSEN, RSEN</w:t>
            </w:r>
          </w:p>
        </w:tc>
      </w:tr>
      <w:tr w:rsidR="002E0D61" w:rsidRPr="004C23F4" w14:paraId="7964BD5F" w14:textId="77777777" w:rsidTr="009F7EBD">
        <w:trPr>
          <w:cantSplit/>
        </w:trPr>
        <w:tc>
          <w:tcPr>
            <w:tcW w:w="3227" w:type="dxa"/>
          </w:tcPr>
          <w:p w14:paraId="5240F52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10935E1" w14:textId="77777777" w:rsidR="002E0D61" w:rsidRPr="00DD2F9B" w:rsidRDefault="00F06DFF" w:rsidP="00DD2F9B">
            <w:pPr>
              <w:pStyle w:val="Tablefont"/>
            </w:pPr>
            <w:r w:rsidRPr="00F06DFF">
              <w:t>Sa (respiratory sensitiser)</w:t>
            </w:r>
          </w:p>
        </w:tc>
      </w:tr>
      <w:tr w:rsidR="002E0D61" w:rsidRPr="004C23F4" w14:paraId="544B2EFA" w14:textId="77777777" w:rsidTr="009F7EBD">
        <w:trPr>
          <w:cantSplit/>
        </w:trPr>
        <w:tc>
          <w:tcPr>
            <w:tcW w:w="3227" w:type="dxa"/>
          </w:tcPr>
          <w:p w14:paraId="28C1CE0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E0A1818" w14:textId="710F9F76" w:rsidR="002E0D61" w:rsidRPr="00DD2F9B" w:rsidRDefault="00BE612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F58445B" w14:textId="77777777" w:rsidTr="009F7EBD">
        <w:trPr>
          <w:cantSplit/>
        </w:trPr>
        <w:tc>
          <w:tcPr>
            <w:tcW w:w="3227" w:type="dxa"/>
          </w:tcPr>
          <w:p w14:paraId="635619FD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92FF1B2" w14:textId="0B085777" w:rsidR="002E0D61" w:rsidRPr="00DD2F9B" w:rsidRDefault="003979F8" w:rsidP="00DD2F9B">
            <w:pPr>
              <w:pStyle w:val="Tablefont"/>
            </w:pPr>
            <w:r w:rsidRPr="003979F8">
              <w:t>Respiratory sensitiser</w:t>
            </w:r>
          </w:p>
        </w:tc>
      </w:tr>
      <w:tr w:rsidR="00386093" w:rsidRPr="004C23F4" w14:paraId="56181337" w14:textId="77777777" w:rsidTr="009F7EBD">
        <w:trPr>
          <w:cantSplit/>
        </w:trPr>
        <w:tc>
          <w:tcPr>
            <w:tcW w:w="3227" w:type="dxa"/>
          </w:tcPr>
          <w:p w14:paraId="3843394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5F9AABF" w14:textId="6F98BE11" w:rsidR="00386093" w:rsidRPr="00DD2F9B" w:rsidRDefault="00BE612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A8A6789" w14:textId="77777777" w:rsidTr="009F7EBD">
        <w:trPr>
          <w:cantSplit/>
        </w:trPr>
        <w:tc>
          <w:tcPr>
            <w:tcW w:w="3227" w:type="dxa"/>
          </w:tcPr>
          <w:p w14:paraId="74A5F6CD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DF9FDCD" w14:textId="23C6A5FC" w:rsidR="00386093" w:rsidRPr="00DD2F9B" w:rsidRDefault="00BE612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4AB29FE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1AC3B8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F22119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7756EA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AB3EA4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723"/>
              <w:gridCol w:w="1051"/>
              <w:gridCol w:w="791"/>
              <w:gridCol w:w="3245"/>
            </w:tblGrid>
            <w:tr w:rsidR="00E4459E" w:rsidRPr="00E4459E" w14:paraId="2AA26B68" w14:textId="77777777" w:rsidTr="00E4459E">
              <w:trPr>
                <w:trHeight w:val="123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E07EDA" w14:textId="77777777" w:rsidR="00E4459E" w:rsidRPr="00E4459E" w:rsidRDefault="00E4459E" w:rsidP="00E445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36F3980" w14:textId="77777777" w:rsidR="00E4459E" w:rsidRPr="00E4459E" w:rsidRDefault="00E4459E" w:rsidP="00E445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FDC834" w14:textId="77777777" w:rsidR="00E4459E" w:rsidRPr="00E4459E" w:rsidRDefault="00E4459E" w:rsidP="00E445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F65186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459E" w:rsidRPr="00E4459E" w14:paraId="7EF5C34C" w14:textId="77777777" w:rsidTr="00E4459E">
              <w:trPr>
                <w:trHeight w:val="123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FF3392" w14:textId="77777777" w:rsidR="00E4459E" w:rsidRPr="00E4459E" w:rsidRDefault="00E4459E" w:rsidP="00E445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6A4A1E" w14:textId="77777777" w:rsidR="00E4459E" w:rsidRPr="00E4459E" w:rsidRDefault="00E4459E" w:rsidP="00E445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AA582F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05E381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459E" w:rsidRPr="00E4459E" w14:paraId="59E418E4" w14:textId="77777777" w:rsidTr="00E4459E">
              <w:trPr>
                <w:trHeight w:val="123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5228FB" w14:textId="77777777" w:rsidR="00E4459E" w:rsidRPr="00E4459E" w:rsidRDefault="00E4459E" w:rsidP="00E445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FAEE17" w14:textId="77777777" w:rsidR="00E4459E" w:rsidRPr="00E4459E" w:rsidRDefault="00E4459E" w:rsidP="00E445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8CB814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7EBB4C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459E" w:rsidRPr="00E4459E" w14:paraId="3F2558E4" w14:textId="77777777" w:rsidTr="00E4459E">
              <w:trPr>
                <w:trHeight w:val="123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9BCB35" w14:textId="77777777" w:rsidR="00E4459E" w:rsidRPr="00E4459E" w:rsidRDefault="00E4459E" w:rsidP="00E445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CF64B4" w14:textId="77777777" w:rsidR="00E4459E" w:rsidRPr="00E4459E" w:rsidRDefault="00E4459E" w:rsidP="00E445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572CEE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634A47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459E" w:rsidRPr="00E4459E" w14:paraId="7358F066" w14:textId="77777777" w:rsidTr="00E4459E">
              <w:trPr>
                <w:trHeight w:val="123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CFE72A" w14:textId="77777777" w:rsidR="00E4459E" w:rsidRPr="00E4459E" w:rsidRDefault="00E4459E" w:rsidP="00E445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E402E9" w14:textId="77777777" w:rsidR="00E4459E" w:rsidRPr="00E4459E" w:rsidRDefault="00E4459E" w:rsidP="00E445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507785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05D8BF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459E" w:rsidRPr="00E4459E" w14:paraId="0E330FC0" w14:textId="77777777" w:rsidTr="00E4459E">
              <w:trPr>
                <w:trHeight w:val="123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0B712A" w14:textId="77777777" w:rsidR="00E4459E" w:rsidRPr="00E4459E" w:rsidRDefault="00E4459E" w:rsidP="00E445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0138B0" w14:textId="77777777" w:rsidR="00E4459E" w:rsidRPr="00E4459E" w:rsidRDefault="00E4459E" w:rsidP="00E445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E8AF5F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9CBE07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4459E" w:rsidRPr="00E4459E" w14:paraId="77E0F6F0" w14:textId="77777777" w:rsidTr="00E4459E">
              <w:trPr>
                <w:trHeight w:val="123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F0004E" w14:textId="77777777" w:rsidR="00E4459E" w:rsidRPr="00E4459E" w:rsidRDefault="00E4459E" w:rsidP="00E445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489C16" w14:textId="77777777" w:rsidR="00E4459E" w:rsidRPr="00E4459E" w:rsidRDefault="00E4459E" w:rsidP="00E445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98B31C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1C1F13" w14:textId="77777777" w:rsidR="00E4459E" w:rsidRPr="00E4459E" w:rsidRDefault="00E4459E" w:rsidP="00E4459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E4459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1909DEC5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532FA74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D09050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630D71C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AB92D3A" w14:textId="2134C076" w:rsidR="00EB3D1B" w:rsidRDefault="00647CB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4E12BA3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36E9483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F7F375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E7B9AAB" w14:textId="77777777" w:rsidR="001B79E5" w:rsidRDefault="00C66D4F" w:rsidP="001B79E5">
                <w:pPr>
                  <w:pStyle w:val="Tablefont"/>
                </w:pPr>
                <w:r>
                  <w:t>192.12</w:t>
                </w:r>
              </w:p>
            </w:tc>
          </w:sdtContent>
        </w:sdt>
      </w:tr>
      <w:tr w:rsidR="00A31D99" w:rsidRPr="004C23F4" w14:paraId="23A516B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E846BB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925A12D" w14:textId="19209F33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176EAF">
                  <w:t>7.86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</w:t>
            </w:r>
            <w:r w:rsidRPr="00C93272">
              <w:rPr>
                <w:color w:val="000000" w:themeColor="text1"/>
              </w:rPr>
              <w:t>m</w:t>
            </w:r>
            <w:r w:rsidRPr="00C93272">
              <w:rPr>
                <w:color w:val="000000" w:themeColor="text1"/>
                <w:vertAlign w:val="superscript"/>
              </w:rPr>
              <w:t>3</w:t>
            </w:r>
            <w:r w:rsidRPr="00C93272">
              <w:rPr>
                <w:color w:val="000000" w:themeColor="text1"/>
              </w:rPr>
              <w:t xml:space="preserve"> = </w:t>
            </w:r>
            <w:sdt>
              <w:sdtPr>
                <w:rPr>
                  <w:color w:val="000000" w:themeColor="text1"/>
                </w:r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9B6983" w:rsidRPr="00C93272">
                  <w:rPr>
                    <w:color w:val="000000" w:themeColor="text1"/>
                  </w:rPr>
                  <w:t>0.13</w:t>
                </w:r>
              </w:sdtContent>
            </w:sdt>
            <w:r w:rsidRPr="00C93272">
              <w:rPr>
                <w:color w:val="000000" w:themeColor="text1"/>
              </w:rPr>
              <w:t xml:space="preserve"> </w:t>
            </w:r>
            <w:r>
              <w:t>ppm</w:t>
            </w:r>
          </w:p>
        </w:tc>
      </w:tr>
      <w:tr w:rsidR="00687890" w:rsidRPr="004C23F4" w14:paraId="797A699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F64218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F66E56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7BAFCE5" w14:textId="77777777" w:rsidTr="00EA6243">
        <w:trPr>
          <w:cantSplit/>
        </w:trPr>
        <w:tc>
          <w:tcPr>
            <w:tcW w:w="4077" w:type="dxa"/>
            <w:vAlign w:val="center"/>
          </w:tcPr>
          <w:p w14:paraId="6831BE43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75D0CA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B2AFDFD" w14:textId="77777777" w:rsidTr="00EA6243">
        <w:trPr>
          <w:cantSplit/>
        </w:trPr>
        <w:tc>
          <w:tcPr>
            <w:tcW w:w="4077" w:type="dxa"/>
            <w:vAlign w:val="center"/>
          </w:tcPr>
          <w:p w14:paraId="4B84A6B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AFBDBC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6040DA0" w14:textId="77777777" w:rsidTr="00EA6243">
        <w:trPr>
          <w:cantSplit/>
        </w:trPr>
        <w:tc>
          <w:tcPr>
            <w:tcW w:w="4077" w:type="dxa"/>
            <w:vAlign w:val="center"/>
          </w:tcPr>
          <w:p w14:paraId="6B5EC28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D5A8DF0" w14:textId="77777777" w:rsidR="00E06F40" w:rsidRPr="00A006A0" w:rsidRDefault="009F7EB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48B7A01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431B12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5D4721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22AEF7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CCD954A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164ECF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7E4BA5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5E5112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FCEB8EA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898BD00" w14:textId="18FEF525" w:rsidR="008E4F1F" w:rsidRPr="001B1342" w:rsidRDefault="008E4F1F" w:rsidP="008E4F1F">
      <w:pPr>
        <w:rPr>
          <w:b/>
          <w:bCs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1B1342">
        <w:t>2000</w:t>
      </w:r>
      <w:r>
        <w:t xml:space="preserve">) </w:t>
      </w:r>
      <w:proofErr w:type="spellStart"/>
      <w:r w:rsidR="001B1342" w:rsidRPr="001B1342">
        <w:rPr>
          <w:bCs/>
        </w:rPr>
        <w:t>Trimellitsäureanhydrid</w:t>
      </w:r>
      <w:proofErr w:type="spellEnd"/>
      <w:r w:rsidR="001B1342" w:rsidRPr="001B1342">
        <w:rPr>
          <w:bCs/>
        </w:rPr>
        <w:t xml:space="preserve"> (Rauch)</w:t>
      </w:r>
      <w:r w:rsidR="001B1342">
        <w:t xml:space="preserve"> </w:t>
      </w:r>
      <w:r>
        <w:t>– MAK value documentation.</w:t>
      </w:r>
    </w:p>
    <w:p w14:paraId="638E94E4" w14:textId="08E6B369" w:rsidR="001B1342" w:rsidRDefault="001B1342" w:rsidP="001B1342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(1995) </w:t>
      </w:r>
      <w:proofErr w:type="spellStart"/>
      <w:r w:rsidRPr="001B1342">
        <w:rPr>
          <w:bCs/>
        </w:rPr>
        <w:t>Trimellitsäureanhydrid</w:t>
      </w:r>
      <w:proofErr w:type="spellEnd"/>
      <w:r>
        <w:t xml:space="preserve"> – MAK value documentation.</w:t>
      </w:r>
    </w:p>
    <w:p w14:paraId="09CAD652" w14:textId="77777777" w:rsidR="00847774" w:rsidRDefault="001B1342" w:rsidP="00847774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(1981) </w:t>
      </w:r>
      <w:proofErr w:type="spellStart"/>
      <w:r w:rsidRPr="001B1342">
        <w:rPr>
          <w:bCs/>
        </w:rPr>
        <w:t>Trimellitsäureanhydrid</w:t>
      </w:r>
      <w:proofErr w:type="spellEnd"/>
      <w:r w:rsidRPr="001B1342">
        <w:rPr>
          <w:bCs/>
        </w:rPr>
        <w:t xml:space="preserve"> (</w:t>
      </w:r>
      <w:proofErr w:type="gramStart"/>
      <w:r w:rsidRPr="001B1342">
        <w:rPr>
          <w:bCs/>
        </w:rPr>
        <w:t>Rauch)</w:t>
      </w:r>
      <w:r w:rsidRPr="001B1342">
        <w:t xml:space="preserve"> </w:t>
      </w:r>
      <w:r>
        <w:t xml:space="preserve"> –</w:t>
      </w:r>
      <w:proofErr w:type="gramEnd"/>
      <w:r>
        <w:t xml:space="preserve"> MAK value documentation.</w:t>
      </w:r>
      <w:r w:rsidR="00847774" w:rsidRPr="00847774">
        <w:t xml:space="preserve"> </w:t>
      </w:r>
    </w:p>
    <w:p w14:paraId="012DC028" w14:textId="458CAF34" w:rsidR="001B1342" w:rsidRDefault="00847774" w:rsidP="008E4F1F">
      <w:r>
        <w:t xml:space="preserve">European Chemicals Agency (ECHA) (2019) </w:t>
      </w:r>
      <w:r w:rsidRPr="001B1342">
        <w:t xml:space="preserve">Benzene-1,2,4-tricarboxylic acid 1,2-anhydride </w:t>
      </w:r>
      <w:r>
        <w:t>– REACH assessment.</w:t>
      </w:r>
    </w:p>
    <w:p w14:paraId="51127AC8" w14:textId="2FCD1CA0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664B54">
        <w:t>2010</w:t>
      </w:r>
      <w:r>
        <w:t xml:space="preserve">) </w:t>
      </w:r>
      <w:r w:rsidR="00664B54" w:rsidRPr="00664B54">
        <w:t>Cyclic acid anhydrides</w:t>
      </w:r>
      <w:r w:rsidRPr="005F7416">
        <w:t xml:space="preserve">. </w:t>
      </w:r>
      <w:r w:rsidR="00664B54" w:rsidRPr="00664B54">
        <w:t>Health-based recommended occupational exposure limit</w:t>
      </w:r>
      <w:r w:rsidRPr="005F7416">
        <w:t xml:space="preserve">. The Hague: Health Council of the Netherlands; publication no. </w:t>
      </w:r>
      <w:r w:rsidR="00664B54" w:rsidRPr="00664B54">
        <w:t>2010/02OSH</w:t>
      </w:r>
      <w:r>
        <w:t>.</w:t>
      </w:r>
    </w:p>
    <w:p w14:paraId="260F1214" w14:textId="6C0384DD" w:rsidR="008E4F1F" w:rsidRDefault="008E4F1F" w:rsidP="008E4F1F">
      <w:pPr>
        <w:rPr>
          <w:b/>
        </w:rPr>
      </w:pPr>
      <w:r w:rsidRPr="002022B6">
        <w:t>National Industrial Chemicals Notification and Assessment Scheme (NICNAS)</w:t>
      </w:r>
      <w:r>
        <w:t xml:space="preserve"> (</w:t>
      </w:r>
      <w:r w:rsidR="00E253AA">
        <w:t>2014</w:t>
      </w:r>
      <w:r>
        <w:t xml:space="preserve">) </w:t>
      </w:r>
      <w:r w:rsidR="00E253AA" w:rsidRPr="00E253AA">
        <w:t>5-Isobenzofurancarboxylic acid, 1,3-dihydro-1,3-dioxo</w:t>
      </w:r>
      <w:r w:rsidR="00E253AA">
        <w:t>-</w:t>
      </w:r>
      <w:r w:rsidRPr="0071660C">
        <w:t xml:space="preserve">: Human health </w:t>
      </w:r>
      <w:sdt>
        <w:sdtPr>
          <w:id w:val="-1295753243"/>
          <w:temporary/>
          <w:showingPlcHdr/>
        </w:sdtPr>
        <w:sdtEndPr/>
        <w:sdtContent>
          <w:r w:rsidRPr="00E253AA">
            <w:rPr>
              <w:color w:val="000000" w:themeColor="text1"/>
            </w:rPr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0176DB34" w14:textId="77777777" w:rsidR="00847774" w:rsidRDefault="001B1342" w:rsidP="00847774">
      <w:r w:rsidRPr="001B1342">
        <w:t xml:space="preserve">Organisation for Economic Cooperation and Development (OECD) (2002) SIDS initial assessment profile – </w:t>
      </w:r>
      <w:proofErr w:type="spellStart"/>
      <w:r w:rsidRPr="00E4459E">
        <w:t>Trimellitic</w:t>
      </w:r>
      <w:proofErr w:type="spellEnd"/>
      <w:r w:rsidRPr="00E4459E">
        <w:t xml:space="preserve"> Anhydride (TMA) </w:t>
      </w:r>
      <w:proofErr w:type="spellStart"/>
      <w:r w:rsidRPr="00E4459E">
        <w:t>Trimellitic</w:t>
      </w:r>
      <w:proofErr w:type="spellEnd"/>
      <w:r w:rsidRPr="00E4459E">
        <w:t xml:space="preserve"> Acid (TMLA)</w:t>
      </w:r>
      <w:r w:rsidRPr="001B1342">
        <w:t>.</w:t>
      </w:r>
      <w:r w:rsidR="00847774" w:rsidRPr="00847774">
        <w:t xml:space="preserve"> </w:t>
      </w:r>
    </w:p>
    <w:p w14:paraId="57EE3982" w14:textId="32A1BA5A" w:rsidR="00847774" w:rsidRPr="008D7370" w:rsidRDefault="00847774" w:rsidP="00847774">
      <w:r w:rsidRPr="008D7370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3778D364" w14:textId="1B737199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A780" w16cex:dateUtc="2020-05-20T04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AB441" w14:textId="77777777" w:rsidR="00D076A2" w:rsidRDefault="00D076A2" w:rsidP="00F43AD5">
      <w:pPr>
        <w:spacing w:after="0" w:line="240" w:lineRule="auto"/>
      </w:pPr>
      <w:r>
        <w:separator/>
      </w:r>
    </w:p>
  </w:endnote>
  <w:endnote w:type="continuationSeparator" w:id="0">
    <w:p w14:paraId="78D7914F" w14:textId="77777777" w:rsidR="00D076A2" w:rsidRDefault="00D076A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B462" w14:textId="77777777" w:rsidR="009F7EBD" w:rsidRDefault="009F7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D299294" w14:textId="62435E7D" w:rsidR="00114E24" w:rsidRDefault="00114E24" w:rsidP="0034744C">
        <w:pPr>
          <w:pStyle w:val="Footer"/>
          <w:rPr>
            <w:sz w:val="18"/>
            <w:szCs w:val="18"/>
          </w:rPr>
        </w:pPr>
        <w:proofErr w:type="spellStart"/>
        <w:r w:rsidRPr="00A246A6">
          <w:rPr>
            <w:b/>
            <w:sz w:val="18"/>
            <w:szCs w:val="18"/>
          </w:rPr>
          <w:t>Trimellitic</w:t>
        </w:r>
        <w:proofErr w:type="spellEnd"/>
        <w:r w:rsidRPr="00A246A6">
          <w:rPr>
            <w:b/>
            <w:sz w:val="18"/>
            <w:szCs w:val="18"/>
          </w:rPr>
          <w:t xml:space="preserve"> anhydride</w:t>
        </w:r>
        <w:r>
          <w:rPr>
            <w:b/>
            <w:sz w:val="18"/>
            <w:szCs w:val="18"/>
          </w:rPr>
          <w:t xml:space="preserve"> (</w:t>
        </w:r>
        <w:r w:rsidRPr="00A246A6">
          <w:rPr>
            <w:b/>
            <w:sz w:val="18"/>
            <w:szCs w:val="18"/>
          </w:rPr>
          <w:t>552-30-7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847774">
          <w:rPr>
            <w:sz w:val="18"/>
            <w:szCs w:val="18"/>
          </w:rPr>
          <w:t>20</w:t>
        </w:r>
      </w:p>
      <w:p w14:paraId="2EE8FD13" w14:textId="16A10D17" w:rsidR="00114E24" w:rsidRPr="00F43AD5" w:rsidRDefault="00114E24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333E7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61BFF" w14:textId="77777777" w:rsidR="009F7EBD" w:rsidRDefault="009F7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5B153" w14:textId="77777777" w:rsidR="00D076A2" w:rsidRDefault="00D076A2" w:rsidP="00F43AD5">
      <w:pPr>
        <w:spacing w:after="0" w:line="240" w:lineRule="auto"/>
      </w:pPr>
      <w:r>
        <w:separator/>
      </w:r>
    </w:p>
  </w:footnote>
  <w:footnote w:type="continuationSeparator" w:id="0">
    <w:p w14:paraId="3C9A4416" w14:textId="77777777" w:rsidR="00D076A2" w:rsidRDefault="00D076A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BEE" w14:textId="77777777" w:rsidR="009F7EBD" w:rsidRDefault="009F7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98469" w14:textId="25F25919" w:rsidR="009F7EBD" w:rsidRDefault="009F7EBD" w:rsidP="009F7EBD">
    <w:pPr>
      <w:pStyle w:val="Header"/>
      <w:jc w:val="right"/>
    </w:pPr>
    <w:r>
      <w:pict w14:anchorId="219FA8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510BB2E" wp14:editId="5E094D96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2E01D" w14:textId="77AC21F5" w:rsidR="00114E24" w:rsidRPr="009F7EBD" w:rsidRDefault="00114E24" w:rsidP="009F7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0B6BC" w14:textId="77777777" w:rsidR="009F7EBD" w:rsidRDefault="009F7E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99305" w14:textId="4369C2D0" w:rsidR="009F7EBD" w:rsidRDefault="009F7EBD" w:rsidP="009F7EBD">
    <w:pPr>
      <w:pStyle w:val="Header"/>
      <w:jc w:val="right"/>
    </w:pPr>
    <w:r>
      <w:pict w14:anchorId="2A71DC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D2FA0D2" wp14:editId="15B10717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1A7888" w14:textId="77777777" w:rsidR="00114E24" w:rsidRDefault="00114E24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7EB3"/>
    <w:multiLevelType w:val="hybridMultilevel"/>
    <w:tmpl w:val="CFD0E33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B702F"/>
    <w:multiLevelType w:val="hybridMultilevel"/>
    <w:tmpl w:val="088672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706179"/>
    <w:multiLevelType w:val="hybridMultilevel"/>
    <w:tmpl w:val="1A629A48"/>
    <w:lvl w:ilvl="0" w:tplc="C31454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A5987"/>
    <w:multiLevelType w:val="hybridMultilevel"/>
    <w:tmpl w:val="F8940614"/>
    <w:lvl w:ilvl="0" w:tplc="83FE30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17474"/>
    <w:multiLevelType w:val="hybridMultilevel"/>
    <w:tmpl w:val="5496698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33E9"/>
    <w:rsid w:val="000B0868"/>
    <w:rsid w:val="000B26FD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14E24"/>
    <w:rsid w:val="001269A7"/>
    <w:rsid w:val="00131092"/>
    <w:rsid w:val="00132462"/>
    <w:rsid w:val="001333E7"/>
    <w:rsid w:val="00140E6A"/>
    <w:rsid w:val="00146545"/>
    <w:rsid w:val="00146B75"/>
    <w:rsid w:val="0015266D"/>
    <w:rsid w:val="0015288A"/>
    <w:rsid w:val="00155999"/>
    <w:rsid w:val="00160F47"/>
    <w:rsid w:val="00176EAF"/>
    <w:rsid w:val="00177CA1"/>
    <w:rsid w:val="00183823"/>
    <w:rsid w:val="00183942"/>
    <w:rsid w:val="00191447"/>
    <w:rsid w:val="001915F6"/>
    <w:rsid w:val="00192B17"/>
    <w:rsid w:val="001A009E"/>
    <w:rsid w:val="001A1287"/>
    <w:rsid w:val="001A13F9"/>
    <w:rsid w:val="001A3859"/>
    <w:rsid w:val="001A3C9D"/>
    <w:rsid w:val="001A43F8"/>
    <w:rsid w:val="001B1342"/>
    <w:rsid w:val="001B79E5"/>
    <w:rsid w:val="001C0944"/>
    <w:rsid w:val="001D56F0"/>
    <w:rsid w:val="001D663B"/>
    <w:rsid w:val="001D7B41"/>
    <w:rsid w:val="001E46DA"/>
    <w:rsid w:val="001E7D80"/>
    <w:rsid w:val="001F4B6C"/>
    <w:rsid w:val="001F6187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0E5E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45FC"/>
    <w:rsid w:val="00346B8C"/>
    <w:rsid w:val="00347192"/>
    <w:rsid w:val="0034744C"/>
    <w:rsid w:val="00351FE0"/>
    <w:rsid w:val="00352615"/>
    <w:rsid w:val="0035412B"/>
    <w:rsid w:val="00354E14"/>
    <w:rsid w:val="0035540F"/>
    <w:rsid w:val="003567A8"/>
    <w:rsid w:val="003621AC"/>
    <w:rsid w:val="00362895"/>
    <w:rsid w:val="00370DBF"/>
    <w:rsid w:val="00386093"/>
    <w:rsid w:val="003904A4"/>
    <w:rsid w:val="00391841"/>
    <w:rsid w:val="00391B6D"/>
    <w:rsid w:val="00392A9E"/>
    <w:rsid w:val="00394922"/>
    <w:rsid w:val="003979F8"/>
    <w:rsid w:val="003A0E32"/>
    <w:rsid w:val="003A2B94"/>
    <w:rsid w:val="003B387D"/>
    <w:rsid w:val="003B5FA2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0C79"/>
    <w:rsid w:val="004414B5"/>
    <w:rsid w:val="00444482"/>
    <w:rsid w:val="00444B42"/>
    <w:rsid w:val="004455BB"/>
    <w:rsid w:val="00445E44"/>
    <w:rsid w:val="004509E2"/>
    <w:rsid w:val="004515EE"/>
    <w:rsid w:val="004529F0"/>
    <w:rsid w:val="004536C7"/>
    <w:rsid w:val="00460A03"/>
    <w:rsid w:val="004640B8"/>
    <w:rsid w:val="004678C9"/>
    <w:rsid w:val="00472A11"/>
    <w:rsid w:val="00472AAD"/>
    <w:rsid w:val="00474E33"/>
    <w:rsid w:val="00476803"/>
    <w:rsid w:val="00485BFD"/>
    <w:rsid w:val="004867A2"/>
    <w:rsid w:val="004873F2"/>
    <w:rsid w:val="00490D4C"/>
    <w:rsid w:val="00493348"/>
    <w:rsid w:val="00493A35"/>
    <w:rsid w:val="0049527A"/>
    <w:rsid w:val="004966BF"/>
    <w:rsid w:val="00497984"/>
    <w:rsid w:val="004A5088"/>
    <w:rsid w:val="004A61E0"/>
    <w:rsid w:val="004B6292"/>
    <w:rsid w:val="004C1E3F"/>
    <w:rsid w:val="004C23F4"/>
    <w:rsid w:val="004C3475"/>
    <w:rsid w:val="004C58B6"/>
    <w:rsid w:val="004D16A3"/>
    <w:rsid w:val="004D4AA1"/>
    <w:rsid w:val="004D6D68"/>
    <w:rsid w:val="004E3CA8"/>
    <w:rsid w:val="004E5EDD"/>
    <w:rsid w:val="004F448A"/>
    <w:rsid w:val="004F493D"/>
    <w:rsid w:val="004F65E8"/>
    <w:rsid w:val="0050005E"/>
    <w:rsid w:val="00502B88"/>
    <w:rsid w:val="00506046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74116"/>
    <w:rsid w:val="00581055"/>
    <w:rsid w:val="00591E38"/>
    <w:rsid w:val="005A19C5"/>
    <w:rsid w:val="005A3034"/>
    <w:rsid w:val="005A462D"/>
    <w:rsid w:val="005B253B"/>
    <w:rsid w:val="005B30EC"/>
    <w:rsid w:val="005B771D"/>
    <w:rsid w:val="005B7B2F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7CBB"/>
    <w:rsid w:val="00650905"/>
    <w:rsid w:val="006532ED"/>
    <w:rsid w:val="006549F2"/>
    <w:rsid w:val="006567B7"/>
    <w:rsid w:val="00657BFB"/>
    <w:rsid w:val="0066206B"/>
    <w:rsid w:val="0066333C"/>
    <w:rsid w:val="006639B4"/>
    <w:rsid w:val="00664B54"/>
    <w:rsid w:val="006650FE"/>
    <w:rsid w:val="0066633D"/>
    <w:rsid w:val="0067305D"/>
    <w:rsid w:val="00676531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32DE"/>
    <w:rsid w:val="006D79EA"/>
    <w:rsid w:val="006E321C"/>
    <w:rsid w:val="006E5D05"/>
    <w:rsid w:val="00701053"/>
    <w:rsid w:val="00701507"/>
    <w:rsid w:val="00714021"/>
    <w:rsid w:val="00716A0F"/>
    <w:rsid w:val="00717D45"/>
    <w:rsid w:val="007208F7"/>
    <w:rsid w:val="007218AF"/>
    <w:rsid w:val="007275B6"/>
    <w:rsid w:val="00727C9F"/>
    <w:rsid w:val="007365D1"/>
    <w:rsid w:val="00740E0E"/>
    <w:rsid w:val="00747904"/>
    <w:rsid w:val="00750212"/>
    <w:rsid w:val="00754779"/>
    <w:rsid w:val="0075716D"/>
    <w:rsid w:val="00765F14"/>
    <w:rsid w:val="00770E31"/>
    <w:rsid w:val="00775FE0"/>
    <w:rsid w:val="007770F1"/>
    <w:rsid w:val="00782A5A"/>
    <w:rsid w:val="00783FB1"/>
    <w:rsid w:val="00785CDD"/>
    <w:rsid w:val="00791847"/>
    <w:rsid w:val="007925F0"/>
    <w:rsid w:val="007939B3"/>
    <w:rsid w:val="0079509C"/>
    <w:rsid w:val="00796708"/>
    <w:rsid w:val="007B1B42"/>
    <w:rsid w:val="007B6664"/>
    <w:rsid w:val="007C30EB"/>
    <w:rsid w:val="007C4DD6"/>
    <w:rsid w:val="007D637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BAB"/>
    <w:rsid w:val="00826F21"/>
    <w:rsid w:val="00834CC8"/>
    <w:rsid w:val="00835E00"/>
    <w:rsid w:val="00837113"/>
    <w:rsid w:val="008414E4"/>
    <w:rsid w:val="00843E21"/>
    <w:rsid w:val="0084508E"/>
    <w:rsid w:val="00847774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1B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D7370"/>
    <w:rsid w:val="008E4F1F"/>
    <w:rsid w:val="008E7B64"/>
    <w:rsid w:val="008F3003"/>
    <w:rsid w:val="008F4865"/>
    <w:rsid w:val="008F5DCD"/>
    <w:rsid w:val="00900951"/>
    <w:rsid w:val="009118A6"/>
    <w:rsid w:val="00914CF6"/>
    <w:rsid w:val="00916909"/>
    <w:rsid w:val="00916EC0"/>
    <w:rsid w:val="00920467"/>
    <w:rsid w:val="00921DE7"/>
    <w:rsid w:val="0093007A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2636"/>
    <w:rsid w:val="009B2FF2"/>
    <w:rsid w:val="009B380C"/>
    <w:rsid w:val="009B4843"/>
    <w:rsid w:val="009B6543"/>
    <w:rsid w:val="009B6983"/>
    <w:rsid w:val="009C199D"/>
    <w:rsid w:val="009C278F"/>
    <w:rsid w:val="009C2B94"/>
    <w:rsid w:val="009C4B1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7EBD"/>
    <w:rsid w:val="00A01D0C"/>
    <w:rsid w:val="00A0643F"/>
    <w:rsid w:val="00A067EE"/>
    <w:rsid w:val="00A10FCE"/>
    <w:rsid w:val="00A16D91"/>
    <w:rsid w:val="00A174CC"/>
    <w:rsid w:val="00A2073D"/>
    <w:rsid w:val="00A20751"/>
    <w:rsid w:val="00A246A6"/>
    <w:rsid w:val="00A25935"/>
    <w:rsid w:val="00A27E2D"/>
    <w:rsid w:val="00A31D99"/>
    <w:rsid w:val="00A32E8B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B6BE0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2642"/>
    <w:rsid w:val="00B1422A"/>
    <w:rsid w:val="00B1765C"/>
    <w:rsid w:val="00B202D1"/>
    <w:rsid w:val="00B213C4"/>
    <w:rsid w:val="00B323A3"/>
    <w:rsid w:val="00B40C60"/>
    <w:rsid w:val="00B479A9"/>
    <w:rsid w:val="00B52EDF"/>
    <w:rsid w:val="00B71188"/>
    <w:rsid w:val="00B74DE1"/>
    <w:rsid w:val="00B76A41"/>
    <w:rsid w:val="00B816E9"/>
    <w:rsid w:val="00B85964"/>
    <w:rsid w:val="00B875A7"/>
    <w:rsid w:val="00B87D4C"/>
    <w:rsid w:val="00B93646"/>
    <w:rsid w:val="00B94C35"/>
    <w:rsid w:val="00B95D43"/>
    <w:rsid w:val="00BA0B38"/>
    <w:rsid w:val="00BA1DBB"/>
    <w:rsid w:val="00BA4510"/>
    <w:rsid w:val="00BA529A"/>
    <w:rsid w:val="00BB4758"/>
    <w:rsid w:val="00BB612A"/>
    <w:rsid w:val="00BC2EEE"/>
    <w:rsid w:val="00BC5B73"/>
    <w:rsid w:val="00BC7D76"/>
    <w:rsid w:val="00BD499F"/>
    <w:rsid w:val="00BD56DE"/>
    <w:rsid w:val="00BE020F"/>
    <w:rsid w:val="00BE4466"/>
    <w:rsid w:val="00BE6126"/>
    <w:rsid w:val="00BF2406"/>
    <w:rsid w:val="00C04B13"/>
    <w:rsid w:val="00C06E43"/>
    <w:rsid w:val="00C16315"/>
    <w:rsid w:val="00C21CC7"/>
    <w:rsid w:val="00C3091E"/>
    <w:rsid w:val="00C40FF1"/>
    <w:rsid w:val="00C419E2"/>
    <w:rsid w:val="00C5020E"/>
    <w:rsid w:val="00C522DC"/>
    <w:rsid w:val="00C56E5C"/>
    <w:rsid w:val="00C57452"/>
    <w:rsid w:val="00C61EDF"/>
    <w:rsid w:val="00C6239D"/>
    <w:rsid w:val="00C65467"/>
    <w:rsid w:val="00C6594B"/>
    <w:rsid w:val="00C66D4F"/>
    <w:rsid w:val="00C67FFB"/>
    <w:rsid w:val="00C7155E"/>
    <w:rsid w:val="00C71D1E"/>
    <w:rsid w:val="00C71D7D"/>
    <w:rsid w:val="00C74833"/>
    <w:rsid w:val="00C8100B"/>
    <w:rsid w:val="00C83086"/>
    <w:rsid w:val="00C850A0"/>
    <w:rsid w:val="00C85A86"/>
    <w:rsid w:val="00C93272"/>
    <w:rsid w:val="00C978F0"/>
    <w:rsid w:val="00CA5119"/>
    <w:rsid w:val="00CA58FE"/>
    <w:rsid w:val="00CB1CB1"/>
    <w:rsid w:val="00CB6BC1"/>
    <w:rsid w:val="00CB6CB8"/>
    <w:rsid w:val="00CC1A68"/>
    <w:rsid w:val="00CC2123"/>
    <w:rsid w:val="00CC64B4"/>
    <w:rsid w:val="00CD2BFD"/>
    <w:rsid w:val="00CE5AD6"/>
    <w:rsid w:val="00CE617F"/>
    <w:rsid w:val="00CE78EF"/>
    <w:rsid w:val="00CF325C"/>
    <w:rsid w:val="00D048F7"/>
    <w:rsid w:val="00D0517E"/>
    <w:rsid w:val="00D076A2"/>
    <w:rsid w:val="00D131A1"/>
    <w:rsid w:val="00D140FC"/>
    <w:rsid w:val="00D20D2D"/>
    <w:rsid w:val="00D21D8C"/>
    <w:rsid w:val="00D31357"/>
    <w:rsid w:val="00D33220"/>
    <w:rsid w:val="00D334D1"/>
    <w:rsid w:val="00D44C89"/>
    <w:rsid w:val="00D516CD"/>
    <w:rsid w:val="00D649DF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025F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53AA"/>
    <w:rsid w:val="00E26A07"/>
    <w:rsid w:val="00E32595"/>
    <w:rsid w:val="00E36B93"/>
    <w:rsid w:val="00E37CFD"/>
    <w:rsid w:val="00E41A26"/>
    <w:rsid w:val="00E4459E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07EF"/>
    <w:rsid w:val="00E92499"/>
    <w:rsid w:val="00E949AF"/>
    <w:rsid w:val="00E96077"/>
    <w:rsid w:val="00EA0A06"/>
    <w:rsid w:val="00EA6243"/>
    <w:rsid w:val="00EA74AB"/>
    <w:rsid w:val="00EB3D1B"/>
    <w:rsid w:val="00EB57BE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276F"/>
    <w:rsid w:val="00F053FA"/>
    <w:rsid w:val="00F06DFF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3D7F"/>
    <w:rsid w:val="00FB4CA1"/>
    <w:rsid w:val="00FB4E07"/>
    <w:rsid w:val="00FB755A"/>
    <w:rsid w:val="00FC60A2"/>
    <w:rsid w:val="00FD1871"/>
    <w:rsid w:val="00FD3110"/>
    <w:rsid w:val="00FE756E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7FD0638B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6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DFF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3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3A179F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47D16"/>
    <w:rsid w:val="003A179F"/>
    <w:rsid w:val="003E0149"/>
    <w:rsid w:val="00530BB0"/>
    <w:rsid w:val="00623A14"/>
    <w:rsid w:val="00755FBF"/>
    <w:rsid w:val="00CA72D3"/>
    <w:rsid w:val="00D21A9F"/>
    <w:rsid w:val="00E0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7764-3EEA-4095-8BC5-F0975D394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f54d604-3e62-4e70-ba33-9e9084b96a66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641EC8F-2B8E-448E-A17A-67352112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14</cp:revision>
  <cp:lastPrinted>2018-10-22T22:41:00Z</cp:lastPrinted>
  <dcterms:created xsi:type="dcterms:W3CDTF">2020-03-30T01:44:00Z</dcterms:created>
  <dcterms:modified xsi:type="dcterms:W3CDTF">2020-07-21T01:52:00Z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