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B57A" w14:textId="6B3A496D" w:rsidR="00BD499F" w:rsidRPr="004C23F4" w:rsidRDefault="006C78D5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035773" w:rsidRPr="00035773">
            <w:rPr>
              <w:rFonts w:ascii="Arial" w:hAnsi="Arial" w:cs="Arial"/>
            </w:rPr>
            <w:t>Trimethyla</w:t>
          </w:r>
          <w:r w:rsidR="00D824D3">
            <w:rPr>
              <w:rFonts w:ascii="Arial" w:hAnsi="Arial" w:cs="Arial"/>
            </w:rPr>
            <w:t>mine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9"/>
        <w:gridCol w:w="5057"/>
      </w:tblGrid>
      <w:tr w:rsidR="00F43AD5" w:rsidRPr="004C23F4" w14:paraId="07A50E70" w14:textId="77777777" w:rsidTr="00684CE7">
        <w:trPr>
          <w:cantSplit/>
          <w:tblHeader/>
        </w:trPr>
        <w:tc>
          <w:tcPr>
            <w:tcW w:w="3969" w:type="dxa"/>
          </w:tcPr>
          <w:p w14:paraId="28AD070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7" w:type="dxa"/>
          </w:tcPr>
          <w:p w14:paraId="10F44FC6" w14:textId="5B136424" w:rsidR="00F43AD5" w:rsidRPr="00717D45" w:rsidRDefault="00CC4084" w:rsidP="00B76A41">
            <w:pPr>
              <w:pStyle w:val="Tablefont"/>
            </w:pPr>
            <w:r>
              <w:t>75-50-3</w:t>
            </w:r>
          </w:p>
        </w:tc>
      </w:tr>
      <w:tr w:rsidR="00F43AD5" w:rsidRPr="004C23F4" w14:paraId="4FB33CE2" w14:textId="77777777" w:rsidTr="00684CE7">
        <w:trPr>
          <w:cantSplit/>
        </w:trPr>
        <w:tc>
          <w:tcPr>
            <w:tcW w:w="3969" w:type="dxa"/>
          </w:tcPr>
          <w:p w14:paraId="6227984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7" w:type="dxa"/>
          </w:tcPr>
          <w:p w14:paraId="240ADC54" w14:textId="16DDD0B8" w:rsidR="00F43AD5" w:rsidRPr="00717D45" w:rsidRDefault="00CC4084" w:rsidP="007E7931">
            <w:pPr>
              <w:pStyle w:val="Tablefont"/>
            </w:pPr>
            <w:proofErr w:type="spellStart"/>
            <w:r>
              <w:t>Dimethylmethaneamine</w:t>
            </w:r>
            <w:proofErr w:type="spellEnd"/>
            <w:r>
              <w:t>, TMA</w:t>
            </w:r>
          </w:p>
        </w:tc>
      </w:tr>
      <w:tr w:rsidR="00F43AD5" w:rsidRPr="004C23F4" w14:paraId="7EA28C36" w14:textId="77777777" w:rsidTr="00684CE7">
        <w:trPr>
          <w:cantSplit/>
        </w:trPr>
        <w:tc>
          <w:tcPr>
            <w:tcW w:w="3969" w:type="dxa"/>
          </w:tcPr>
          <w:p w14:paraId="2A33970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7" w:type="dxa"/>
          </w:tcPr>
          <w:p w14:paraId="1836853F" w14:textId="4983613F" w:rsidR="00F43AD5" w:rsidRPr="00717D45" w:rsidRDefault="007E7931" w:rsidP="00B76A41">
            <w:pPr>
              <w:pStyle w:val="Tablefont"/>
            </w:pPr>
            <w:r w:rsidRPr="007E7931">
              <w:t>C</w:t>
            </w:r>
            <w:r w:rsidR="00CC4084">
              <w:rPr>
                <w:vertAlign w:val="subscript"/>
              </w:rPr>
              <w:t>3</w:t>
            </w:r>
            <w:r w:rsidRPr="007E7931">
              <w:t>H</w:t>
            </w:r>
            <w:r w:rsidR="00CC4084">
              <w:rPr>
                <w:vertAlign w:val="subscript"/>
              </w:rPr>
              <w:t>9</w:t>
            </w:r>
            <w:r w:rsidRPr="007E7931">
              <w:t>N</w:t>
            </w:r>
          </w:p>
        </w:tc>
      </w:tr>
    </w:tbl>
    <w:p w14:paraId="46358C35" w14:textId="2279431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51F8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FA769E5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0F50AE8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543A897" w14:textId="5E70579B" w:rsidR="002C7AFE" w:rsidRPr="00D339F2" w:rsidRDefault="00F35CB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10 </w:t>
            </w:r>
            <w:r w:rsidR="00D339F2">
              <w:rPr>
                <w:b/>
              </w:rPr>
              <w:t>ppm (</w:t>
            </w:r>
            <w:r>
              <w:rPr>
                <w:b/>
              </w:rPr>
              <w:t>24</w:t>
            </w:r>
            <w:r w:rsidR="00D339F2">
              <w:rPr>
                <w:b/>
              </w:rPr>
              <w:t xml:space="preserve"> mg/m</w:t>
            </w:r>
            <w:r w:rsidR="00D339F2">
              <w:rPr>
                <w:b/>
                <w:vertAlign w:val="superscript"/>
              </w:rPr>
              <w:t>3</w:t>
            </w:r>
            <w:r w:rsidR="00D339F2">
              <w:rPr>
                <w:b/>
              </w:rPr>
              <w:t>)</w:t>
            </w:r>
          </w:p>
        </w:tc>
      </w:tr>
      <w:tr w:rsidR="00037E52" w:rsidRPr="004C23F4" w14:paraId="6F9825F5" w14:textId="77777777" w:rsidTr="00037E52">
        <w:trPr>
          <w:cantSplit/>
        </w:trPr>
        <w:tc>
          <w:tcPr>
            <w:tcW w:w="4010" w:type="dxa"/>
            <w:vAlign w:val="center"/>
          </w:tcPr>
          <w:p w14:paraId="44964325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39AAAD2" w14:textId="68ECE82D" w:rsidR="00037E52" w:rsidRPr="00EB3D1B" w:rsidRDefault="00651F86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15 ppm (36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804F882" w14:textId="77777777" w:rsidTr="00037E52">
        <w:trPr>
          <w:cantSplit/>
        </w:trPr>
        <w:tc>
          <w:tcPr>
            <w:tcW w:w="4010" w:type="dxa"/>
            <w:vAlign w:val="center"/>
          </w:tcPr>
          <w:p w14:paraId="3AF528E2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A2E29C2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077743A" w14:textId="77777777" w:rsidTr="00037E52">
        <w:trPr>
          <w:cantSplit/>
        </w:trPr>
        <w:tc>
          <w:tcPr>
            <w:tcW w:w="4010" w:type="dxa"/>
          </w:tcPr>
          <w:p w14:paraId="41BE3E76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A6F074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CD6D9F0" w14:textId="77777777" w:rsidTr="00037E52">
        <w:trPr>
          <w:cantSplit/>
        </w:trPr>
        <w:tc>
          <w:tcPr>
            <w:tcW w:w="4010" w:type="dxa"/>
            <w:vAlign w:val="center"/>
          </w:tcPr>
          <w:p w14:paraId="11B2C6D1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281E911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63A138A1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79739ED5" w14:textId="51751F26" w:rsidR="00155999" w:rsidRPr="00EB3D1B" w:rsidRDefault="00155999" w:rsidP="00037E52">
            <w:pPr>
              <w:pStyle w:val="Tablefont"/>
              <w:rPr>
                <w:b/>
              </w:rPr>
            </w:pPr>
            <w:r w:rsidRPr="004A6F88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4A6F88" w:rsidRPr="004A6F88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B065E0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F3482AE" w14:textId="639405CD" w:rsidR="00D339F2" w:rsidRPr="00D339F2" w:rsidRDefault="00D339F2" w:rsidP="00D339F2">
      <w:r>
        <w:t xml:space="preserve">A TWA of </w:t>
      </w:r>
      <w:r w:rsidR="0018220D">
        <w:t xml:space="preserve">10 </w:t>
      </w:r>
      <w:r>
        <w:t>ppm (</w:t>
      </w:r>
      <w:r w:rsidR="0018220D">
        <w:t>24</w:t>
      </w:r>
      <w:r>
        <w:t xml:space="preserve"> mg/m</w:t>
      </w:r>
      <w:r>
        <w:rPr>
          <w:vertAlign w:val="superscript"/>
        </w:rPr>
        <w:t>3</w:t>
      </w:r>
      <w:r>
        <w:t xml:space="preserve">) </w:t>
      </w:r>
      <w:r w:rsidR="00651F86">
        <w:t>and STEL of 15 ppm (36 mg/m</w:t>
      </w:r>
      <w:r w:rsidR="00651F86">
        <w:rPr>
          <w:vertAlign w:val="superscript"/>
        </w:rPr>
        <w:t>3</w:t>
      </w:r>
      <w:r w:rsidR="00651F86">
        <w:t xml:space="preserve">) are </w:t>
      </w:r>
      <w:r>
        <w:t xml:space="preserve">recommended to protect for </w:t>
      </w:r>
      <w:r w:rsidR="00684CE7">
        <w:t xml:space="preserve">irritation of the </w:t>
      </w:r>
      <w:r>
        <w:t>upper respiratory tract</w:t>
      </w:r>
      <w:r w:rsidR="004A6F88">
        <w:t xml:space="preserve"> (URT)</w:t>
      </w:r>
      <w:r>
        <w:t>, eye</w:t>
      </w:r>
      <w:r w:rsidR="00684CE7">
        <w:t>s</w:t>
      </w:r>
      <w:r>
        <w:t xml:space="preserve"> and skin and to reduce the risk of transient visual effects in exposed workers.</w:t>
      </w:r>
    </w:p>
    <w:p w14:paraId="1C27BBC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8044CA4" w14:textId="40AF6230" w:rsidR="00245188" w:rsidRDefault="00EC48E1" w:rsidP="006639B4">
      <w:r>
        <w:t xml:space="preserve">Trimethylamine (TMA) </w:t>
      </w:r>
      <w:r w:rsidR="00E634D4">
        <w:t>is</w:t>
      </w:r>
      <w:r>
        <w:t xml:space="preserve"> used as an insect attractant, as a warning agent in natural gas, as a flotation agent and as an intermediate in chemical synthesis. It is a natural decomposition product of nitrogenous plant and animal macromolecules and is widely distributed in animal tissue, especially fish. </w:t>
      </w:r>
    </w:p>
    <w:p w14:paraId="0211394A" w14:textId="6318C9D6" w:rsidR="00573BEA" w:rsidRDefault="00245188" w:rsidP="00A34766">
      <w:r>
        <w:t>The c</w:t>
      </w:r>
      <w:r w:rsidR="00EC48E1">
        <w:t xml:space="preserve">ritical effects </w:t>
      </w:r>
      <w:r w:rsidR="0006478C">
        <w:t>of</w:t>
      </w:r>
      <w:r w:rsidR="00EC48E1">
        <w:t xml:space="preserve"> exposure are </w:t>
      </w:r>
      <w:r w:rsidR="0055251F">
        <w:t>upper respiratory tract (URT)</w:t>
      </w:r>
      <w:r w:rsidR="00CF4107">
        <w:t>, eye and skin irritation and transient vision disturbances.</w:t>
      </w:r>
    </w:p>
    <w:p w14:paraId="298463F1" w14:textId="7000B5C3" w:rsidR="00E8270A" w:rsidRDefault="0054309B" w:rsidP="00A34766">
      <w:r w:rsidRPr="0054309B">
        <w:t>Transient visual</w:t>
      </w:r>
      <w:r w:rsidR="00CF4107" w:rsidRPr="0054309B">
        <w:t xml:space="preserve"> disturbances, referred to as blue veil vison or halovision, are reported in workers exposed to </w:t>
      </w:r>
      <w:r w:rsidR="0006478C" w:rsidRPr="0054309B">
        <w:t xml:space="preserve">amine </w:t>
      </w:r>
      <w:r w:rsidR="00CF4107" w:rsidRPr="0054309B">
        <w:t xml:space="preserve">vapours including TMA for several hours. No further exposure information is provided. Moderate irritation of </w:t>
      </w:r>
      <w:r w:rsidR="0006478C">
        <w:t>the URT</w:t>
      </w:r>
      <w:r w:rsidR="00CF4107" w:rsidRPr="0054309B">
        <w:t xml:space="preserve"> occur</w:t>
      </w:r>
      <w:r w:rsidR="00684CE7">
        <w:t>s</w:t>
      </w:r>
      <w:r w:rsidR="00CF4107" w:rsidRPr="0054309B">
        <w:t xml:space="preserve"> in workers exposed </w:t>
      </w:r>
      <w:r w:rsidR="00684CE7">
        <w:t>at</w:t>
      </w:r>
      <w:r w:rsidR="00CF4107" w:rsidRPr="0054309B">
        <w:t xml:space="preserve"> 20 ppm and greater with a </w:t>
      </w:r>
      <w:r w:rsidR="00573BEA" w:rsidRPr="0054309B">
        <w:t>NOAE</w:t>
      </w:r>
      <w:r w:rsidR="00573BEA">
        <w:t>C</w:t>
      </w:r>
      <w:r w:rsidR="00573BEA" w:rsidRPr="0054309B">
        <w:t xml:space="preserve"> </w:t>
      </w:r>
      <w:r w:rsidR="00CF4107" w:rsidRPr="0054309B">
        <w:t>reported at 8 ppm</w:t>
      </w:r>
      <w:r w:rsidRPr="0054309B">
        <w:t>.</w:t>
      </w:r>
      <w:r w:rsidR="007A0367">
        <w:t xml:space="preserve"> </w:t>
      </w:r>
      <w:r w:rsidR="004D1FF4">
        <w:t>O</w:t>
      </w:r>
      <w:r w:rsidRPr="0054309B">
        <w:t>edema</w:t>
      </w:r>
      <w:r w:rsidR="00F35CBB">
        <w:t xml:space="preserve"> </w:t>
      </w:r>
      <w:r w:rsidR="004D1FF4">
        <w:t>reported</w:t>
      </w:r>
      <w:r w:rsidRPr="0054309B">
        <w:t xml:space="preserve"> in </w:t>
      </w:r>
      <w:r w:rsidR="0018220D">
        <w:t>two</w:t>
      </w:r>
      <w:r w:rsidR="00F35CBB" w:rsidRPr="0054309B">
        <w:t xml:space="preserve"> </w:t>
      </w:r>
      <w:r w:rsidRPr="0054309B">
        <w:t xml:space="preserve">volunteers following an </w:t>
      </w:r>
      <w:r w:rsidR="00A34766">
        <w:t>eight-hour</w:t>
      </w:r>
      <w:r w:rsidRPr="0054309B">
        <w:t xml:space="preserve"> exposure at 9.7</w:t>
      </w:r>
      <w:r w:rsidR="003A0AAA">
        <w:t> </w:t>
      </w:r>
      <w:r w:rsidRPr="0054309B">
        <w:t>ppm</w:t>
      </w:r>
      <w:r w:rsidR="00811375" w:rsidRPr="0054309B">
        <w:t xml:space="preserve"> (SCOEL, 2017; AIHA, 2005).</w:t>
      </w:r>
      <w:r w:rsidR="00CF4107" w:rsidRPr="0054309B">
        <w:t xml:space="preserve"> </w:t>
      </w:r>
      <w:r w:rsidR="00573BEA">
        <w:t>D</w:t>
      </w:r>
      <w:r w:rsidR="00573BEA" w:rsidRPr="0054309B">
        <w:t>amage to the nasal mucosa that appeared reversible at 75</w:t>
      </w:r>
      <w:r w:rsidR="00573BEA">
        <w:t> </w:t>
      </w:r>
      <w:r w:rsidR="00573BEA" w:rsidRPr="0054309B">
        <w:t>ppm</w:t>
      </w:r>
      <w:r w:rsidR="00573BEA" w:rsidRPr="0054309B" w:rsidDel="00573BEA">
        <w:t xml:space="preserve"> </w:t>
      </w:r>
      <w:r w:rsidR="00573BEA">
        <w:t>reported in s</w:t>
      </w:r>
      <w:r w:rsidR="00573BEA" w:rsidRPr="0054309B">
        <w:t>ub</w:t>
      </w:r>
      <w:r w:rsidR="00E634D4">
        <w:t>-</w:t>
      </w:r>
      <w:r w:rsidRPr="0054309B">
        <w:t xml:space="preserve">chronic inhalation studies in rats. A </w:t>
      </w:r>
      <w:r w:rsidR="00573BEA" w:rsidRPr="0054309B">
        <w:t>NOAE</w:t>
      </w:r>
      <w:r w:rsidR="00573BEA">
        <w:t>C</w:t>
      </w:r>
      <w:r w:rsidR="00573BEA" w:rsidRPr="0054309B">
        <w:t xml:space="preserve"> </w:t>
      </w:r>
      <w:r w:rsidRPr="0054309B">
        <w:t xml:space="preserve">of approximately 10 ppm </w:t>
      </w:r>
      <w:r w:rsidR="00684CE7">
        <w:t>i</w:t>
      </w:r>
      <w:r w:rsidRPr="0054309B">
        <w:t xml:space="preserve">s reported in another rat inhalation study. </w:t>
      </w:r>
      <w:r w:rsidR="007A0367">
        <w:t>In humans, i</w:t>
      </w:r>
      <w:r w:rsidRPr="0054309B">
        <w:t xml:space="preserve">t has a highly offensive odour that is apparent at concentrations of less than 1 ppm </w:t>
      </w:r>
      <w:r w:rsidRPr="004C2EB0">
        <w:t>(ACGIH, 2018).</w:t>
      </w:r>
      <w:r w:rsidR="00B748F3">
        <w:t xml:space="preserve"> It is analogous</w:t>
      </w:r>
      <w:r w:rsidR="00E8270A">
        <w:t xml:space="preserve"> with </w:t>
      </w:r>
      <w:proofErr w:type="gramStart"/>
      <w:r w:rsidR="00E8270A">
        <w:t>N,N</w:t>
      </w:r>
      <w:proofErr w:type="gramEnd"/>
      <w:r w:rsidR="00E8270A">
        <w:t xml:space="preserve">-dimethylethylamine (blue veil vison outcomes) and with cyclohexylamine and dimethylamine (irritation outcomes) </w:t>
      </w:r>
      <w:r w:rsidR="00B748F3">
        <w:t>each having TWA of 2 </w:t>
      </w:r>
      <w:r w:rsidR="00E8270A">
        <w:t>ppm</w:t>
      </w:r>
      <w:r w:rsidR="00B748F3">
        <w:t xml:space="preserve"> (</w:t>
      </w:r>
      <w:r w:rsidR="00E634D4">
        <w:t>D</w:t>
      </w:r>
      <w:r w:rsidR="00B748F3">
        <w:t>FG, 2018).</w:t>
      </w:r>
    </w:p>
    <w:p w14:paraId="092DC5E8" w14:textId="2B4AD4BA" w:rsidR="0054309B" w:rsidRPr="00D339F2" w:rsidRDefault="003A0261" w:rsidP="0054309B">
      <w:r>
        <w:t xml:space="preserve">There are inconsistent data and decisions about recommended occupational exposure limits by primary agencies. </w:t>
      </w:r>
      <w:r w:rsidR="00F03FD1">
        <w:t>Based on m</w:t>
      </w:r>
      <w:r w:rsidR="00F35CBB">
        <w:t>oderate irritation</w:t>
      </w:r>
      <w:r w:rsidR="004F0A22">
        <w:t xml:space="preserve"> of the URT</w:t>
      </w:r>
      <w:r w:rsidR="00F35CBB">
        <w:t xml:space="preserve"> in workers at 20 ppm</w:t>
      </w:r>
      <w:r w:rsidR="004F0A22">
        <w:t xml:space="preserve"> with a NOAEC of 8</w:t>
      </w:r>
      <w:r w:rsidR="007E267B">
        <w:t> </w:t>
      </w:r>
      <w:r w:rsidR="004F0A22">
        <w:t>ppm</w:t>
      </w:r>
      <w:r w:rsidR="00F03FD1">
        <w:t xml:space="preserve"> </w:t>
      </w:r>
      <w:r w:rsidR="0018220D">
        <w:t>and</w:t>
      </w:r>
      <w:r w:rsidR="004F0A22">
        <w:t xml:space="preserve"> a NOAEC of 10 ppm in a rat inhalation study, the TWA of 10</w:t>
      </w:r>
      <w:r w:rsidR="004253E9">
        <w:t> </w:t>
      </w:r>
      <w:r w:rsidR="004F0A22">
        <w:t xml:space="preserve">ppm </w:t>
      </w:r>
      <w:r>
        <w:t xml:space="preserve">and STEL of </w:t>
      </w:r>
      <w:r w:rsidR="00651F86">
        <w:t>15</w:t>
      </w:r>
      <w:r>
        <w:t xml:space="preserve"> ppm are</w:t>
      </w:r>
      <w:r w:rsidR="004F0A22">
        <w:t xml:space="preserve"> recommended to be retained</w:t>
      </w:r>
      <w:r w:rsidR="00F03FD1">
        <w:t xml:space="preserve">. </w:t>
      </w:r>
      <w:r>
        <w:t xml:space="preserve">The fact TMA has a highly offensive odour at concentrations greater </w:t>
      </w:r>
      <w:r>
        <w:lastRenderedPageBreak/>
        <w:t xml:space="preserve">than 1 ppm will also likely be a limiting factor for worker exposure. </w:t>
      </w:r>
      <w:r w:rsidR="00F03FD1">
        <w:t>The recommended TWA</w:t>
      </w:r>
      <w:r w:rsidR="004F0A22">
        <w:t xml:space="preserve"> </w:t>
      </w:r>
      <w:r>
        <w:t>and STEL are</w:t>
      </w:r>
      <w:r w:rsidR="004F0A22">
        <w:t xml:space="preserve"> considered protective of the critical effects. </w:t>
      </w:r>
    </w:p>
    <w:p w14:paraId="3A236EB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C5B0C10" w14:textId="77777777" w:rsidR="008E4F1F" w:rsidRPr="0054309B" w:rsidRDefault="008E4F1F" w:rsidP="008E4F1F">
      <w:pPr>
        <w:rPr>
          <w:rFonts w:cs="Arial"/>
        </w:rPr>
      </w:pPr>
      <w:r w:rsidRPr="0054309B">
        <w:rPr>
          <w:rFonts w:cs="Arial"/>
        </w:rPr>
        <w:t>Not classified as a carcinogen according to the Globally Harmonized System of</w:t>
      </w:r>
      <w:r w:rsidR="00155999" w:rsidRPr="0054309B">
        <w:rPr>
          <w:rFonts w:cs="Arial"/>
        </w:rPr>
        <w:t xml:space="preserve"> Classification and Labelling of</w:t>
      </w:r>
      <w:r w:rsidRPr="0054309B">
        <w:rPr>
          <w:rFonts w:cs="Arial"/>
        </w:rPr>
        <w:t xml:space="preserve"> Chemicals (GHS). </w:t>
      </w:r>
    </w:p>
    <w:p w14:paraId="4BEABABF" w14:textId="77777777" w:rsidR="008E4F1F" w:rsidRPr="0054309B" w:rsidRDefault="008E4F1F" w:rsidP="008E4F1F">
      <w:pPr>
        <w:rPr>
          <w:rFonts w:cs="Arial"/>
        </w:rPr>
      </w:pPr>
      <w:r w:rsidRPr="0054309B">
        <w:rPr>
          <w:rFonts w:cs="Arial"/>
        </w:rPr>
        <w:t xml:space="preserve">Not classified as a skin </w:t>
      </w:r>
      <w:r w:rsidR="00155999" w:rsidRPr="0054309B">
        <w:rPr>
          <w:rFonts w:cs="Arial"/>
        </w:rPr>
        <w:t xml:space="preserve">sensitiser </w:t>
      </w:r>
      <w:r w:rsidRPr="0054309B">
        <w:rPr>
          <w:rFonts w:cs="Arial"/>
        </w:rPr>
        <w:t>or respiratory sensitiser according to the GHS.</w:t>
      </w:r>
    </w:p>
    <w:p w14:paraId="070B11D3" w14:textId="0C0C22D7" w:rsidR="004529F0" w:rsidRPr="004C23F4" w:rsidRDefault="004A6F88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54309B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54309B">
        <w:rPr>
          <w:rFonts w:cs="Arial"/>
        </w:rPr>
        <w:t xml:space="preserve"> to recommend a skin notation.</w:t>
      </w:r>
    </w:p>
    <w:p w14:paraId="4EB7765C" w14:textId="77777777" w:rsidR="0025734A" w:rsidRPr="004C23F4" w:rsidRDefault="0025734A">
      <w:pPr>
        <w:rPr>
          <w:rFonts w:cs="Arial"/>
        </w:rPr>
      </w:pPr>
    </w:p>
    <w:p w14:paraId="6F4495C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533559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D66D78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14A4E81" w14:textId="77777777" w:rsidTr="006C78D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D66F17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A8EC21B" w14:textId="77777777" w:rsidTr="006C78D5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7066" w14:textId="35610305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D2E08">
                  <w:t>198</w:t>
                </w:r>
                <w:r w:rsidR="00CC4084">
                  <w:t>6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C4084">
                  <w:t>TWA: 10 ppm (24 mg/m</w:t>
                </w:r>
                <w:r w:rsidR="00CC4084" w:rsidRPr="00071B88">
                  <w:rPr>
                    <w:vertAlign w:val="superscript"/>
                  </w:rPr>
                  <w:t>3</w:t>
                </w:r>
                <w:r w:rsidR="00CC4084">
                  <w:t>); STEL: 15 ppm (36 mg/m</w:t>
                </w:r>
                <w:r w:rsidR="00CC4084" w:rsidRPr="00CC4084">
                  <w:rPr>
                    <w:vertAlign w:val="superscript"/>
                  </w:rPr>
                  <w:t>3</w:t>
                </w:r>
                <w:r w:rsidR="00CC4084">
                  <w:t>)</w:t>
                </w:r>
              </w:sdtContent>
            </w:sdt>
          </w:p>
        </w:tc>
      </w:tr>
      <w:tr w:rsidR="00C978F0" w:rsidRPr="00DA352E" w14:paraId="55E98C51" w14:textId="77777777" w:rsidTr="006C78D5">
        <w:trPr>
          <w:gridAfter w:val="1"/>
          <w:wAfter w:w="8" w:type="pct"/>
          <w:cantSplit/>
        </w:trPr>
        <w:tc>
          <w:tcPr>
            <w:tcW w:w="4992" w:type="pct"/>
          </w:tcPr>
          <w:p w14:paraId="6BC4DDED" w14:textId="77777777" w:rsidR="00C978F0" w:rsidRDefault="007E7931" w:rsidP="003365A5">
            <w:pPr>
              <w:pStyle w:val="Tabletextprimarysource"/>
            </w:pPr>
            <w:r>
              <w:t>No report</w:t>
            </w:r>
            <w:r w:rsidR="003D2E08">
              <w:t>.</w:t>
            </w:r>
          </w:p>
          <w:p w14:paraId="51B989D5" w14:textId="10E89EBA" w:rsidR="003D2E08" w:rsidRPr="00DA352E" w:rsidRDefault="003D2E08" w:rsidP="003365A5">
            <w:pPr>
              <w:pStyle w:val="Tabletextprimarysource"/>
            </w:pPr>
            <w:r>
              <w:t>Adopted from the ACGIH 1986.</w:t>
            </w:r>
          </w:p>
        </w:tc>
      </w:tr>
      <w:tr w:rsidR="00C978F0" w:rsidRPr="00DA352E" w14:paraId="7CB8FFC7" w14:textId="77777777" w:rsidTr="006C78D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BB8D464" w14:textId="09C10C9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F1C53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F1C53" w:rsidRPr="002F1C53">
                  <w:t xml:space="preserve">TWA: </w:t>
                </w:r>
                <w:r w:rsidR="002F1C53">
                  <w:t>5</w:t>
                </w:r>
                <w:r w:rsidR="002F1C53" w:rsidRPr="002F1C53">
                  <w:t xml:space="preserve"> ppm (</w:t>
                </w:r>
                <w:r w:rsidR="002F1C53">
                  <w:t>12</w:t>
                </w:r>
                <w:r w:rsidR="002F1C53" w:rsidRPr="002F1C53">
                  <w:t xml:space="preserve"> mg/m</w:t>
                </w:r>
                <w:r w:rsidR="002F1C53" w:rsidRPr="002F1C53">
                  <w:rPr>
                    <w:vertAlign w:val="superscript"/>
                  </w:rPr>
                  <w:t>3</w:t>
                </w:r>
                <w:r w:rsidR="002F1C53" w:rsidRPr="002F1C53">
                  <w:t>); STEL: 15 ppm (36 mg/m</w:t>
                </w:r>
                <w:r w:rsidR="002F1C53" w:rsidRPr="002F1C53">
                  <w:rPr>
                    <w:vertAlign w:val="superscript"/>
                  </w:rPr>
                  <w:t>3</w:t>
                </w:r>
                <w:r w:rsidR="002F1C53" w:rsidRPr="002F1C53">
                  <w:t>)</w:t>
                </w:r>
              </w:sdtContent>
            </w:sdt>
          </w:p>
        </w:tc>
      </w:tr>
      <w:tr w:rsidR="00C978F0" w:rsidRPr="00DA352E" w14:paraId="17351CB2" w14:textId="77777777" w:rsidTr="006C78D5">
        <w:trPr>
          <w:gridAfter w:val="1"/>
          <w:wAfter w:w="8" w:type="pct"/>
          <w:cantSplit/>
        </w:trPr>
        <w:tc>
          <w:tcPr>
            <w:tcW w:w="4992" w:type="pct"/>
          </w:tcPr>
          <w:p w14:paraId="649EEA33" w14:textId="08537D9B" w:rsidR="00C978F0" w:rsidRDefault="006A139E" w:rsidP="003365A5">
            <w:pPr>
              <w:pStyle w:val="Tabletextprimarysource"/>
            </w:pPr>
            <w:r>
              <w:t xml:space="preserve">TLV-TWA recommended to minimise </w:t>
            </w:r>
            <w:r w:rsidR="0006478C">
              <w:t>URT</w:t>
            </w:r>
            <w:r>
              <w:t>, eye and skin irritation.</w:t>
            </w:r>
          </w:p>
          <w:p w14:paraId="0261A9FA" w14:textId="3961DC95" w:rsidR="006A139E" w:rsidRDefault="006A139E" w:rsidP="003365A5">
            <w:pPr>
              <w:pStyle w:val="Tabletextprimarysource"/>
            </w:pPr>
            <w:r>
              <w:t>TLV</w:t>
            </w:r>
            <w:r w:rsidR="0055251F">
              <w:t>-</w:t>
            </w:r>
            <w:r>
              <w:t>STEL</w:t>
            </w:r>
            <w:r w:rsidR="0006478C">
              <w:t xml:space="preserve"> </w:t>
            </w:r>
            <w:r>
              <w:t>based on analogy to methylamine recommended to minimise irritation from peak exposures.</w:t>
            </w:r>
          </w:p>
          <w:p w14:paraId="2D7EB86F" w14:textId="0A3BE88A" w:rsidR="007E267B" w:rsidRDefault="006A139E" w:rsidP="003365A5">
            <w:pPr>
              <w:pStyle w:val="Tabletextprimarysource"/>
            </w:pPr>
            <w:r w:rsidRPr="00A85156">
              <w:t>Summary of data:</w:t>
            </w:r>
          </w:p>
          <w:p w14:paraId="6212C881" w14:textId="580F2DCD" w:rsidR="006A139E" w:rsidRDefault="006A139E" w:rsidP="00E634D4">
            <w:pPr>
              <w:pStyle w:val="ListBullet"/>
              <w:spacing w:before="60" w:after="60"/>
              <w:ind w:left="1077" w:hanging="357"/>
              <w:contextualSpacing w:val="0"/>
            </w:pPr>
            <w:r w:rsidRPr="00A85156">
              <w:t>TLV</w:t>
            </w:r>
            <w:r w:rsidR="0055251F">
              <w:t>-</w:t>
            </w:r>
            <w:r w:rsidRPr="00A85156">
              <w:t>TWA based on results of inhalation tests in animals</w:t>
            </w:r>
            <w:r w:rsidR="00A85156">
              <w:t>; no specific derivation provided.</w:t>
            </w:r>
          </w:p>
          <w:p w14:paraId="48E5AEC4" w14:textId="663DECD6" w:rsidR="00A85156" w:rsidRPr="00A85156" w:rsidRDefault="00A85156" w:rsidP="00E634D4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It has an offensive, pungent, fishy, ammoniacal odour and saline taste with an odour </w:t>
            </w:r>
            <w:r w:rsidRPr="00755732">
              <w:t>threshold reported between 0.2</w:t>
            </w:r>
            <w:r w:rsidR="003A0AAA">
              <w:t>–</w:t>
            </w:r>
            <w:r w:rsidRPr="00755732">
              <w:t>0.8 ppb</w:t>
            </w:r>
            <w:r w:rsidR="00755732" w:rsidRPr="00755732">
              <w:t>; at the TLV</w:t>
            </w:r>
            <w:r w:rsidR="0055251F">
              <w:t>-TWA</w:t>
            </w:r>
            <w:r w:rsidR="00755732" w:rsidRPr="00755732">
              <w:t xml:space="preserve"> concentration, the odour of trimethylamine </w:t>
            </w:r>
            <w:r w:rsidR="006E3EF4">
              <w:t>is likely</w:t>
            </w:r>
            <w:r w:rsidR="006E3EF4" w:rsidRPr="00755732">
              <w:t xml:space="preserve"> </w:t>
            </w:r>
            <w:r w:rsidR="00755732" w:rsidRPr="00755732">
              <w:t xml:space="preserve">sufficiently unpleasant to work under those conditions </w:t>
            </w:r>
          </w:p>
          <w:p w14:paraId="11C064AE" w14:textId="595CF4D4" w:rsidR="00755732" w:rsidRPr="00755732" w:rsidRDefault="00755732" w:rsidP="00E634D4">
            <w:pPr>
              <w:pStyle w:val="ListBullet"/>
              <w:spacing w:before="60" w:after="60"/>
              <w:ind w:left="1077" w:hanging="357"/>
              <w:contextualSpacing w:val="0"/>
            </w:pPr>
            <w:r w:rsidRPr="00755732">
              <w:t>TLV</w:t>
            </w:r>
            <w:r w:rsidR="0055251F">
              <w:t>-</w:t>
            </w:r>
            <w:r w:rsidRPr="00755732">
              <w:t xml:space="preserve">STEL of 15 ppm based on analogy to methylamine, </w:t>
            </w:r>
            <w:r w:rsidR="006E3EF4">
              <w:t>with</w:t>
            </w:r>
            <w:r w:rsidRPr="00755732">
              <w:t xml:space="preserve"> irritation documented in humans exposed at ≥20 ppm</w:t>
            </w:r>
            <w:r w:rsidR="006E3EF4">
              <w:t>.</w:t>
            </w:r>
          </w:p>
          <w:p w14:paraId="6798FC7D" w14:textId="37549AD9" w:rsidR="007E267B" w:rsidRDefault="006A139E" w:rsidP="006A139E">
            <w:pPr>
              <w:pStyle w:val="Tabletextprimarysource"/>
            </w:pPr>
            <w:r>
              <w:t>Human data:</w:t>
            </w:r>
          </w:p>
          <w:p w14:paraId="2EBAFC6E" w14:textId="321BEE9D" w:rsidR="006A139E" w:rsidRDefault="005B52AB" w:rsidP="0018220D">
            <w:pPr>
              <w:pStyle w:val="ListBullet"/>
              <w:numPr>
                <w:ilvl w:val="0"/>
                <w:numId w:val="6"/>
              </w:numPr>
              <w:spacing w:before="60" w:after="60"/>
              <w:ind w:left="1153" w:hanging="425"/>
              <w:contextualSpacing w:val="0"/>
            </w:pPr>
            <w:r w:rsidRPr="00573BEA">
              <w:t xml:space="preserve">Corrosive to </w:t>
            </w:r>
            <w:r w:rsidR="00EE0C6E">
              <w:t xml:space="preserve">intact </w:t>
            </w:r>
            <w:r w:rsidRPr="00573BEA">
              <w:t xml:space="preserve">human skin </w:t>
            </w:r>
            <w:r w:rsidR="00EE0C6E">
              <w:t xml:space="preserve">when applied as concentrated solution; </w:t>
            </w:r>
            <w:r>
              <w:t>petechial haemorrhages appeared on the skin even when the solution was washed away with soap and water within minutes of application</w:t>
            </w:r>
          </w:p>
          <w:p w14:paraId="6338D791" w14:textId="77777777" w:rsidR="0055251F" w:rsidRDefault="00EE0C6E" w:rsidP="0018220D">
            <w:pPr>
              <w:pStyle w:val="ListBullet"/>
              <w:ind w:left="1153" w:hanging="425"/>
            </w:pPr>
            <w:r>
              <w:t>A</w:t>
            </w:r>
            <w:r w:rsidR="005B52AB">
              <w:t>ccidental human eye contact with TMA caused corneal epithelial sloughing; the initial damage was followed by prompt healing with no sign corneal or ocular injury within</w:t>
            </w:r>
            <w:r w:rsidR="0055251F">
              <w:t> </w:t>
            </w:r>
          </w:p>
          <w:p w14:paraId="466F6344" w14:textId="004E9F10" w:rsidR="005B52AB" w:rsidRDefault="005B52AB" w:rsidP="0055251F">
            <w:pPr>
              <w:pStyle w:val="ListBullet"/>
              <w:numPr>
                <w:ilvl w:val="0"/>
                <w:numId w:val="0"/>
              </w:numPr>
              <w:ind w:left="1153"/>
            </w:pPr>
            <w:r>
              <w:t>4</w:t>
            </w:r>
            <w:r w:rsidR="0055251F" w:rsidRPr="00755732">
              <w:t>–</w:t>
            </w:r>
            <w:r>
              <w:t>5 d</w:t>
            </w:r>
            <w:r w:rsidR="006E3EF4">
              <w:t>.</w:t>
            </w:r>
          </w:p>
          <w:p w14:paraId="5960CD53" w14:textId="2130B3B4" w:rsidR="007E267B" w:rsidRDefault="00EC48E1" w:rsidP="00EC48E1">
            <w:pPr>
              <w:pStyle w:val="Tabletextprimarysource"/>
            </w:pPr>
            <w:r>
              <w:t>Animal data:</w:t>
            </w:r>
          </w:p>
          <w:p w14:paraId="0F864A88" w14:textId="13FA7A0E" w:rsidR="007E267B" w:rsidRDefault="005378A4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Groups of rats exposed 6 h/d, 5 d/w</w:t>
            </w:r>
            <w:r w:rsidR="00E64239">
              <w:t>k</w:t>
            </w:r>
            <w:r>
              <w:t xml:space="preserve"> for 2 wk at 0, 75, 250 or 750 ppm TMA vapour</w:t>
            </w:r>
            <w:r w:rsidR="004C2EB0">
              <w:t>:</w:t>
            </w:r>
          </w:p>
          <w:p w14:paraId="15564545" w14:textId="0B29295B" w:rsidR="005378A4" w:rsidRDefault="007E267B" w:rsidP="00684CE7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C</w:t>
            </w:r>
            <w:r w:rsidR="005378A4">
              <w:t>oncentration-dependent degenerative changes in nasal olfactory and respiratory mucosa at all exposure levels</w:t>
            </w:r>
            <w:r>
              <w:t>, histopathologic examination after 10 d</w:t>
            </w:r>
            <w:r w:rsidR="005378A4">
              <w:t>; resolved at end of 2</w:t>
            </w:r>
            <w:r w:rsidR="00684CE7">
              <w:t xml:space="preserve"> </w:t>
            </w:r>
            <w:r w:rsidR="005378A4">
              <w:t>wk recovery period</w:t>
            </w:r>
            <w:r>
              <w:t xml:space="preserve"> </w:t>
            </w:r>
          </w:p>
          <w:p w14:paraId="25606D28" w14:textId="4524395D" w:rsidR="005378A4" w:rsidRDefault="005378A4" w:rsidP="00684CE7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degeneration of tracheal mucosa </w:t>
            </w:r>
            <w:r w:rsidR="007E267B">
              <w:t xml:space="preserve">reported </w:t>
            </w:r>
            <w:r>
              <w:t>at 250 and 750 ppm</w:t>
            </w:r>
          </w:p>
          <w:p w14:paraId="220015DC" w14:textId="19B96C32" w:rsidR="005378A4" w:rsidRDefault="005378A4" w:rsidP="00684CE7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NOAEL not determined, although irritation </w:t>
            </w:r>
            <w:r w:rsidR="007E267B">
              <w:t xml:space="preserve">reported </w:t>
            </w:r>
            <w:r>
              <w:t>at 75 ppm was considered slight to moderate and of a transient nature</w:t>
            </w:r>
          </w:p>
          <w:p w14:paraId="45F1C798" w14:textId="66829E75" w:rsidR="005378A4" w:rsidRDefault="006E3EF4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A</w:t>
            </w:r>
            <w:r w:rsidR="00A57594">
              <w:t xml:space="preserve"> similar study where rats inhaled</w:t>
            </w:r>
            <w:r w:rsidR="00E64239">
              <w:t xml:space="preserve"> 0,</w:t>
            </w:r>
            <w:r w:rsidR="00A57594">
              <w:t xml:space="preserve"> 10 or 31 ppm for 7 mo; </w:t>
            </w:r>
            <w:r>
              <w:t>reported a</w:t>
            </w:r>
            <w:r w:rsidR="00A57594">
              <w:t xml:space="preserve"> </w:t>
            </w:r>
            <w:r w:rsidR="00E64239">
              <w:t xml:space="preserve">NOAEC </w:t>
            </w:r>
            <w:r>
              <w:t xml:space="preserve">of </w:t>
            </w:r>
            <w:r w:rsidR="003A0AAA">
              <w:rPr>
                <w:rFonts w:cs="Arial"/>
              </w:rPr>
              <w:t>≈</w:t>
            </w:r>
            <w:r>
              <w:t>10</w:t>
            </w:r>
            <w:r w:rsidR="00E64239">
              <w:t> </w:t>
            </w:r>
            <w:r>
              <w:t>ppm</w:t>
            </w:r>
            <w:r w:rsidR="00E64239">
              <w:t xml:space="preserve"> (</w:t>
            </w:r>
            <w:r>
              <w:t>data and information very limited</w:t>
            </w:r>
            <w:r w:rsidR="00E64239">
              <w:t>)</w:t>
            </w:r>
          </w:p>
          <w:p w14:paraId="44817D64" w14:textId="4EA35514" w:rsidR="00A57594" w:rsidRDefault="00365B4C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Instillation of single drops of aqueous solutions</w:t>
            </w:r>
            <w:r w:rsidR="006E3EF4">
              <w:t xml:space="preserve"> in</w:t>
            </w:r>
            <w:r>
              <w:t xml:space="preserve"> animal eyes demonstrated that TMA can produce severe eye irritation and damage, increasing with concentration</w:t>
            </w:r>
          </w:p>
          <w:p w14:paraId="41AAB95A" w14:textId="77777777" w:rsidR="00A85156" w:rsidRDefault="00A85156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No relevant carcinogenicity studies identified; no evidence for mutagenic activity of in </w:t>
            </w:r>
            <w:r w:rsidRPr="00A85156">
              <w:rPr>
                <w:i/>
              </w:rPr>
              <w:t>S. typhimurium</w:t>
            </w:r>
            <w:r>
              <w:t xml:space="preserve"> strains TA1535, TA1537, TA98 and TA100 could be detected with or without activation</w:t>
            </w:r>
            <w:r w:rsidR="006E3EF4">
              <w:t>.</w:t>
            </w:r>
          </w:p>
          <w:p w14:paraId="60397472" w14:textId="044E0F39" w:rsidR="004D1FF4" w:rsidRPr="00DA352E" w:rsidRDefault="004D1FF4" w:rsidP="004D1FF4">
            <w:pPr>
              <w:pStyle w:val="ListBullet"/>
              <w:numPr>
                <w:ilvl w:val="0"/>
                <w:numId w:val="0"/>
              </w:numPr>
              <w:spacing w:before="60" w:after="60"/>
              <w:ind w:left="1080"/>
              <w:contextualSpacing w:val="0"/>
            </w:pPr>
          </w:p>
        </w:tc>
      </w:tr>
      <w:tr w:rsidR="00C978F0" w:rsidRPr="00DA352E" w14:paraId="26DEC622" w14:textId="77777777" w:rsidTr="006C78D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B9AA5FD" w14:textId="5C6E94E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67D62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67D62">
                  <w:t>MAK: 2 ppm (4.9 mg/m</w:t>
                </w:r>
                <w:r w:rsidR="00A67D62" w:rsidRPr="00A67D62">
                  <w:rPr>
                    <w:vertAlign w:val="superscript"/>
                  </w:rPr>
                  <w:t>3</w:t>
                </w:r>
                <w:r w:rsidR="00A67D62">
                  <w:t>)</w:t>
                </w:r>
              </w:sdtContent>
            </w:sdt>
          </w:p>
        </w:tc>
      </w:tr>
      <w:tr w:rsidR="00C978F0" w:rsidRPr="00DA352E" w14:paraId="51350E21" w14:textId="77777777" w:rsidTr="006C78D5">
        <w:trPr>
          <w:gridAfter w:val="1"/>
          <w:wAfter w:w="8" w:type="pct"/>
        </w:trPr>
        <w:tc>
          <w:tcPr>
            <w:tcW w:w="4992" w:type="pct"/>
          </w:tcPr>
          <w:p w14:paraId="3A1E0385" w14:textId="7978719C" w:rsidR="00C978F0" w:rsidRDefault="009617FD" w:rsidP="003365A5">
            <w:pPr>
              <w:pStyle w:val="Tabletextprimarysource"/>
            </w:pPr>
            <w:r>
              <w:t>MAK recommended based on evidence of local irritation of the respiratory epithelium of the nose and the blue veil vision observed after exposure to tertiary amines</w:t>
            </w:r>
            <w:r w:rsidR="004C2EB0">
              <w:t>.</w:t>
            </w:r>
          </w:p>
          <w:p w14:paraId="5318F05D" w14:textId="1CAB5766" w:rsidR="007E267B" w:rsidRDefault="000A4DFA" w:rsidP="003365A5">
            <w:pPr>
              <w:pStyle w:val="Tabletextprimarysource"/>
            </w:pPr>
            <w:r>
              <w:lastRenderedPageBreak/>
              <w:t>Summary of additional data</w:t>
            </w:r>
            <w:r w:rsidR="004C2EB0">
              <w:t>:</w:t>
            </w:r>
          </w:p>
          <w:p w14:paraId="7563D0D7" w14:textId="7444A2EB" w:rsidR="007E267B" w:rsidRDefault="000A4DFA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MAK value of 2 ppm based on</w:t>
            </w:r>
            <w:r w:rsidR="004C2EB0">
              <w:t>:</w:t>
            </w:r>
          </w:p>
          <w:p w14:paraId="767232E3" w14:textId="7D0FEF03" w:rsidR="000A4DFA" w:rsidRDefault="006E3EF4" w:rsidP="00684CE7">
            <w:pPr>
              <w:pStyle w:val="ListBullet"/>
              <w:numPr>
                <w:ilvl w:val="0"/>
                <w:numId w:val="5"/>
              </w:numPr>
              <w:spacing w:before="60" w:after="60"/>
              <w:ind w:hanging="357"/>
              <w:contextualSpacing w:val="0"/>
            </w:pPr>
            <w:r>
              <w:t>c</w:t>
            </w:r>
            <w:r w:rsidR="000A4DFA">
              <w:t xml:space="preserve">omparison with </w:t>
            </w:r>
            <w:proofErr w:type="gramStart"/>
            <w:r w:rsidR="000A4DFA">
              <w:t>N,N</w:t>
            </w:r>
            <w:proofErr w:type="gramEnd"/>
            <w:r w:rsidR="000A4DFA">
              <w:t>-dimethylethylamine (MAK 2</w:t>
            </w:r>
            <w:r w:rsidR="00684CE7">
              <w:t xml:space="preserve"> </w:t>
            </w:r>
            <w:r w:rsidR="000A4DFA">
              <w:t>ppm) and blue veil vison outcomes</w:t>
            </w:r>
          </w:p>
          <w:p w14:paraId="6C2ABE90" w14:textId="28F75F58" w:rsidR="000A4DFA" w:rsidRDefault="006E3EF4" w:rsidP="00684CE7">
            <w:pPr>
              <w:pStyle w:val="ListBullet"/>
              <w:numPr>
                <w:ilvl w:val="0"/>
                <w:numId w:val="5"/>
              </w:numPr>
              <w:spacing w:before="60" w:after="60"/>
              <w:ind w:hanging="357"/>
              <w:contextualSpacing w:val="0"/>
            </w:pPr>
            <w:r>
              <w:t>a</w:t>
            </w:r>
            <w:r w:rsidR="000A4DFA">
              <w:t>nalogy with cyclohexylamine and dimethylamine (MAK 2</w:t>
            </w:r>
            <w:r w:rsidR="00684CE7">
              <w:t xml:space="preserve"> </w:t>
            </w:r>
            <w:r w:rsidR="00CF4107">
              <w:t>ppm) and</w:t>
            </w:r>
            <w:r w:rsidR="000A4DFA">
              <w:t xml:space="preserve"> irritation outcome</w:t>
            </w:r>
          </w:p>
          <w:p w14:paraId="765510A3" w14:textId="773AFD93" w:rsidR="000A4DFA" w:rsidRDefault="000A4DFA" w:rsidP="00684CE7">
            <w:pPr>
              <w:pStyle w:val="ListBullet"/>
              <w:numPr>
                <w:ilvl w:val="0"/>
                <w:numId w:val="5"/>
              </w:numPr>
              <w:spacing w:before="60" w:after="60"/>
              <w:ind w:hanging="357"/>
              <w:contextualSpacing w:val="0"/>
            </w:pPr>
            <w:r>
              <w:t>2 wk inhalation study in rats and irritation outcome.</w:t>
            </w:r>
          </w:p>
          <w:p w14:paraId="3D661A41" w14:textId="6FB74606" w:rsidR="009617FD" w:rsidRDefault="009617FD" w:rsidP="003365A5">
            <w:pPr>
              <w:pStyle w:val="Tabletextprimarysource"/>
            </w:pPr>
            <w:r>
              <w:t>Blue veil vision</w:t>
            </w:r>
          </w:p>
          <w:p w14:paraId="57D50698" w14:textId="082AFA6D" w:rsidR="009617FD" w:rsidRDefault="009617FD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Blue veil vision observed after the exposure of workers to the tertiary amines </w:t>
            </w:r>
            <w:proofErr w:type="gramStart"/>
            <w:r>
              <w:t>N,N</w:t>
            </w:r>
            <w:proofErr w:type="gramEnd"/>
            <w:r w:rsidR="007E267B">
              <w:noBreakHyphen/>
            </w:r>
            <w:proofErr w:type="spellStart"/>
            <w:r>
              <w:t>dimethylethylamine</w:t>
            </w:r>
            <w:proofErr w:type="spellEnd"/>
            <w:r>
              <w:t xml:space="preserve"> and triethylamine cannot be excluded for trimethylamine because of its structural similarity with these substances</w:t>
            </w:r>
          </w:p>
          <w:p w14:paraId="3CE370A1" w14:textId="3B93E3BC" w:rsidR="009617FD" w:rsidRDefault="006E3EF4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</w:t>
            </w:r>
            <w:r w:rsidR="009617FD">
              <w:t xml:space="preserve">ize of the alkyl groups of the amine play a role in the occurrence of blue veil vision; triethylamine has a stronger effect than </w:t>
            </w:r>
            <w:proofErr w:type="gramStart"/>
            <w:r w:rsidR="009617FD">
              <w:t>N,N</w:t>
            </w:r>
            <w:proofErr w:type="gramEnd"/>
            <w:r w:rsidR="009617FD">
              <w:t>-dimethylethylamine with regard to this end point</w:t>
            </w:r>
          </w:p>
          <w:p w14:paraId="59D9BD1C" w14:textId="27AA9AB5" w:rsidR="009617FD" w:rsidRDefault="009617FD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Trimethylamine has no ethyl groups, but instead three methyl groups at the nitrogen atom; it can therefore be assumed that its effect is weaker than that of </w:t>
            </w:r>
            <w:proofErr w:type="gramStart"/>
            <w:r>
              <w:t>N,N</w:t>
            </w:r>
            <w:proofErr w:type="gramEnd"/>
            <w:r>
              <w:t xml:space="preserve">-dimethylethylamine, which has a MAK value of </w:t>
            </w:r>
            <w:r w:rsidR="000A4DFA">
              <w:t xml:space="preserve">2 </w:t>
            </w:r>
            <w:r>
              <w:t>ppm</w:t>
            </w:r>
          </w:p>
          <w:p w14:paraId="2EF81005" w14:textId="33947C63" w:rsidR="009617FD" w:rsidRDefault="009617FD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A MAK value of 2 ppm for trimethylamine would therefore provide protection for blue veil vision</w:t>
            </w:r>
            <w:r w:rsidR="006E3EF4">
              <w:t>.</w:t>
            </w:r>
          </w:p>
          <w:p w14:paraId="36208670" w14:textId="77777777" w:rsidR="009617FD" w:rsidRDefault="007F5E89" w:rsidP="007F5E89">
            <w:pPr>
              <w:pStyle w:val="Tabletextprimarysource"/>
            </w:pPr>
            <w:r>
              <w:t>Local irritation of the respiratory epithelium of the nose</w:t>
            </w:r>
          </w:p>
          <w:p w14:paraId="07BCE230" w14:textId="73D5CE2F" w:rsidR="007E267B" w:rsidRDefault="007F5E89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2 wk inhalation study in rats (cited by ACGIH, 2018)</w:t>
            </w:r>
            <w:r w:rsidR="00E058D0">
              <w:t>; the lowest tested concentration of 74 ppm is the LOAEC; (different concentrations as cit</w:t>
            </w:r>
            <w:r w:rsidR="00755732">
              <w:t>ed by ACGIH</w:t>
            </w:r>
            <w:r w:rsidR="00E64239">
              <w:t xml:space="preserve">; </w:t>
            </w:r>
            <w:r w:rsidR="00755732">
              <w:t>however</w:t>
            </w:r>
            <w:r w:rsidR="00E64239">
              <w:t>,</w:t>
            </w:r>
            <w:r w:rsidR="00755732">
              <w:t xml:space="preserve"> same study/</w:t>
            </w:r>
            <w:r w:rsidR="00E058D0">
              <w:t>author)</w:t>
            </w:r>
            <w:r w:rsidR="004C2EB0">
              <w:t>:</w:t>
            </w:r>
          </w:p>
          <w:p w14:paraId="6EB7F2FA" w14:textId="367F2395" w:rsidR="00E058D0" w:rsidRDefault="006E3EF4" w:rsidP="00684CE7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u</w:t>
            </w:r>
            <w:r w:rsidR="00755732">
              <w:t>sing</w:t>
            </w:r>
            <w:r w:rsidR="00E058D0">
              <w:t xml:space="preserve"> a procedure not described, DFG derive a NAEC of 25 ppm from the LOAEC of 74 ppm</w:t>
            </w:r>
          </w:p>
          <w:p w14:paraId="346F43A4" w14:textId="042FE265" w:rsidR="00E058D0" w:rsidRDefault="00E058D0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Irritation of the eyes and mucous membranes occurred in exposed workers at concentrations </w:t>
            </w:r>
            <w:r>
              <w:rPr>
                <w:rFonts w:cs="Arial"/>
              </w:rPr>
              <w:t>≥</w:t>
            </w:r>
            <w:r>
              <w:t xml:space="preserve">20 ppm </w:t>
            </w:r>
            <w:r w:rsidR="00E64239">
              <w:t>(</w:t>
            </w:r>
            <w:r>
              <w:t>no further details</w:t>
            </w:r>
            <w:r w:rsidR="00E64239">
              <w:t>)</w:t>
            </w:r>
          </w:p>
          <w:p w14:paraId="151732C2" w14:textId="1088E089" w:rsidR="00E058D0" w:rsidRDefault="00E058D0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Workers exposed at 0.1</w:t>
            </w:r>
            <w:r w:rsidR="003A0AAA">
              <w:t>–</w:t>
            </w:r>
            <w:r>
              <w:t xml:space="preserve">8 ppm (8-h mean value </w:t>
            </w:r>
            <w:r w:rsidR="006E3EF4">
              <w:t>&lt;</w:t>
            </w:r>
            <w:r>
              <w:t xml:space="preserve">5 ppm), as measured by a manufacturer and by a consumer, had no toxic effects </w:t>
            </w:r>
            <w:r w:rsidR="00E64239">
              <w:t>(</w:t>
            </w:r>
            <w:r>
              <w:t>no further details</w:t>
            </w:r>
            <w:r w:rsidR="00E64239">
              <w:t>)</w:t>
            </w:r>
          </w:p>
          <w:p w14:paraId="3A8120CB" w14:textId="314DCFFC" w:rsidR="00755732" w:rsidRDefault="00755732" w:rsidP="00684CE7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The MAK of 2 ppm for dimethylamine derived on </w:t>
            </w:r>
            <w:r w:rsidR="00A413FB">
              <w:t xml:space="preserve">LOAEC of 10 ppm reported in </w:t>
            </w:r>
            <w:r>
              <w:t>a 2</w:t>
            </w:r>
            <w:r w:rsidR="00684CE7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study for minimal effects on the nasal epithelium of mice and rats</w:t>
            </w:r>
            <w:r w:rsidR="006E3EF4">
              <w:t>.</w:t>
            </w:r>
          </w:p>
          <w:p w14:paraId="4B63DD7E" w14:textId="66C3CA74" w:rsidR="00755732" w:rsidRPr="00DA352E" w:rsidRDefault="00755732" w:rsidP="000A4DFA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73EE9D41" w14:textId="77777777" w:rsidTr="006C78D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B6BDC48" w14:textId="1B7DEC4B" w:rsidR="00C978F0" w:rsidRPr="00DA352E" w:rsidRDefault="00DA352E" w:rsidP="00A67D6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7" w:hanging="2857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67D62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A67D62" w:rsidRPr="00A67D62">
                  <w:t>TWA:</w:t>
                </w:r>
                <w:r w:rsidR="00A67D62">
                  <w:t xml:space="preserve"> 2 ppm (4.9 mg/m</w:t>
                </w:r>
                <w:r w:rsidR="00A67D62" w:rsidRPr="00A67D62">
                  <w:rPr>
                    <w:vertAlign w:val="superscript"/>
                  </w:rPr>
                  <w:t>3</w:t>
                </w:r>
                <w:r w:rsidR="00A67D62">
                  <w:t xml:space="preserve">); </w:t>
                </w:r>
                <w:r w:rsidR="00A67D62" w:rsidRPr="00A67D62">
                  <w:t>STEL</w:t>
                </w:r>
                <w:r w:rsidR="00A67D62">
                  <w:t>: 5 ppm (12.5 mg/m</w:t>
                </w:r>
                <w:r w:rsidR="00A67D62" w:rsidRPr="00A67D62">
                  <w:rPr>
                    <w:vertAlign w:val="superscript"/>
                  </w:rPr>
                  <w:t>3</w:t>
                </w:r>
                <w:r w:rsidR="00A67D62">
                  <w:t>)</w:t>
                </w:r>
              </w:sdtContent>
            </w:sdt>
            <w:r w:rsidR="00A67D62">
              <w:t xml:space="preserve"> </w:t>
            </w:r>
          </w:p>
        </w:tc>
      </w:tr>
      <w:tr w:rsidR="00C978F0" w:rsidRPr="00DA352E" w14:paraId="256315D0" w14:textId="77777777" w:rsidTr="006C78D5">
        <w:trPr>
          <w:gridAfter w:val="1"/>
          <w:wAfter w:w="8" w:type="pct"/>
          <w:cantSplit/>
        </w:trPr>
        <w:tc>
          <w:tcPr>
            <w:tcW w:w="4992" w:type="pct"/>
          </w:tcPr>
          <w:p w14:paraId="20255653" w14:textId="1130C17A" w:rsidR="007E267B" w:rsidRDefault="008119C4" w:rsidP="003365A5">
            <w:pPr>
              <w:pStyle w:val="Tabletextprimarysource"/>
            </w:pPr>
            <w:r>
              <w:t>Summary of additional data</w:t>
            </w:r>
            <w:r w:rsidR="004C2EB0">
              <w:t>:</w:t>
            </w:r>
          </w:p>
          <w:p w14:paraId="04C1BAFD" w14:textId="012FB7A2" w:rsidR="008119C4" w:rsidRDefault="008119C4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No explanation of the </w:t>
            </w:r>
            <w:r w:rsidR="00BF73BC">
              <w:t xml:space="preserve">OEL </w:t>
            </w:r>
            <w:r>
              <w:t>derivation</w:t>
            </w:r>
            <w:r w:rsidR="00BF73BC">
              <w:t>s are</w:t>
            </w:r>
            <w:r>
              <w:t xml:space="preserve"> provided</w:t>
            </w:r>
          </w:p>
          <w:p w14:paraId="5FB5DE62" w14:textId="02B9FFC7" w:rsidR="00C978F0" w:rsidRDefault="008119C4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Stimulates the sensory trigeminal nerve endings, causing facial and eye irritation and causes respiratory tract epithelial damage from a direct toxic effect</w:t>
            </w:r>
          </w:p>
          <w:p w14:paraId="2690DED8" w14:textId="6E1AB16C" w:rsidR="008119C4" w:rsidRDefault="008119C4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Moderate </w:t>
            </w:r>
            <w:r w:rsidR="00BF73BC">
              <w:t>URT</w:t>
            </w:r>
            <w:r>
              <w:t xml:space="preserve"> irritation occurred in workers at ≥20 ppm </w:t>
            </w:r>
            <w:r w:rsidR="00035F1F">
              <w:t>(</w:t>
            </w:r>
            <w:r>
              <w:t>exposure time not specified</w:t>
            </w:r>
            <w:r w:rsidR="00035F1F">
              <w:t>)</w:t>
            </w:r>
            <w:r>
              <w:t>. No additional details provided</w:t>
            </w:r>
          </w:p>
          <w:p w14:paraId="418A0921" w14:textId="77777777" w:rsidR="008119C4" w:rsidRDefault="00D824D3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Refers to animal studies cited by ACGIH (2018)</w:t>
            </w:r>
            <w:r w:rsidR="00BF73BC">
              <w:t>.</w:t>
            </w:r>
          </w:p>
          <w:p w14:paraId="2413C46B" w14:textId="4CA06D33" w:rsidR="00684CE7" w:rsidRPr="00DA352E" w:rsidRDefault="00684CE7" w:rsidP="00684CE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2CE2C916" w14:textId="77777777" w:rsidTr="006C78D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489757" w14:textId="0FFDDFF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44DE0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44DE0" w:rsidRPr="00744DE0">
                  <w:t>TWA</w:t>
                </w:r>
                <w:r w:rsidR="00744DE0">
                  <w:t>: 1 ppm</w:t>
                </w:r>
              </w:sdtContent>
            </w:sdt>
          </w:p>
        </w:tc>
      </w:tr>
      <w:tr w:rsidR="00DA352E" w:rsidRPr="00DA352E" w14:paraId="7692FADA" w14:textId="77777777" w:rsidTr="006C78D5">
        <w:trPr>
          <w:gridAfter w:val="1"/>
          <w:wAfter w:w="8" w:type="pct"/>
        </w:trPr>
        <w:tc>
          <w:tcPr>
            <w:tcW w:w="4992" w:type="pct"/>
          </w:tcPr>
          <w:p w14:paraId="3FAF95AF" w14:textId="1986B42B" w:rsidR="00441A46" w:rsidRDefault="00441A46" w:rsidP="003365A5">
            <w:pPr>
              <w:pStyle w:val="Tabletextprimarysource"/>
            </w:pPr>
            <w:r>
              <w:t>TWA to protect for halovision, olfactory epithelial damage and fetotoxicity. Will not protect for odour related outcomes</w:t>
            </w:r>
            <w:r w:rsidR="00BF73BC">
              <w:t>.</w:t>
            </w:r>
          </w:p>
          <w:p w14:paraId="16B021D7" w14:textId="04CCDE1E" w:rsidR="00DA352E" w:rsidRDefault="00441A46" w:rsidP="003365A5">
            <w:pPr>
              <w:pStyle w:val="Tabletextprimarysource"/>
            </w:pPr>
            <w:r>
              <w:t>Set in1980, revised in 2005.</w:t>
            </w:r>
          </w:p>
          <w:p w14:paraId="448D5CD8" w14:textId="167B3160" w:rsidR="007E267B" w:rsidRDefault="00441A46" w:rsidP="003365A5">
            <w:pPr>
              <w:pStyle w:val="Tabletextprimarysource"/>
            </w:pPr>
            <w:r>
              <w:t>Summary of additional data</w:t>
            </w:r>
            <w:r w:rsidR="004C2EB0">
              <w:t>:</w:t>
            </w:r>
          </w:p>
          <w:p w14:paraId="06BA199C" w14:textId="11156B48" w:rsidR="00441A46" w:rsidRDefault="00441A46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lastRenderedPageBreak/>
              <w:t xml:space="preserve">Moderate irritation of the upper respiratory system occurred in workers exposed to </w:t>
            </w:r>
            <w:r>
              <w:rPr>
                <w:rFonts w:cs="Arial"/>
              </w:rPr>
              <w:t>≥</w:t>
            </w:r>
            <w:r>
              <w:t xml:space="preserve">20 ppm; </w:t>
            </w:r>
            <w:r w:rsidR="00035F1F">
              <w:t xml:space="preserve">NOAEC </w:t>
            </w:r>
            <w:r>
              <w:t>reported to be 8 ppm; no further information</w:t>
            </w:r>
          </w:p>
          <w:p w14:paraId="5FF946FA" w14:textId="26EA8427" w:rsidR="00441A46" w:rsidRDefault="00441A46" w:rsidP="00684CE7">
            <w:pPr>
              <w:pStyle w:val="ListBullet"/>
              <w:spacing w:before="60" w:after="60"/>
              <w:ind w:left="1077" w:hanging="357"/>
              <w:contextualSpacing w:val="0"/>
            </w:pPr>
            <w:proofErr w:type="spellStart"/>
            <w:r>
              <w:t>Halovision</w:t>
            </w:r>
            <w:proofErr w:type="spellEnd"/>
            <w:r>
              <w:t xml:space="preserve"> or blue veil vision reported in workers exposed for several </w:t>
            </w:r>
            <w:r w:rsidR="00BF73BC">
              <w:t>hours</w:t>
            </w:r>
            <w:r>
              <w:t xml:space="preserve"> to </w:t>
            </w:r>
            <w:r w:rsidR="00BF73BC">
              <w:t xml:space="preserve">amines </w:t>
            </w:r>
            <w:r>
              <w:t xml:space="preserve">vapours including TMA at </w:t>
            </w:r>
            <w:r w:rsidR="00BF73BC">
              <w:t>levels</w:t>
            </w:r>
            <w:r>
              <w:t xml:space="preserve"> too low to cause discomfort; no further information</w:t>
            </w:r>
          </w:p>
          <w:p w14:paraId="2B60B474" w14:textId="7DC1641F" w:rsidR="00441A46" w:rsidRDefault="0091663B" w:rsidP="00684CE7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NOAEL for developmental effects in mice ranged between 59 and 148 mg/kg/d</w:t>
            </w:r>
            <w:r w:rsidR="00531C18">
              <w:t xml:space="preserve"> (</w:t>
            </w:r>
            <w:r>
              <w:t>no further details</w:t>
            </w:r>
            <w:r w:rsidR="00531C18">
              <w:t>)</w:t>
            </w:r>
            <w:r w:rsidR="00BF73BC">
              <w:t>.</w:t>
            </w:r>
          </w:p>
          <w:p w14:paraId="13491ABA" w14:textId="678D1B64" w:rsidR="00684CE7" w:rsidRPr="00DA352E" w:rsidRDefault="00684CE7" w:rsidP="00684CE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64891E50" w14:textId="77777777" w:rsidTr="006C78D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FAE809E" w14:textId="12101D3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F781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40C7D">
                  <w:t>N</w:t>
                </w:r>
                <w:r w:rsidR="001F7814">
                  <w:t>A</w:t>
                </w:r>
              </w:sdtContent>
            </w:sdt>
          </w:p>
        </w:tc>
      </w:tr>
      <w:tr w:rsidR="00DA352E" w:rsidRPr="00DA352E" w14:paraId="34008AF7" w14:textId="77777777" w:rsidTr="006C78D5">
        <w:trPr>
          <w:gridAfter w:val="1"/>
          <w:wAfter w:w="8" w:type="pct"/>
          <w:cantSplit/>
        </w:trPr>
        <w:tc>
          <w:tcPr>
            <w:tcW w:w="4992" w:type="pct"/>
          </w:tcPr>
          <w:p w14:paraId="7B5CD912" w14:textId="0DDC918E" w:rsidR="00DA352E" w:rsidRPr="00DA352E" w:rsidRDefault="008119C4" w:rsidP="003365A5">
            <w:pPr>
              <w:pStyle w:val="Tabletextprimarysource"/>
            </w:pPr>
            <w:r>
              <w:t>No report</w:t>
            </w:r>
            <w:r w:rsidR="00BF73BC">
              <w:t>.</w:t>
            </w:r>
          </w:p>
        </w:tc>
      </w:tr>
    </w:tbl>
    <w:p w14:paraId="13DFF04A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54A50DD7" w14:textId="7EAB9690" w:rsidR="007E2A4B" w:rsidRDefault="0091663B">
      <w:r>
        <w:t>N</w:t>
      </w:r>
      <w:r w:rsidR="00BF73BC">
        <w:t>IL.</w:t>
      </w:r>
    </w:p>
    <w:bookmarkEnd w:id="0"/>
    <w:p w14:paraId="5B10CB6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D4E238A" w14:textId="77777777" w:rsidTr="0091663B">
        <w:trPr>
          <w:trHeight w:val="454"/>
          <w:tblHeader/>
        </w:trPr>
        <w:tc>
          <w:tcPr>
            <w:tcW w:w="6603" w:type="dxa"/>
            <w:vAlign w:val="center"/>
          </w:tcPr>
          <w:p w14:paraId="2E57B6D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60D0A39" w14:textId="47CA3DDA" w:rsidR="002E0D61" w:rsidRDefault="0091663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C4B44DF" w14:textId="77777777" w:rsidTr="0091663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32E9917" w14:textId="5369DA55" w:rsidR="008A36CF" w:rsidRPr="006901A2" w:rsidRDefault="0091663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DB3F85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6B89F8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DC27A30" w14:textId="77777777" w:rsidTr="006C7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73CC8BE7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09200D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5918C619" w14:textId="77777777" w:rsidTr="006C78D5">
        <w:trPr>
          <w:cantSplit/>
        </w:trPr>
        <w:tc>
          <w:tcPr>
            <w:tcW w:w="3153" w:type="dxa"/>
          </w:tcPr>
          <w:p w14:paraId="18D6556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71976C0B" w14:textId="77777777" w:rsidR="00687890" w:rsidRPr="00DD2F9B" w:rsidRDefault="007E7931" w:rsidP="00DD2F9B">
            <w:pPr>
              <w:pStyle w:val="Tablefont"/>
            </w:pPr>
            <w:r>
              <w:t>NA</w:t>
            </w:r>
          </w:p>
        </w:tc>
      </w:tr>
      <w:tr w:rsidR="001F7814" w:rsidRPr="004C23F4" w14:paraId="03A10290" w14:textId="77777777" w:rsidTr="006C78D5">
        <w:trPr>
          <w:cantSplit/>
        </w:trPr>
        <w:tc>
          <w:tcPr>
            <w:tcW w:w="3153" w:type="dxa"/>
          </w:tcPr>
          <w:p w14:paraId="2674A0B3" w14:textId="77777777" w:rsidR="001F7814" w:rsidRPr="004C23F4" w:rsidRDefault="001F7814" w:rsidP="001F7814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6345B0EB" w14:textId="6C174402" w:rsidR="001F7814" w:rsidRPr="00DD2F9B" w:rsidRDefault="001F7814" w:rsidP="001F7814">
            <w:pPr>
              <w:pStyle w:val="Tablefont"/>
            </w:pPr>
            <w:r>
              <w:t>NA</w:t>
            </w:r>
          </w:p>
        </w:tc>
      </w:tr>
      <w:tr w:rsidR="001F7814" w:rsidRPr="004C23F4" w14:paraId="7424154D" w14:textId="77777777" w:rsidTr="006C78D5">
        <w:trPr>
          <w:cantSplit/>
        </w:trPr>
        <w:tc>
          <w:tcPr>
            <w:tcW w:w="3153" w:type="dxa"/>
          </w:tcPr>
          <w:p w14:paraId="52EC03F6" w14:textId="77777777" w:rsidR="001F7814" w:rsidRPr="004C23F4" w:rsidRDefault="001F7814" w:rsidP="001F7814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4360D04E" w14:textId="69777259" w:rsidR="001F7814" w:rsidRPr="00DD2F9B" w:rsidRDefault="001F7814" w:rsidP="001F7814">
            <w:pPr>
              <w:pStyle w:val="Tablefont"/>
            </w:pPr>
            <w:r>
              <w:t>NA</w:t>
            </w:r>
          </w:p>
        </w:tc>
      </w:tr>
      <w:tr w:rsidR="00687890" w:rsidRPr="004C23F4" w14:paraId="280E692C" w14:textId="77777777" w:rsidTr="006C78D5">
        <w:trPr>
          <w:cantSplit/>
        </w:trPr>
        <w:tc>
          <w:tcPr>
            <w:tcW w:w="3153" w:type="dxa"/>
          </w:tcPr>
          <w:p w14:paraId="27522A6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16327064" w14:textId="119E7F3A" w:rsidR="00687890" w:rsidRPr="00DD2F9B" w:rsidRDefault="001F781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45B33F9" w14:textId="77777777" w:rsidTr="006C78D5">
        <w:trPr>
          <w:cantSplit/>
        </w:trPr>
        <w:tc>
          <w:tcPr>
            <w:tcW w:w="3153" w:type="dxa"/>
          </w:tcPr>
          <w:p w14:paraId="4BE5835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3EEC8FF3" w14:textId="772A64C8" w:rsidR="00E41A26" w:rsidRPr="00DD2F9B" w:rsidRDefault="001F781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A3996AB" w14:textId="77777777" w:rsidTr="006C78D5">
        <w:trPr>
          <w:cantSplit/>
        </w:trPr>
        <w:tc>
          <w:tcPr>
            <w:tcW w:w="3153" w:type="dxa"/>
          </w:tcPr>
          <w:p w14:paraId="09E5910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46F89A05" w14:textId="77777777" w:rsidR="002E0D61" w:rsidRPr="00DD2F9B" w:rsidRDefault="007E7931" w:rsidP="00DD2F9B">
            <w:pPr>
              <w:pStyle w:val="Tablefont"/>
            </w:pPr>
            <w:r>
              <w:t>NA</w:t>
            </w:r>
          </w:p>
        </w:tc>
      </w:tr>
      <w:tr w:rsidR="001F7814" w:rsidRPr="004C23F4" w14:paraId="1EB243B1" w14:textId="77777777" w:rsidTr="006C78D5">
        <w:trPr>
          <w:cantSplit/>
        </w:trPr>
        <w:tc>
          <w:tcPr>
            <w:tcW w:w="3153" w:type="dxa"/>
          </w:tcPr>
          <w:p w14:paraId="1E560AB2" w14:textId="77777777" w:rsidR="001F7814" w:rsidRPr="004C23F4" w:rsidRDefault="001F7814" w:rsidP="001F7814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65E509B5" w14:textId="32925D50" w:rsidR="001F7814" w:rsidRPr="00DD2F9B" w:rsidRDefault="001F7814" w:rsidP="001F7814">
            <w:pPr>
              <w:pStyle w:val="Tablefont"/>
            </w:pPr>
            <w:r>
              <w:t>NA</w:t>
            </w:r>
          </w:p>
        </w:tc>
      </w:tr>
      <w:tr w:rsidR="002E0D61" w:rsidRPr="004C23F4" w14:paraId="481C825B" w14:textId="77777777" w:rsidTr="006C78D5">
        <w:trPr>
          <w:cantSplit/>
        </w:trPr>
        <w:tc>
          <w:tcPr>
            <w:tcW w:w="3153" w:type="dxa"/>
          </w:tcPr>
          <w:p w14:paraId="37DB961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7E1A0AC7" w14:textId="533F9E8E" w:rsidR="002E0D61" w:rsidRPr="00DD2F9B" w:rsidRDefault="00940C7D" w:rsidP="00DD2F9B">
            <w:pPr>
              <w:pStyle w:val="Tablefont"/>
            </w:pPr>
            <w:r>
              <w:t>NA</w:t>
            </w:r>
          </w:p>
        </w:tc>
      </w:tr>
      <w:tr w:rsidR="001F7814" w:rsidRPr="004C23F4" w14:paraId="5491AF97" w14:textId="77777777" w:rsidTr="006C78D5">
        <w:trPr>
          <w:cantSplit/>
        </w:trPr>
        <w:tc>
          <w:tcPr>
            <w:tcW w:w="3153" w:type="dxa"/>
          </w:tcPr>
          <w:p w14:paraId="08C1C5E3" w14:textId="77777777" w:rsidR="001F7814" w:rsidRDefault="001F7814" w:rsidP="001F7814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0CD14D5D" w14:textId="4AF24913" w:rsidR="001F7814" w:rsidRPr="00DD2F9B" w:rsidRDefault="001F7814" w:rsidP="001F7814">
            <w:pPr>
              <w:pStyle w:val="Tablefont"/>
            </w:pPr>
            <w:r>
              <w:t>NA</w:t>
            </w:r>
          </w:p>
        </w:tc>
      </w:tr>
      <w:tr w:rsidR="00386093" w:rsidRPr="004C23F4" w14:paraId="013B754D" w14:textId="77777777" w:rsidTr="006C78D5">
        <w:trPr>
          <w:cantSplit/>
        </w:trPr>
        <w:tc>
          <w:tcPr>
            <w:tcW w:w="3153" w:type="dxa"/>
          </w:tcPr>
          <w:p w14:paraId="740A26A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44796C45" w14:textId="3A867821" w:rsidR="00386093" w:rsidRPr="00DD2F9B" w:rsidRDefault="001F781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E06BE4E" w14:textId="77777777" w:rsidTr="006C78D5">
        <w:trPr>
          <w:cantSplit/>
        </w:trPr>
        <w:tc>
          <w:tcPr>
            <w:tcW w:w="3153" w:type="dxa"/>
          </w:tcPr>
          <w:p w14:paraId="610FC37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34CAAAC9" w14:textId="318A071B" w:rsidR="00386093" w:rsidRPr="00DD2F9B" w:rsidRDefault="001F781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3BF95A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7DCB69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368134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552B3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4548ED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AB88860" w14:textId="5985E736" w:rsidR="00932DCE" w:rsidRPr="0054309B" w:rsidRDefault="0054309B" w:rsidP="0054309B">
            <w:pPr>
              <w:rPr>
                <w:rFonts w:cs="Arial"/>
              </w:rPr>
            </w:pPr>
            <w:r w:rsidRPr="0054309B">
              <w:rPr>
                <w:rFonts w:cs="Arial"/>
              </w:rPr>
              <w:t>Insufficient evidence to recommend a skin notation.</w:t>
            </w:r>
          </w:p>
        </w:tc>
      </w:tr>
    </w:tbl>
    <w:bookmarkEnd w:id="4"/>
    <w:p w14:paraId="4AF877EA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29EC15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91D337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04CEFF8" w14:textId="0F9FF01F" w:rsidR="00EB3D1B" w:rsidRDefault="00D058E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F6C85B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4EC866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153A10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054EBF2" w14:textId="47BD15A3" w:rsidR="001B79E5" w:rsidRDefault="00CC4084" w:rsidP="001B79E5">
                <w:pPr>
                  <w:pStyle w:val="Tablefont"/>
                </w:pPr>
                <w:r>
                  <w:t>59.11</w:t>
                </w:r>
              </w:p>
            </w:tc>
          </w:sdtContent>
        </w:sdt>
      </w:tr>
      <w:tr w:rsidR="00A31D99" w:rsidRPr="004C23F4" w14:paraId="38C9DD8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0ED991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617594E" w14:textId="2E693F49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7C2270">
                  <w:t>4.12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7C2270">
                  <w:rPr>
                    <w:color w:val="000000" w:themeColor="text1"/>
                  </w:rPr>
                  <w:t>0.243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617244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44615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156B2D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C94DCEE" w14:textId="77777777" w:rsidTr="00EA6243">
        <w:trPr>
          <w:cantSplit/>
        </w:trPr>
        <w:tc>
          <w:tcPr>
            <w:tcW w:w="4077" w:type="dxa"/>
            <w:vAlign w:val="center"/>
          </w:tcPr>
          <w:p w14:paraId="50D80A5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11952F" w14:textId="7C6BC431" w:rsidR="00687890" w:rsidRPr="004C23F4" w:rsidRDefault="0006478C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D83CA42" w14:textId="77777777" w:rsidTr="00EA6243">
        <w:trPr>
          <w:cantSplit/>
        </w:trPr>
        <w:tc>
          <w:tcPr>
            <w:tcW w:w="4077" w:type="dxa"/>
            <w:vAlign w:val="center"/>
          </w:tcPr>
          <w:p w14:paraId="35EC5A6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55B16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86A279C" w14:textId="77777777" w:rsidTr="00EA6243">
        <w:trPr>
          <w:cantSplit/>
        </w:trPr>
        <w:tc>
          <w:tcPr>
            <w:tcW w:w="4077" w:type="dxa"/>
            <w:vAlign w:val="center"/>
          </w:tcPr>
          <w:p w14:paraId="03F319E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03550D1" w14:textId="77777777" w:rsidR="00E06F40" w:rsidRPr="00A006A0" w:rsidRDefault="006C78D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B7E62A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098A77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A9BE92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A4D3FE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99FDC2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B5CEB9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6C834D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4CE431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7F0077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E5C53A7" w14:textId="0FD9942E" w:rsidR="008E4F1F" w:rsidRDefault="008E4F1F" w:rsidP="004A662B">
      <w:r w:rsidRPr="002022B6">
        <w:t>Deutsche Forschungsgemeinschaft (DFG)</w:t>
      </w:r>
      <w:r>
        <w:t xml:space="preserve"> (</w:t>
      </w:r>
      <w:r w:rsidR="004A662B">
        <w:t>2018</w:t>
      </w:r>
      <w:r>
        <w:t xml:space="preserve">) </w:t>
      </w:r>
      <w:r w:rsidR="004A662B">
        <w:t>Trimethylamine /</w:t>
      </w:r>
      <w:proofErr w:type="gramStart"/>
      <w:r w:rsidR="004A662B">
        <w:t>N,N</w:t>
      </w:r>
      <w:proofErr w:type="gramEnd"/>
      <w:r w:rsidR="004A662B">
        <w:t>-</w:t>
      </w:r>
      <w:proofErr w:type="spellStart"/>
      <w:r w:rsidR="004A662B">
        <w:t>Dimethylmethanamine</w:t>
      </w:r>
      <w:proofErr w:type="spellEnd"/>
      <w:r>
        <w:t>– MAK value documentation.</w:t>
      </w:r>
    </w:p>
    <w:p w14:paraId="52A25D1D" w14:textId="349E74B9" w:rsidR="00D83031" w:rsidRDefault="00D83031" w:rsidP="00D83031">
      <w:r w:rsidRPr="002022B6">
        <w:t>EU Scientific Committee on Occupational Exposure Limits (SCOEL)</w:t>
      </w:r>
      <w:r>
        <w:t xml:space="preserve"> (2017) Recommendation from the Scientific Committee on Occupational Exposure Limits for t</w:t>
      </w:r>
      <w:r w:rsidRPr="00D83031">
        <w:t>rimethylamine</w:t>
      </w:r>
      <w:r>
        <w:t xml:space="preserve">. </w:t>
      </w:r>
      <w:r w:rsidRPr="00D83031">
        <w:t>SCOEL/REC/179</w:t>
      </w:r>
      <w:r>
        <w:t>.</w:t>
      </w:r>
    </w:p>
    <w:p w14:paraId="2A7DD9AA" w14:textId="4468349F" w:rsidR="00D83031" w:rsidRDefault="00D83031" w:rsidP="00D83031">
      <w:pPr>
        <w:rPr>
          <w:b/>
        </w:rPr>
      </w:pPr>
      <w:r w:rsidRPr="00DA129F">
        <w:t>Occupational Alliance for Risk Science</w:t>
      </w:r>
      <w:r>
        <w:t xml:space="preserve"> (OARS) (</w:t>
      </w:r>
      <w:r w:rsidRPr="00D83031">
        <w:t>2005</w:t>
      </w:r>
      <w:r>
        <w:t xml:space="preserve">) Workplace environmental exposure level – </w:t>
      </w:r>
      <w:r w:rsidRPr="00D83031">
        <w:t>Trimethylamine</w:t>
      </w:r>
      <w:r>
        <w:t>.</w:t>
      </w:r>
    </w:p>
    <w:p w14:paraId="3DF0BCD1" w14:textId="77777777" w:rsidR="00D83031" w:rsidRDefault="00D83031" w:rsidP="00D83031">
      <w:pPr>
        <w:rPr>
          <w:b/>
        </w:rPr>
      </w:pPr>
    </w:p>
    <w:p w14:paraId="33332866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16996" w14:textId="77777777" w:rsidR="00AA6CF5" w:rsidRDefault="00AA6CF5" w:rsidP="00F43AD5">
      <w:pPr>
        <w:spacing w:after="0" w:line="240" w:lineRule="auto"/>
      </w:pPr>
      <w:r>
        <w:separator/>
      </w:r>
    </w:p>
  </w:endnote>
  <w:endnote w:type="continuationSeparator" w:id="0">
    <w:p w14:paraId="13875E32" w14:textId="77777777" w:rsidR="00AA6CF5" w:rsidRDefault="00AA6CF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1D43E" w14:textId="77777777" w:rsidR="00E634D4" w:rsidRDefault="00E6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02019A7" w14:textId="60503C21" w:rsidR="008A36CF" w:rsidRDefault="00035773" w:rsidP="0034744C">
        <w:pPr>
          <w:pStyle w:val="Footer"/>
          <w:rPr>
            <w:sz w:val="18"/>
            <w:szCs w:val="18"/>
          </w:rPr>
        </w:pPr>
        <w:r w:rsidRPr="00035773">
          <w:rPr>
            <w:b/>
            <w:sz w:val="18"/>
            <w:szCs w:val="18"/>
          </w:rPr>
          <w:t>Trimethyla</w:t>
        </w:r>
        <w:r w:rsidR="00A9793D">
          <w:rPr>
            <w:b/>
            <w:sz w:val="18"/>
            <w:szCs w:val="18"/>
          </w:rPr>
          <w:t>mine</w:t>
        </w:r>
        <w:r w:rsidR="008A36CF">
          <w:rPr>
            <w:b/>
            <w:sz w:val="18"/>
            <w:szCs w:val="18"/>
          </w:rPr>
          <w:t xml:space="preserve"> (</w:t>
        </w:r>
        <w:r w:rsidR="00CC4084" w:rsidRPr="00CC4084">
          <w:rPr>
            <w:b/>
            <w:sz w:val="18"/>
            <w:szCs w:val="18"/>
          </w:rPr>
          <w:t>75-50-3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325598">
          <w:rPr>
            <w:sz w:val="18"/>
            <w:szCs w:val="18"/>
          </w:rPr>
          <w:t>20</w:t>
        </w:r>
      </w:p>
      <w:p w14:paraId="7A84F8F3" w14:textId="728AC48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F0A22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5D73" w14:textId="77777777" w:rsidR="00E634D4" w:rsidRDefault="00E6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559E" w14:textId="77777777" w:rsidR="00AA6CF5" w:rsidRDefault="00AA6CF5" w:rsidP="00F43AD5">
      <w:pPr>
        <w:spacing w:after="0" w:line="240" w:lineRule="auto"/>
      </w:pPr>
      <w:r>
        <w:separator/>
      </w:r>
    </w:p>
  </w:footnote>
  <w:footnote w:type="continuationSeparator" w:id="0">
    <w:p w14:paraId="3822EB78" w14:textId="77777777" w:rsidR="00AA6CF5" w:rsidRDefault="00AA6CF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5792" w14:textId="77777777" w:rsidR="00E634D4" w:rsidRDefault="00E63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77FA" w14:textId="4D80A95A" w:rsidR="006C78D5" w:rsidRDefault="006C78D5" w:rsidP="006C78D5">
    <w:pPr>
      <w:pStyle w:val="Header"/>
      <w:jc w:val="right"/>
    </w:pPr>
    <w:r>
      <w:pict w14:anchorId="4FE3B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F0960C6" wp14:editId="42A19FEA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D0FE5" w14:textId="57721D88" w:rsidR="008A36CF" w:rsidRPr="006C78D5" w:rsidRDefault="008A36CF" w:rsidP="006C7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DFDC3" w14:textId="77777777" w:rsidR="00E634D4" w:rsidRDefault="00E634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7AA0" w14:textId="59532401" w:rsidR="006C78D5" w:rsidRDefault="006C78D5" w:rsidP="006C78D5">
    <w:pPr>
      <w:pStyle w:val="Header"/>
      <w:jc w:val="right"/>
    </w:pPr>
    <w:r>
      <w:pict w14:anchorId="088D4B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F9CC028" wp14:editId="14068619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F50EA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44E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43297"/>
    <w:multiLevelType w:val="hybridMultilevel"/>
    <w:tmpl w:val="19C4F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B672E"/>
    <w:multiLevelType w:val="hybridMultilevel"/>
    <w:tmpl w:val="5B2076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E7BD0"/>
    <w:multiLevelType w:val="hybridMultilevel"/>
    <w:tmpl w:val="6B40E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70BB7"/>
    <w:multiLevelType w:val="hybridMultilevel"/>
    <w:tmpl w:val="47ECA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445DC"/>
    <w:multiLevelType w:val="hybridMultilevel"/>
    <w:tmpl w:val="B540D8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5773"/>
    <w:rsid w:val="00035F1F"/>
    <w:rsid w:val="00037E52"/>
    <w:rsid w:val="00046DF5"/>
    <w:rsid w:val="00052060"/>
    <w:rsid w:val="0005574A"/>
    <w:rsid w:val="00055FE1"/>
    <w:rsid w:val="00056EC2"/>
    <w:rsid w:val="00060B48"/>
    <w:rsid w:val="0006478C"/>
    <w:rsid w:val="00064C38"/>
    <w:rsid w:val="00067F32"/>
    <w:rsid w:val="00071807"/>
    <w:rsid w:val="00071B88"/>
    <w:rsid w:val="000803E1"/>
    <w:rsid w:val="0008330D"/>
    <w:rsid w:val="00084513"/>
    <w:rsid w:val="00084859"/>
    <w:rsid w:val="00090C6D"/>
    <w:rsid w:val="00092D94"/>
    <w:rsid w:val="000A4DFA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4CA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220D"/>
    <w:rsid w:val="00183823"/>
    <w:rsid w:val="00183942"/>
    <w:rsid w:val="001915F6"/>
    <w:rsid w:val="001A009E"/>
    <w:rsid w:val="001A1287"/>
    <w:rsid w:val="001A3859"/>
    <w:rsid w:val="001A3C9D"/>
    <w:rsid w:val="001A43F8"/>
    <w:rsid w:val="001B111D"/>
    <w:rsid w:val="001B4DB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1F7814"/>
    <w:rsid w:val="002046A6"/>
    <w:rsid w:val="00204956"/>
    <w:rsid w:val="002077A8"/>
    <w:rsid w:val="00213640"/>
    <w:rsid w:val="00221547"/>
    <w:rsid w:val="002216FC"/>
    <w:rsid w:val="00222533"/>
    <w:rsid w:val="00222F30"/>
    <w:rsid w:val="00224EE2"/>
    <w:rsid w:val="00227EC7"/>
    <w:rsid w:val="00244AD1"/>
    <w:rsid w:val="00245188"/>
    <w:rsid w:val="002463BC"/>
    <w:rsid w:val="002465CE"/>
    <w:rsid w:val="00253218"/>
    <w:rsid w:val="0025734A"/>
    <w:rsid w:val="0026284D"/>
    <w:rsid w:val="00263255"/>
    <w:rsid w:val="00276494"/>
    <w:rsid w:val="00277B0C"/>
    <w:rsid w:val="002A3910"/>
    <w:rsid w:val="002A65C1"/>
    <w:rsid w:val="002B1A2C"/>
    <w:rsid w:val="002C34F2"/>
    <w:rsid w:val="002C58FF"/>
    <w:rsid w:val="002C7AFE"/>
    <w:rsid w:val="002D05D2"/>
    <w:rsid w:val="002D1ED1"/>
    <w:rsid w:val="002E0D61"/>
    <w:rsid w:val="002E4C7B"/>
    <w:rsid w:val="002F1C53"/>
    <w:rsid w:val="0030740C"/>
    <w:rsid w:val="00312D2D"/>
    <w:rsid w:val="00315833"/>
    <w:rsid w:val="003215EE"/>
    <w:rsid w:val="003224BF"/>
    <w:rsid w:val="003241A8"/>
    <w:rsid w:val="003253F0"/>
    <w:rsid w:val="00325598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5B4C"/>
    <w:rsid w:val="00370DBF"/>
    <w:rsid w:val="00386093"/>
    <w:rsid w:val="003904A4"/>
    <w:rsid w:val="00391841"/>
    <w:rsid w:val="00391B6D"/>
    <w:rsid w:val="00394922"/>
    <w:rsid w:val="003A0261"/>
    <w:rsid w:val="003A0AAA"/>
    <w:rsid w:val="003A0E32"/>
    <w:rsid w:val="003A2B94"/>
    <w:rsid w:val="003A5E1B"/>
    <w:rsid w:val="003A5FFC"/>
    <w:rsid w:val="003B387D"/>
    <w:rsid w:val="003B652C"/>
    <w:rsid w:val="003C0D58"/>
    <w:rsid w:val="003D2E08"/>
    <w:rsid w:val="003D4FA3"/>
    <w:rsid w:val="003E0807"/>
    <w:rsid w:val="003E51FB"/>
    <w:rsid w:val="003E683B"/>
    <w:rsid w:val="003E6B39"/>
    <w:rsid w:val="003F07E1"/>
    <w:rsid w:val="003F52EE"/>
    <w:rsid w:val="004030BC"/>
    <w:rsid w:val="00403F7D"/>
    <w:rsid w:val="004066DF"/>
    <w:rsid w:val="00406785"/>
    <w:rsid w:val="004079B4"/>
    <w:rsid w:val="00417A56"/>
    <w:rsid w:val="00420957"/>
    <w:rsid w:val="00422A10"/>
    <w:rsid w:val="004253E9"/>
    <w:rsid w:val="0042553D"/>
    <w:rsid w:val="00430179"/>
    <w:rsid w:val="004414B5"/>
    <w:rsid w:val="00441A46"/>
    <w:rsid w:val="00444482"/>
    <w:rsid w:val="004447AC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54F2"/>
    <w:rsid w:val="004966BF"/>
    <w:rsid w:val="00497984"/>
    <w:rsid w:val="004A5027"/>
    <w:rsid w:val="004A5088"/>
    <w:rsid w:val="004A662B"/>
    <w:rsid w:val="004A6F88"/>
    <w:rsid w:val="004C1E3F"/>
    <w:rsid w:val="004C23F4"/>
    <w:rsid w:val="004C2EB0"/>
    <w:rsid w:val="004C3475"/>
    <w:rsid w:val="004C58B6"/>
    <w:rsid w:val="004D16A3"/>
    <w:rsid w:val="004D1FF4"/>
    <w:rsid w:val="004D4AA1"/>
    <w:rsid w:val="004D6D68"/>
    <w:rsid w:val="004E5EDD"/>
    <w:rsid w:val="004F0431"/>
    <w:rsid w:val="004F0A22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1C18"/>
    <w:rsid w:val="00532B56"/>
    <w:rsid w:val="00534B10"/>
    <w:rsid w:val="005378A4"/>
    <w:rsid w:val="0054309B"/>
    <w:rsid w:val="005446A2"/>
    <w:rsid w:val="00544D2F"/>
    <w:rsid w:val="00551BD8"/>
    <w:rsid w:val="0055251F"/>
    <w:rsid w:val="005556F7"/>
    <w:rsid w:val="00573BEA"/>
    <w:rsid w:val="00581055"/>
    <w:rsid w:val="00591E38"/>
    <w:rsid w:val="005A19C5"/>
    <w:rsid w:val="005A3034"/>
    <w:rsid w:val="005A462D"/>
    <w:rsid w:val="005B253B"/>
    <w:rsid w:val="005B52AB"/>
    <w:rsid w:val="005B771D"/>
    <w:rsid w:val="005C5D16"/>
    <w:rsid w:val="005D3193"/>
    <w:rsid w:val="005D4A6E"/>
    <w:rsid w:val="005E6979"/>
    <w:rsid w:val="005E75CB"/>
    <w:rsid w:val="005F14C7"/>
    <w:rsid w:val="005F2FEE"/>
    <w:rsid w:val="006013C1"/>
    <w:rsid w:val="0060669E"/>
    <w:rsid w:val="00610F2E"/>
    <w:rsid w:val="00611399"/>
    <w:rsid w:val="0061365C"/>
    <w:rsid w:val="00615348"/>
    <w:rsid w:val="00622F59"/>
    <w:rsid w:val="00624C4E"/>
    <w:rsid w:val="00625200"/>
    <w:rsid w:val="006363A8"/>
    <w:rsid w:val="00636DB7"/>
    <w:rsid w:val="00650905"/>
    <w:rsid w:val="00651F86"/>
    <w:rsid w:val="006532ED"/>
    <w:rsid w:val="006549F2"/>
    <w:rsid w:val="00654B74"/>
    <w:rsid w:val="006567B7"/>
    <w:rsid w:val="00657BFB"/>
    <w:rsid w:val="0066333C"/>
    <w:rsid w:val="006639B4"/>
    <w:rsid w:val="006650FE"/>
    <w:rsid w:val="0067305D"/>
    <w:rsid w:val="00675F14"/>
    <w:rsid w:val="00677D9B"/>
    <w:rsid w:val="00684CE7"/>
    <w:rsid w:val="006867F3"/>
    <w:rsid w:val="00687890"/>
    <w:rsid w:val="006901A2"/>
    <w:rsid w:val="00690368"/>
    <w:rsid w:val="0069079C"/>
    <w:rsid w:val="00690B53"/>
    <w:rsid w:val="00695B72"/>
    <w:rsid w:val="00696B5E"/>
    <w:rsid w:val="006A0713"/>
    <w:rsid w:val="006A139E"/>
    <w:rsid w:val="006B160A"/>
    <w:rsid w:val="006B2471"/>
    <w:rsid w:val="006B4E6C"/>
    <w:rsid w:val="006B50B6"/>
    <w:rsid w:val="006C7858"/>
    <w:rsid w:val="006C78D5"/>
    <w:rsid w:val="006D79EA"/>
    <w:rsid w:val="006E3EF4"/>
    <w:rsid w:val="006E5D05"/>
    <w:rsid w:val="00701053"/>
    <w:rsid w:val="00701507"/>
    <w:rsid w:val="00714021"/>
    <w:rsid w:val="00715E4E"/>
    <w:rsid w:val="00716A0F"/>
    <w:rsid w:val="00717D45"/>
    <w:rsid w:val="007208F7"/>
    <w:rsid w:val="007218AF"/>
    <w:rsid w:val="007345A7"/>
    <w:rsid w:val="007365D1"/>
    <w:rsid w:val="00740E0E"/>
    <w:rsid w:val="00744DE0"/>
    <w:rsid w:val="00750212"/>
    <w:rsid w:val="00754779"/>
    <w:rsid w:val="00755732"/>
    <w:rsid w:val="0075716D"/>
    <w:rsid w:val="00764593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0367"/>
    <w:rsid w:val="007B1B42"/>
    <w:rsid w:val="007C0277"/>
    <w:rsid w:val="007C2270"/>
    <w:rsid w:val="007C30EB"/>
    <w:rsid w:val="007E063C"/>
    <w:rsid w:val="007E267B"/>
    <w:rsid w:val="007E2A4B"/>
    <w:rsid w:val="007E307D"/>
    <w:rsid w:val="007E6A4E"/>
    <w:rsid w:val="007E6C94"/>
    <w:rsid w:val="007E7931"/>
    <w:rsid w:val="007F1005"/>
    <w:rsid w:val="007F25E0"/>
    <w:rsid w:val="007F5328"/>
    <w:rsid w:val="007F5E89"/>
    <w:rsid w:val="00804F5A"/>
    <w:rsid w:val="00810C6D"/>
    <w:rsid w:val="00811375"/>
    <w:rsid w:val="008119C4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727D"/>
    <w:rsid w:val="0086772F"/>
    <w:rsid w:val="00871CD5"/>
    <w:rsid w:val="008745A2"/>
    <w:rsid w:val="008768A8"/>
    <w:rsid w:val="0088798F"/>
    <w:rsid w:val="00887E4B"/>
    <w:rsid w:val="008915C8"/>
    <w:rsid w:val="008A36CF"/>
    <w:rsid w:val="008A3BC4"/>
    <w:rsid w:val="008B1D99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03F1A"/>
    <w:rsid w:val="009118A6"/>
    <w:rsid w:val="0091663B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0C7D"/>
    <w:rsid w:val="00945880"/>
    <w:rsid w:val="00946044"/>
    <w:rsid w:val="0094660B"/>
    <w:rsid w:val="00946A33"/>
    <w:rsid w:val="0095260E"/>
    <w:rsid w:val="009534FB"/>
    <w:rsid w:val="00955C3E"/>
    <w:rsid w:val="009578DD"/>
    <w:rsid w:val="00961124"/>
    <w:rsid w:val="009617FD"/>
    <w:rsid w:val="009621B6"/>
    <w:rsid w:val="009662B0"/>
    <w:rsid w:val="00974F2D"/>
    <w:rsid w:val="00977524"/>
    <w:rsid w:val="00977E88"/>
    <w:rsid w:val="00984920"/>
    <w:rsid w:val="0099303A"/>
    <w:rsid w:val="009971C2"/>
    <w:rsid w:val="009A1254"/>
    <w:rsid w:val="009A1961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7B4F"/>
    <w:rsid w:val="00A007C4"/>
    <w:rsid w:val="00A01D0C"/>
    <w:rsid w:val="00A06291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4766"/>
    <w:rsid w:val="00A357BA"/>
    <w:rsid w:val="00A35ADC"/>
    <w:rsid w:val="00A402A3"/>
    <w:rsid w:val="00A413FB"/>
    <w:rsid w:val="00A53681"/>
    <w:rsid w:val="00A57594"/>
    <w:rsid w:val="00A633D4"/>
    <w:rsid w:val="00A6461A"/>
    <w:rsid w:val="00A67D62"/>
    <w:rsid w:val="00A813F9"/>
    <w:rsid w:val="00A839CE"/>
    <w:rsid w:val="00A84504"/>
    <w:rsid w:val="00A85156"/>
    <w:rsid w:val="00A8672F"/>
    <w:rsid w:val="00A93057"/>
    <w:rsid w:val="00A968B0"/>
    <w:rsid w:val="00A9793D"/>
    <w:rsid w:val="00AA6CF5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7EF8"/>
    <w:rsid w:val="00B40C60"/>
    <w:rsid w:val="00B45436"/>
    <w:rsid w:val="00B479A9"/>
    <w:rsid w:val="00B52EDF"/>
    <w:rsid w:val="00B542F6"/>
    <w:rsid w:val="00B667A3"/>
    <w:rsid w:val="00B71188"/>
    <w:rsid w:val="00B748F3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BF73BC"/>
    <w:rsid w:val="00C06E43"/>
    <w:rsid w:val="00C16315"/>
    <w:rsid w:val="00C3091E"/>
    <w:rsid w:val="00C40FF1"/>
    <w:rsid w:val="00C419E2"/>
    <w:rsid w:val="00C47367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0CBF"/>
    <w:rsid w:val="00C850A0"/>
    <w:rsid w:val="00C85A86"/>
    <w:rsid w:val="00C90473"/>
    <w:rsid w:val="00C978F0"/>
    <w:rsid w:val="00CA58FE"/>
    <w:rsid w:val="00CB1CB1"/>
    <w:rsid w:val="00CB6BC1"/>
    <w:rsid w:val="00CB6CB8"/>
    <w:rsid w:val="00CC1A68"/>
    <w:rsid w:val="00CC2123"/>
    <w:rsid w:val="00CC4084"/>
    <w:rsid w:val="00CC4DFB"/>
    <w:rsid w:val="00CD2BFD"/>
    <w:rsid w:val="00CE5AD6"/>
    <w:rsid w:val="00CE617F"/>
    <w:rsid w:val="00CE78EF"/>
    <w:rsid w:val="00CF4107"/>
    <w:rsid w:val="00D048F7"/>
    <w:rsid w:val="00D0517E"/>
    <w:rsid w:val="00D058E4"/>
    <w:rsid w:val="00D140FC"/>
    <w:rsid w:val="00D21D8C"/>
    <w:rsid w:val="00D31357"/>
    <w:rsid w:val="00D33220"/>
    <w:rsid w:val="00D334D1"/>
    <w:rsid w:val="00D339F2"/>
    <w:rsid w:val="00D44C89"/>
    <w:rsid w:val="00D516CD"/>
    <w:rsid w:val="00D61D74"/>
    <w:rsid w:val="00D668E6"/>
    <w:rsid w:val="00D70670"/>
    <w:rsid w:val="00D74D80"/>
    <w:rsid w:val="00D76590"/>
    <w:rsid w:val="00D76624"/>
    <w:rsid w:val="00D824D3"/>
    <w:rsid w:val="00D83031"/>
    <w:rsid w:val="00D87570"/>
    <w:rsid w:val="00D91CB9"/>
    <w:rsid w:val="00D97989"/>
    <w:rsid w:val="00D97D8D"/>
    <w:rsid w:val="00DA352E"/>
    <w:rsid w:val="00DC48F7"/>
    <w:rsid w:val="00DC7694"/>
    <w:rsid w:val="00DD1BF6"/>
    <w:rsid w:val="00DD2F9B"/>
    <w:rsid w:val="00DE0552"/>
    <w:rsid w:val="00DE2513"/>
    <w:rsid w:val="00DE26E8"/>
    <w:rsid w:val="00DF6F36"/>
    <w:rsid w:val="00E0084C"/>
    <w:rsid w:val="00E025AB"/>
    <w:rsid w:val="00E02B23"/>
    <w:rsid w:val="00E058D0"/>
    <w:rsid w:val="00E06F40"/>
    <w:rsid w:val="00E07CE8"/>
    <w:rsid w:val="00E26A07"/>
    <w:rsid w:val="00E32595"/>
    <w:rsid w:val="00E368EE"/>
    <w:rsid w:val="00E37CFD"/>
    <w:rsid w:val="00E41A26"/>
    <w:rsid w:val="00E46BCB"/>
    <w:rsid w:val="00E51CAF"/>
    <w:rsid w:val="00E60F04"/>
    <w:rsid w:val="00E6213E"/>
    <w:rsid w:val="00E62AAC"/>
    <w:rsid w:val="00E634D4"/>
    <w:rsid w:val="00E64239"/>
    <w:rsid w:val="00E67C2F"/>
    <w:rsid w:val="00E67EF5"/>
    <w:rsid w:val="00E759F6"/>
    <w:rsid w:val="00E804EA"/>
    <w:rsid w:val="00E80A71"/>
    <w:rsid w:val="00E82337"/>
    <w:rsid w:val="00E8270A"/>
    <w:rsid w:val="00E84902"/>
    <w:rsid w:val="00E92499"/>
    <w:rsid w:val="00E949AF"/>
    <w:rsid w:val="00E96077"/>
    <w:rsid w:val="00EA0A06"/>
    <w:rsid w:val="00EA6243"/>
    <w:rsid w:val="00EA74AB"/>
    <w:rsid w:val="00EB3D1B"/>
    <w:rsid w:val="00EC48E1"/>
    <w:rsid w:val="00ED1D89"/>
    <w:rsid w:val="00ED57DA"/>
    <w:rsid w:val="00ED66BC"/>
    <w:rsid w:val="00EE0C6E"/>
    <w:rsid w:val="00EF233A"/>
    <w:rsid w:val="00EF303E"/>
    <w:rsid w:val="00EF3A40"/>
    <w:rsid w:val="00EF7F78"/>
    <w:rsid w:val="00F01B08"/>
    <w:rsid w:val="00F01C4D"/>
    <w:rsid w:val="00F03FD1"/>
    <w:rsid w:val="00F053FA"/>
    <w:rsid w:val="00F05FCD"/>
    <w:rsid w:val="00F10C97"/>
    <w:rsid w:val="00F11C71"/>
    <w:rsid w:val="00F16019"/>
    <w:rsid w:val="00F20E68"/>
    <w:rsid w:val="00F22093"/>
    <w:rsid w:val="00F2258B"/>
    <w:rsid w:val="00F236DF"/>
    <w:rsid w:val="00F265D1"/>
    <w:rsid w:val="00F35CBB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1C9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23B22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27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27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277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6A139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4F4AAF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B3446"/>
    <w:rsid w:val="00347D16"/>
    <w:rsid w:val="003E0149"/>
    <w:rsid w:val="004F4AAF"/>
    <w:rsid w:val="00755FBF"/>
    <w:rsid w:val="00B47E05"/>
    <w:rsid w:val="00CA72D3"/>
    <w:rsid w:val="00D21A9F"/>
    <w:rsid w:val="00ED66E6"/>
    <w:rsid w:val="00F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13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461542735FCE4F67A9983F59ABBC1E18">
    <w:name w:val="461542735FCE4F67A9983F59ABBC1E18"/>
    <w:rsid w:val="00FB413C"/>
    <w:rPr>
      <w:lang w:val="en-US" w:eastAsia="en-US"/>
    </w:rPr>
  </w:style>
  <w:style w:type="paragraph" w:customStyle="1" w:styleId="AA15FE3A39FD4FFFBF680A595BDC18F8">
    <w:name w:val="AA15FE3A39FD4FFFBF680A595BDC18F8"/>
    <w:rsid w:val="00FB413C"/>
    <w:rPr>
      <w:lang w:val="en-US" w:eastAsia="en-US"/>
    </w:rPr>
  </w:style>
  <w:style w:type="paragraph" w:customStyle="1" w:styleId="4E1F6735CDE24E11804F2E9789669749">
    <w:name w:val="4E1F6735CDE24E11804F2E9789669749"/>
    <w:rsid w:val="00FB413C"/>
    <w:rPr>
      <w:lang w:val="en-US" w:eastAsia="en-US"/>
    </w:rPr>
  </w:style>
  <w:style w:type="paragraph" w:customStyle="1" w:styleId="032912A661A740B284E7A47010356101">
    <w:name w:val="032912A661A740B284E7A47010356101"/>
    <w:rsid w:val="00FB413C"/>
    <w:rPr>
      <w:lang w:val="en-US" w:eastAsia="en-US"/>
    </w:rPr>
  </w:style>
  <w:style w:type="paragraph" w:customStyle="1" w:styleId="AB1B72E0113A4FD8857523113E188FE7">
    <w:name w:val="AB1B72E0113A4FD8857523113E188FE7"/>
    <w:rsid w:val="00FB413C"/>
    <w:rPr>
      <w:lang w:val="en-US" w:eastAsia="en-US"/>
    </w:rPr>
  </w:style>
  <w:style w:type="paragraph" w:customStyle="1" w:styleId="E72C342A3E5249A8A0801AFF34C3F4E9">
    <w:name w:val="E72C342A3E5249A8A0801AFF34C3F4E9"/>
    <w:rsid w:val="00FB413C"/>
    <w:rPr>
      <w:lang w:val="en-US" w:eastAsia="en-US"/>
    </w:rPr>
  </w:style>
  <w:style w:type="paragraph" w:customStyle="1" w:styleId="F46D15D76F054CBEA88BB1070ABB986A">
    <w:name w:val="F46D15D76F054CBEA88BB1070ABB986A"/>
    <w:rsid w:val="00FB413C"/>
    <w:rPr>
      <w:lang w:val="en-US" w:eastAsia="en-US"/>
    </w:rPr>
  </w:style>
  <w:style w:type="paragraph" w:customStyle="1" w:styleId="3DE3A62D75834A1787B94803E78B9AD5">
    <w:name w:val="3DE3A62D75834A1787B94803E78B9AD5"/>
    <w:rsid w:val="00FB413C"/>
    <w:rPr>
      <w:lang w:val="en-US" w:eastAsia="en-US"/>
    </w:rPr>
  </w:style>
  <w:style w:type="paragraph" w:customStyle="1" w:styleId="131E04562DDB49D8964C11FC00C7E527">
    <w:name w:val="131E04562DDB49D8964C11FC00C7E527"/>
    <w:rsid w:val="00FB413C"/>
    <w:rPr>
      <w:lang w:val="en-US" w:eastAsia="en-US"/>
    </w:rPr>
  </w:style>
  <w:style w:type="paragraph" w:customStyle="1" w:styleId="97FD4DD5AE554E2D9CB6963F0152FF69">
    <w:name w:val="97FD4DD5AE554E2D9CB6963F0152FF69"/>
    <w:rsid w:val="00FB413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0F61-4980-450C-8522-6CBA226C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A41E7-B09D-45BC-A322-11314FCA1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0D5FC-3804-4401-A290-53AB755CDFF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bf54d604-3e62-4e70-ba33-9e9084b96a6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106B64-CF3D-4994-B2C2-DC30FC1A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2020-05-27T15:14:00Z</dcterms:created>
  <dcterms:modified xsi:type="dcterms:W3CDTF">2020-07-21T01:53:00Z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