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F7FA2A7" w14:textId="77777777" w:rsidR="00BD499F" w:rsidRPr="004C23F4" w:rsidRDefault="00F50B95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triphenyl phosphate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8"/>
        <w:gridCol w:w="5038"/>
      </w:tblGrid>
      <w:tr w:rsidR="00F43AD5" w:rsidRPr="004C23F4" w14:paraId="60C37E17" w14:textId="77777777" w:rsidTr="006D4774">
        <w:trPr>
          <w:cantSplit/>
          <w:tblHeader/>
        </w:trPr>
        <w:tc>
          <w:tcPr>
            <w:tcW w:w="3988" w:type="dxa"/>
          </w:tcPr>
          <w:p w14:paraId="6E8FB5B6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8" w:type="dxa"/>
          </w:tcPr>
          <w:p w14:paraId="1A3AE72E" w14:textId="77777777" w:rsidR="00F43AD5" w:rsidRPr="00717D45" w:rsidRDefault="009F190C" w:rsidP="00B76A41">
            <w:pPr>
              <w:pStyle w:val="Tablefont"/>
            </w:pPr>
            <w:r w:rsidRPr="009F190C">
              <w:t>115-86-6</w:t>
            </w:r>
          </w:p>
        </w:tc>
      </w:tr>
      <w:tr w:rsidR="00F43AD5" w:rsidRPr="004C23F4" w14:paraId="78C6FDBF" w14:textId="77777777" w:rsidTr="006D4774">
        <w:trPr>
          <w:cantSplit/>
        </w:trPr>
        <w:tc>
          <w:tcPr>
            <w:tcW w:w="3988" w:type="dxa"/>
          </w:tcPr>
          <w:p w14:paraId="46C922E7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8" w:type="dxa"/>
          </w:tcPr>
          <w:p w14:paraId="2D4CDCFF" w14:textId="77777777" w:rsidR="00B600FA" w:rsidRPr="00717D45" w:rsidRDefault="009F190C" w:rsidP="00B76A41">
            <w:pPr>
              <w:pStyle w:val="Tablefont"/>
            </w:pPr>
            <w:proofErr w:type="spellStart"/>
            <w:r>
              <w:t>Celluflex</w:t>
            </w:r>
            <w:proofErr w:type="spellEnd"/>
            <w:r>
              <w:t xml:space="preserve"> TPP, </w:t>
            </w:r>
            <w:proofErr w:type="spellStart"/>
            <w:r>
              <w:t>disflamoll</w:t>
            </w:r>
            <w:proofErr w:type="spellEnd"/>
            <w:r>
              <w:t xml:space="preserve"> TP</w:t>
            </w:r>
            <w:r w:rsidR="00B600FA">
              <w:t xml:space="preserve">, phenyl phosphate, </w:t>
            </w:r>
            <w:proofErr w:type="spellStart"/>
            <w:r w:rsidR="00B600FA">
              <w:t>phosflex</w:t>
            </w:r>
            <w:proofErr w:type="spellEnd"/>
            <w:r w:rsidR="00B600FA">
              <w:t xml:space="preserve"> TPP, phosphoric acid, triphenyl ester, TPP</w:t>
            </w:r>
          </w:p>
        </w:tc>
      </w:tr>
      <w:tr w:rsidR="00F43AD5" w:rsidRPr="004C23F4" w14:paraId="2FF1AD4D" w14:textId="77777777" w:rsidTr="006D4774">
        <w:trPr>
          <w:cantSplit/>
        </w:trPr>
        <w:tc>
          <w:tcPr>
            <w:tcW w:w="3988" w:type="dxa"/>
          </w:tcPr>
          <w:p w14:paraId="050183CC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8" w:type="dxa"/>
          </w:tcPr>
          <w:p w14:paraId="2629E2E2" w14:textId="77777777" w:rsidR="00F43AD5" w:rsidRPr="00717D45" w:rsidRDefault="00B600FA" w:rsidP="00B76A41">
            <w:pPr>
              <w:pStyle w:val="Tablefont"/>
            </w:pPr>
            <w:r>
              <w:t>C</w:t>
            </w:r>
            <w:r w:rsidRPr="00B600FA">
              <w:rPr>
                <w:vertAlign w:val="subscript"/>
              </w:rPr>
              <w:t>18</w:t>
            </w:r>
            <w:r>
              <w:t>H</w:t>
            </w:r>
            <w:r w:rsidRPr="00B600FA">
              <w:rPr>
                <w:vertAlign w:val="subscript"/>
              </w:rPr>
              <w:t>15</w:t>
            </w:r>
            <w:r>
              <w:t>O</w:t>
            </w:r>
            <w:r w:rsidRPr="00B600FA">
              <w:rPr>
                <w:vertAlign w:val="subscript"/>
              </w:rPr>
              <w:t>4</w:t>
            </w:r>
            <w:r>
              <w:t>P</w:t>
            </w:r>
          </w:p>
        </w:tc>
      </w:tr>
    </w:tbl>
    <w:p w14:paraId="359D4804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5B0629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191E75C8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DE07FDE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58964D40" w14:textId="77777777" w:rsidR="002C7AFE" w:rsidRPr="00EB3D1B" w:rsidRDefault="005B062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3 mg/m</w:t>
            </w:r>
            <w:r w:rsidRPr="005B0629">
              <w:rPr>
                <w:b/>
                <w:vertAlign w:val="superscript"/>
              </w:rPr>
              <w:t>3</w:t>
            </w:r>
          </w:p>
        </w:tc>
      </w:tr>
      <w:tr w:rsidR="00037E52" w:rsidRPr="004C23F4" w14:paraId="1E1D25AF" w14:textId="77777777" w:rsidTr="00037E52">
        <w:trPr>
          <w:cantSplit/>
        </w:trPr>
        <w:tc>
          <w:tcPr>
            <w:tcW w:w="4010" w:type="dxa"/>
            <w:vAlign w:val="center"/>
          </w:tcPr>
          <w:p w14:paraId="409931DA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501A5AE0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48962C96" w14:textId="77777777" w:rsidTr="00037E52">
        <w:trPr>
          <w:cantSplit/>
        </w:trPr>
        <w:tc>
          <w:tcPr>
            <w:tcW w:w="4010" w:type="dxa"/>
            <w:vAlign w:val="center"/>
          </w:tcPr>
          <w:p w14:paraId="5F3B6A09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055FD5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1A236413" w14:textId="77777777" w:rsidTr="00037E52">
        <w:trPr>
          <w:cantSplit/>
        </w:trPr>
        <w:tc>
          <w:tcPr>
            <w:tcW w:w="4010" w:type="dxa"/>
          </w:tcPr>
          <w:p w14:paraId="44395A4C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749ED59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69508240" w14:textId="77777777" w:rsidTr="00037E52">
        <w:trPr>
          <w:cantSplit/>
        </w:trPr>
        <w:tc>
          <w:tcPr>
            <w:tcW w:w="4010" w:type="dxa"/>
            <w:vAlign w:val="center"/>
          </w:tcPr>
          <w:p w14:paraId="5AC2E03A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0120FB2C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5B0629" w:rsidRPr="004C23F4" w14:paraId="6912E19D" w14:textId="77777777" w:rsidTr="006C2A1D">
        <w:trPr>
          <w:cantSplit/>
        </w:trPr>
        <w:tc>
          <w:tcPr>
            <w:tcW w:w="9026" w:type="dxa"/>
            <w:gridSpan w:val="2"/>
            <w:vAlign w:val="center"/>
          </w:tcPr>
          <w:p w14:paraId="50A1C517" w14:textId="013AD053" w:rsidR="005B0629" w:rsidRPr="005B0629" w:rsidRDefault="005B0629" w:rsidP="00037E52">
            <w:pPr>
              <w:pStyle w:val="Tablefont"/>
              <w:rPr>
                <w:b/>
              </w:rPr>
            </w:pPr>
            <w:r w:rsidRPr="005B0629">
              <w:rPr>
                <w:b/>
              </w:rPr>
              <w:t>Sampling and analysis: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38E435F719E14DBCAF2E9A0F8CEB7B1F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896664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4663135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F7A8AAF" w14:textId="59A36AAC" w:rsidR="006639B4" w:rsidRPr="004C23F4" w:rsidRDefault="005B0629" w:rsidP="000C139A">
      <w:pPr>
        <w:rPr>
          <w:rFonts w:cs="Arial"/>
        </w:rPr>
      </w:pPr>
      <w:r>
        <w:rPr>
          <w:rFonts w:cs="Arial"/>
        </w:rPr>
        <w:t>A TWA of 3 mg/m</w:t>
      </w:r>
      <w:r w:rsidRPr="005B0629">
        <w:rPr>
          <w:rFonts w:cs="Arial"/>
          <w:vertAlign w:val="superscript"/>
        </w:rPr>
        <w:t>3</w:t>
      </w:r>
      <w:r>
        <w:rPr>
          <w:rFonts w:cs="Arial"/>
        </w:rPr>
        <w:t xml:space="preserve"> is recommended to protect for </w:t>
      </w:r>
      <w:r w:rsidR="00D36C2C">
        <w:rPr>
          <w:rFonts w:cs="Arial"/>
        </w:rPr>
        <w:t>liver changes</w:t>
      </w:r>
      <w:r w:rsidR="00601CA0">
        <w:rPr>
          <w:rFonts w:cs="Arial"/>
        </w:rPr>
        <w:t xml:space="preserve"> in exposed workers.</w:t>
      </w:r>
    </w:p>
    <w:p w14:paraId="0B27198B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815049F" w14:textId="443ABF7A" w:rsidR="00BA0C50" w:rsidRDefault="00F5784D" w:rsidP="006639B4">
      <w:pPr>
        <w:rPr>
          <w:rFonts w:cs="Arial"/>
        </w:rPr>
      </w:pPr>
      <w:r>
        <w:rPr>
          <w:rFonts w:cs="Arial"/>
        </w:rPr>
        <w:t xml:space="preserve">Triphenyl phosphate (TPP) is used as a plasticiser in vehicle upholstery, fireproofing agent, component of lubricating oil and hydraulic fluids. </w:t>
      </w:r>
    </w:p>
    <w:p w14:paraId="7CCA33BF" w14:textId="6BC124D4" w:rsidR="00712CDC" w:rsidRDefault="00F5784D" w:rsidP="006639B4">
      <w:pPr>
        <w:rPr>
          <w:rFonts w:cs="Arial"/>
        </w:rPr>
      </w:pPr>
      <w:r>
        <w:rPr>
          <w:rFonts w:cs="Arial"/>
        </w:rPr>
        <w:t xml:space="preserve">The critical effects of exposure are </w:t>
      </w:r>
      <w:r w:rsidR="00601CA0">
        <w:rPr>
          <w:rFonts w:cs="Arial"/>
        </w:rPr>
        <w:t xml:space="preserve">potential </w:t>
      </w:r>
      <w:r w:rsidR="00B956A9">
        <w:rPr>
          <w:rFonts w:cs="Arial"/>
        </w:rPr>
        <w:t>liver changes</w:t>
      </w:r>
      <w:r w:rsidR="00712CDC">
        <w:rPr>
          <w:rFonts w:cs="Arial"/>
        </w:rPr>
        <w:t>.</w:t>
      </w:r>
    </w:p>
    <w:p w14:paraId="760BA549" w14:textId="02EBEDA0" w:rsidR="006639B4" w:rsidRDefault="00082747" w:rsidP="006639B4">
      <w:pPr>
        <w:rPr>
          <w:rStyle w:val="checkbox"/>
          <w:rFonts w:ascii="Arial" w:hAnsi="Arial" w:cs="Arial"/>
        </w:rPr>
      </w:pPr>
      <w:r>
        <w:rPr>
          <w:rFonts w:cs="Arial"/>
        </w:rPr>
        <w:t xml:space="preserve">Limited human data </w:t>
      </w:r>
      <w:r w:rsidR="00BA0C50">
        <w:rPr>
          <w:rFonts w:cs="Arial"/>
        </w:rPr>
        <w:t>are</w:t>
      </w:r>
      <w:r>
        <w:rPr>
          <w:rFonts w:cs="Arial"/>
        </w:rPr>
        <w:t xml:space="preserve"> available</w:t>
      </w:r>
      <w:r w:rsidR="000E4C99">
        <w:rPr>
          <w:rFonts w:cs="Arial"/>
        </w:rPr>
        <w:t>.</w:t>
      </w:r>
      <w:r>
        <w:rPr>
          <w:rFonts w:cs="Arial"/>
        </w:rPr>
        <w:t xml:space="preserve"> </w:t>
      </w:r>
      <w:r w:rsidR="000E4C99">
        <w:rPr>
          <w:rFonts w:cs="Arial"/>
        </w:rPr>
        <w:t>A</w:t>
      </w:r>
      <w:r w:rsidR="00E7340E">
        <w:rPr>
          <w:rFonts w:cs="Arial"/>
        </w:rPr>
        <w:t xml:space="preserve"> medical evaluation of 32 male workers from a manufacturing plant found no </w:t>
      </w:r>
      <w:r w:rsidR="00E7340E">
        <w:t>adverse clinical effects from exposure at TWA of 3.5 mg/m</w:t>
      </w:r>
      <w:r w:rsidR="00E7340E" w:rsidRPr="00D7778E">
        <w:rPr>
          <w:vertAlign w:val="superscript"/>
        </w:rPr>
        <w:t>3</w:t>
      </w:r>
      <w:r w:rsidR="00E7340E">
        <w:t xml:space="preserve"> (ACGIH, 201</w:t>
      </w:r>
      <w:r w:rsidR="00896664">
        <w:t>8</w:t>
      </w:r>
      <w:r w:rsidR="00E7340E">
        <w:t>). There is equivocal evidence of sensitisation in humans (ACGIH, 201</w:t>
      </w:r>
      <w:r w:rsidR="008913C2">
        <w:t>8</w:t>
      </w:r>
      <w:r w:rsidR="00E7340E">
        <w:t xml:space="preserve">; DFG, 1991; NICNAS, 2018). </w:t>
      </w:r>
      <w:r w:rsidR="00B956A9">
        <w:t>Based on animal data, TPP is of v</w:t>
      </w:r>
      <w:r w:rsidR="00B956A9">
        <w:rPr>
          <w:rStyle w:val="checkbox"/>
          <w:rFonts w:ascii="Arial" w:hAnsi="Arial" w:cs="Arial"/>
        </w:rPr>
        <w:t>ery low acute oral and dermal toxicity</w:t>
      </w:r>
      <w:r w:rsidR="00055700">
        <w:rPr>
          <w:rStyle w:val="checkbox"/>
          <w:rFonts w:ascii="Arial" w:hAnsi="Arial" w:cs="Arial"/>
        </w:rPr>
        <w:t>. A NOEL of 105 mg/kg</w:t>
      </w:r>
      <w:r w:rsidR="00A15E67">
        <w:rPr>
          <w:rStyle w:val="checkbox"/>
          <w:rFonts w:ascii="Arial" w:hAnsi="Arial" w:cs="Arial"/>
        </w:rPr>
        <w:t>/day</w:t>
      </w:r>
      <w:r w:rsidR="00055700">
        <w:rPr>
          <w:rStyle w:val="checkbox"/>
          <w:rFonts w:ascii="Arial" w:hAnsi="Arial" w:cs="Arial"/>
        </w:rPr>
        <w:t xml:space="preserve"> is identified in rats based on increased liver weight (NICNAS, 2018).</w:t>
      </w:r>
    </w:p>
    <w:p w14:paraId="37D0DFC6" w14:textId="7348C6CC" w:rsidR="00055700" w:rsidRPr="00254A0B" w:rsidRDefault="00254A0B" w:rsidP="006639B4">
      <w:pPr>
        <w:rPr>
          <w:rFonts w:cs="Arial"/>
        </w:rPr>
      </w:pPr>
      <w:r>
        <w:rPr>
          <w:rFonts w:cs="Arial"/>
        </w:rPr>
        <w:t>Based on no adverse effects in workers exposed at an average concentration of 3.5 mg/m</w:t>
      </w:r>
      <w:r w:rsidRPr="00254A0B">
        <w:rPr>
          <w:rFonts w:cs="Arial"/>
          <w:vertAlign w:val="superscript"/>
        </w:rPr>
        <w:t>3</w:t>
      </w:r>
      <w:r>
        <w:rPr>
          <w:rFonts w:cs="Arial"/>
        </w:rPr>
        <w:t xml:space="preserve">, </w:t>
      </w:r>
      <w:r w:rsidR="00BA0C50">
        <w:rPr>
          <w:rFonts w:cs="Arial"/>
        </w:rPr>
        <w:t>a</w:t>
      </w:r>
      <w:r>
        <w:rPr>
          <w:rFonts w:cs="Arial"/>
        </w:rPr>
        <w:t xml:space="preserve"> TWA of 3 mg/m</w:t>
      </w:r>
      <w:r w:rsidRPr="00254A0B">
        <w:rPr>
          <w:rFonts w:cs="Arial"/>
          <w:vertAlign w:val="superscript"/>
        </w:rPr>
        <w:t>3</w:t>
      </w:r>
      <w:r>
        <w:rPr>
          <w:rFonts w:cs="Arial"/>
        </w:rPr>
        <w:t xml:space="preserve"> by ACGIH (20</w:t>
      </w:r>
      <w:r w:rsidR="00896664">
        <w:rPr>
          <w:rFonts w:cs="Arial"/>
        </w:rPr>
        <w:t>18</w:t>
      </w:r>
      <w:r>
        <w:rPr>
          <w:rFonts w:cs="Arial"/>
        </w:rPr>
        <w:t>) is recommended to be retained</w:t>
      </w:r>
      <w:r w:rsidR="00A15E67">
        <w:rPr>
          <w:rFonts w:cs="Arial"/>
        </w:rPr>
        <w:t>. The recommended TWA is</w:t>
      </w:r>
      <w:r>
        <w:rPr>
          <w:rFonts w:cs="Arial"/>
        </w:rPr>
        <w:t xml:space="preserve"> considered adequately protective</w:t>
      </w:r>
      <w:r w:rsidR="00A15E67">
        <w:rPr>
          <w:rFonts w:cs="Arial"/>
        </w:rPr>
        <w:t xml:space="preserve"> of liver changes in exposed workers</w:t>
      </w:r>
      <w:r>
        <w:rPr>
          <w:rFonts w:cs="Arial"/>
        </w:rPr>
        <w:t>.</w:t>
      </w:r>
    </w:p>
    <w:p w14:paraId="63258B50" w14:textId="77777777" w:rsidR="004529F0" w:rsidRPr="00376E4F" w:rsidRDefault="004529F0" w:rsidP="004529F0">
      <w:pPr>
        <w:pStyle w:val="Heading2"/>
      </w:pPr>
      <w:r w:rsidRPr="00376E4F">
        <w:t>Recommendation for notations</w:t>
      </w:r>
    </w:p>
    <w:p w14:paraId="325E7AD8" w14:textId="5AFD114D" w:rsidR="008E4F1F" w:rsidRPr="00376E4F" w:rsidRDefault="008E4F1F" w:rsidP="008E4F1F">
      <w:pPr>
        <w:rPr>
          <w:rFonts w:cs="Arial"/>
        </w:rPr>
      </w:pPr>
      <w:r w:rsidRPr="00376E4F">
        <w:rPr>
          <w:rFonts w:cs="Arial"/>
        </w:rPr>
        <w:t>Not classified as a carcinogen according to the Globally Harmonized System of Classification and Labelling o</w:t>
      </w:r>
      <w:r w:rsidR="00896664">
        <w:rPr>
          <w:rFonts w:cs="Arial"/>
        </w:rPr>
        <w:t>f</w:t>
      </w:r>
      <w:r w:rsidRPr="00376E4F">
        <w:rPr>
          <w:rFonts w:cs="Arial"/>
        </w:rPr>
        <w:t xml:space="preserve"> Chemicals (GHS). </w:t>
      </w:r>
    </w:p>
    <w:p w14:paraId="6D9B70D4" w14:textId="1479D9E1" w:rsidR="008E4F1F" w:rsidRPr="00376E4F" w:rsidRDefault="008E4F1F" w:rsidP="008E4F1F">
      <w:pPr>
        <w:rPr>
          <w:rFonts w:cs="Arial"/>
        </w:rPr>
      </w:pPr>
      <w:r w:rsidRPr="00376E4F">
        <w:rPr>
          <w:rFonts w:cs="Arial"/>
        </w:rPr>
        <w:t>Not classified as a skin</w:t>
      </w:r>
      <w:r w:rsidR="00896664">
        <w:rPr>
          <w:rFonts w:cs="Arial"/>
        </w:rPr>
        <w:t xml:space="preserve"> sensitiser</w:t>
      </w:r>
      <w:r w:rsidRPr="00376E4F">
        <w:rPr>
          <w:rFonts w:cs="Arial"/>
        </w:rPr>
        <w:t xml:space="preserve"> or respiratory sensitiser according to the GHS.</w:t>
      </w:r>
    </w:p>
    <w:p w14:paraId="7F447657" w14:textId="74740A17" w:rsidR="004529F0" w:rsidRPr="004C23F4" w:rsidRDefault="00376E4F" w:rsidP="008E4F1F">
      <w:pPr>
        <w:rPr>
          <w:rFonts w:cs="Arial"/>
        </w:rPr>
      </w:pPr>
      <w:r w:rsidRPr="00376E4F">
        <w:rPr>
          <w:rFonts w:cs="Arial"/>
        </w:rPr>
        <w:t xml:space="preserve">A skin notation is not </w:t>
      </w:r>
      <w:r w:rsidR="00BA0C50">
        <w:rPr>
          <w:rFonts w:cs="Arial"/>
        </w:rPr>
        <w:t>recommend</w:t>
      </w:r>
      <w:r w:rsidRPr="00376E4F">
        <w:rPr>
          <w:rFonts w:cs="Arial"/>
        </w:rPr>
        <w:t>ed based on the available evidence</w:t>
      </w:r>
      <w:r w:rsidR="008E4F1F" w:rsidRPr="00376E4F">
        <w:rPr>
          <w:rFonts w:cs="Arial"/>
        </w:rPr>
        <w:t>.</w:t>
      </w:r>
    </w:p>
    <w:p w14:paraId="007CD53B" w14:textId="77777777" w:rsidR="0025734A" w:rsidRPr="004C23F4" w:rsidRDefault="0025734A">
      <w:pPr>
        <w:rPr>
          <w:rFonts w:cs="Arial"/>
        </w:rPr>
      </w:pPr>
    </w:p>
    <w:p w14:paraId="500CE205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1947AC6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DAD3DB6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491E38E" w14:textId="77777777" w:rsidTr="00CB42A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A25509A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6846EF6" w14:textId="77777777" w:rsidTr="00CB42A6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BD3C6F5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F50B95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F53B60">
                  <w:t>TWA: 3 mg/m</w:t>
                </w:r>
                <w:r w:rsidR="00F53B60" w:rsidRPr="00F53B60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6E59EBA5" w14:textId="77777777" w:rsidTr="00CB42A6">
        <w:trPr>
          <w:gridAfter w:val="1"/>
          <w:wAfter w:w="8" w:type="pct"/>
          <w:cantSplit/>
        </w:trPr>
        <w:tc>
          <w:tcPr>
            <w:tcW w:w="4992" w:type="pct"/>
          </w:tcPr>
          <w:p w14:paraId="41A191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6B566AD0" w14:textId="77777777" w:rsidTr="00CB42A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AB20AD6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F50B95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751C7C">
                  <w:t>TLV-</w:t>
                </w:r>
                <w:r w:rsidR="00751C7C" w:rsidRPr="00751C7C">
                  <w:t>TWA: 3 mg/m</w:t>
                </w:r>
                <w:r w:rsidR="00751C7C" w:rsidRPr="00E07148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9EE15BD" w14:textId="77777777" w:rsidTr="00CB42A6">
        <w:trPr>
          <w:gridAfter w:val="1"/>
          <w:wAfter w:w="8" w:type="pct"/>
          <w:cantSplit/>
        </w:trPr>
        <w:tc>
          <w:tcPr>
            <w:tcW w:w="4992" w:type="pct"/>
          </w:tcPr>
          <w:p w14:paraId="6D4C9ACE" w14:textId="22B4105D" w:rsidR="00C978F0" w:rsidRDefault="00E14D40" w:rsidP="003365A5">
            <w:pPr>
              <w:pStyle w:val="Tabletextprimarysource"/>
            </w:pPr>
            <w:r>
              <w:t>TLV-TWA recommended to minimise the risk of skin and eye irritation and dermatitis.</w:t>
            </w:r>
          </w:p>
          <w:p w14:paraId="2EDBCABF" w14:textId="6BAEC9EE" w:rsidR="00E14D40" w:rsidRDefault="00E14D40" w:rsidP="003365A5">
            <w:pPr>
              <w:pStyle w:val="Tabletextprimarysource"/>
            </w:pPr>
            <w:r>
              <w:t>Summary of data:</w:t>
            </w:r>
          </w:p>
          <w:p w14:paraId="40FDC93E" w14:textId="49FF65DD" w:rsidR="00E14D40" w:rsidRDefault="00E14D40" w:rsidP="003365A5">
            <w:pPr>
              <w:pStyle w:val="Tabletextprimarysource"/>
            </w:pPr>
            <w:r>
              <w:t xml:space="preserve">TLV-TWA based on absence of effects following medical evaluation of workers exposed to TPP for </w:t>
            </w:r>
            <w:r w:rsidR="00F5784D">
              <w:t>up to 10</w:t>
            </w:r>
            <w:r>
              <w:t xml:space="preserve"> </w:t>
            </w:r>
            <w:proofErr w:type="spellStart"/>
            <w:r>
              <w:t>y</w:t>
            </w:r>
            <w:r w:rsidR="008913C2">
              <w:t>r</w:t>
            </w:r>
            <w:proofErr w:type="spellEnd"/>
            <w:r w:rsidR="00F5784D">
              <w:t xml:space="preserve"> at average of 3.5 mg/m</w:t>
            </w:r>
            <w:r w:rsidR="00F5784D" w:rsidRPr="00F5784D">
              <w:rPr>
                <w:vertAlign w:val="superscript"/>
              </w:rPr>
              <w:t>3</w:t>
            </w:r>
            <w:r>
              <w:t>.</w:t>
            </w:r>
          </w:p>
          <w:p w14:paraId="631E30C7" w14:textId="2B85A579" w:rsidR="00E14D40" w:rsidRDefault="00E14D40" w:rsidP="003365A5">
            <w:pPr>
              <w:pStyle w:val="Tabletextprimarysource"/>
            </w:pPr>
            <w:r>
              <w:t>Human data:</w:t>
            </w:r>
          </w:p>
          <w:p w14:paraId="184239A8" w14:textId="3007D1B1" w:rsidR="00E14D40" w:rsidRDefault="00D7778E" w:rsidP="006D4774">
            <w:pPr>
              <w:pStyle w:val="ListBullet"/>
              <w:spacing w:before="60" w:after="60"/>
              <w:ind w:left="819" w:hanging="357"/>
              <w:contextualSpacing w:val="0"/>
            </w:pPr>
            <w:r>
              <w:t xml:space="preserve">No adverse clinical effects (dermatitis, eye or respiratory tract irritation, unexplained illness or neurological disease) in </w:t>
            </w:r>
            <w:r w:rsidR="0043617C">
              <w:t xml:space="preserve">32 men in manufacturing plant exposed at </w:t>
            </w:r>
            <w:r w:rsidR="007C6053">
              <w:t>TWA</w:t>
            </w:r>
            <w:r>
              <w:t xml:space="preserve"> 3.5</w:t>
            </w:r>
            <w:r w:rsidR="00A36EE9">
              <w:t> </w:t>
            </w:r>
            <w:r>
              <w:t>mg/m</w:t>
            </w:r>
            <w:r w:rsidRPr="00D7778E">
              <w:rPr>
                <w:vertAlign w:val="superscript"/>
              </w:rPr>
              <w:t>3</w:t>
            </w:r>
            <w:r>
              <w:t xml:space="preserve"> for 2</w:t>
            </w:r>
            <w:r w:rsidR="00A36EE9">
              <w:t>–</w:t>
            </w:r>
            <w:r>
              <w:t xml:space="preserve">10 </w:t>
            </w:r>
            <w:proofErr w:type="spellStart"/>
            <w:r>
              <w:t>y</w:t>
            </w:r>
            <w:r w:rsidR="008913C2">
              <w:t>r</w:t>
            </w:r>
            <w:proofErr w:type="spellEnd"/>
            <w:r>
              <w:t xml:space="preserve"> (average 7.4 </w:t>
            </w:r>
            <w:proofErr w:type="spellStart"/>
            <w:r>
              <w:t>y</w:t>
            </w:r>
            <w:r w:rsidR="00712CDC">
              <w:t>r</w:t>
            </w:r>
            <w:proofErr w:type="spellEnd"/>
            <w:r>
              <w:t>)</w:t>
            </w:r>
            <w:r w:rsidR="00A15E67">
              <w:t>:</w:t>
            </w:r>
          </w:p>
          <w:p w14:paraId="06962721" w14:textId="77777777" w:rsidR="008637F6" w:rsidRDefault="007C6053">
            <w:pPr>
              <w:pStyle w:val="ListBullet"/>
              <w:numPr>
                <w:ilvl w:val="0"/>
                <w:numId w:val="2"/>
              </w:numPr>
              <w:spacing w:before="60" w:after="60"/>
              <w:ind w:left="1301" w:hanging="357"/>
              <w:contextualSpacing w:val="0"/>
            </w:pPr>
            <w:r>
              <w:t>slight</w:t>
            </w:r>
            <w:r w:rsidR="00D7778E">
              <w:t xml:space="preserve"> reduction in erythrocyte </w:t>
            </w:r>
            <w:proofErr w:type="spellStart"/>
            <w:r w:rsidR="00D7778E">
              <w:t>ChE</w:t>
            </w:r>
            <w:proofErr w:type="spellEnd"/>
            <w:r w:rsidR="00D7778E">
              <w:t xml:space="preserve"> activity in 6 workers</w:t>
            </w:r>
          </w:p>
          <w:p w14:paraId="3FAAA312" w14:textId="3B2193BA" w:rsidR="00D7778E" w:rsidRDefault="00A143BB" w:rsidP="006D4774">
            <w:pPr>
              <w:pStyle w:val="ListBullet"/>
              <w:numPr>
                <w:ilvl w:val="0"/>
                <w:numId w:val="2"/>
              </w:numPr>
              <w:spacing w:before="60" w:after="60"/>
              <w:ind w:left="1301" w:hanging="357"/>
              <w:contextualSpacing w:val="0"/>
            </w:pPr>
            <w:r>
              <w:t xml:space="preserve">no difference in plasma </w:t>
            </w:r>
            <w:proofErr w:type="spellStart"/>
            <w:r>
              <w:t>ChE</w:t>
            </w:r>
            <w:proofErr w:type="spellEnd"/>
            <w:r>
              <w:t xml:space="preserve"> activity</w:t>
            </w:r>
          </w:p>
          <w:p w14:paraId="103EB67E" w14:textId="77777777" w:rsidR="00D7778E" w:rsidRDefault="007C6053" w:rsidP="006D4774">
            <w:pPr>
              <w:pStyle w:val="ListBullet"/>
              <w:spacing w:before="60" w:after="60"/>
              <w:ind w:left="819" w:hanging="357"/>
              <w:contextualSpacing w:val="0"/>
            </w:pPr>
            <w:r>
              <w:rPr>
                <w:i/>
              </w:rPr>
              <w:t xml:space="preserve">in vitro </w:t>
            </w:r>
            <w:r>
              <w:t xml:space="preserve">cytotoxicity demonstrated in cultured human cells, provides some evidence of </w:t>
            </w:r>
            <w:r>
              <w:rPr>
                <w:i/>
              </w:rPr>
              <w:t>in vitro</w:t>
            </w:r>
            <w:r>
              <w:t xml:space="preserve"> immunotoxicity</w:t>
            </w:r>
          </w:p>
          <w:p w14:paraId="50EBC827" w14:textId="77777777" w:rsidR="007C6053" w:rsidRDefault="007C6053" w:rsidP="006D4774">
            <w:pPr>
              <w:pStyle w:val="ListBullet"/>
              <w:spacing w:before="60" w:after="60"/>
              <w:ind w:left="819" w:hanging="357"/>
              <w:contextualSpacing w:val="0"/>
            </w:pPr>
            <w:r>
              <w:t>Allergic or sensitisation reaction to exposure not definitive.</w:t>
            </w:r>
          </w:p>
          <w:p w14:paraId="006A6BD8" w14:textId="2A400482" w:rsidR="007C6053" w:rsidRDefault="007C6053" w:rsidP="008913C2">
            <w:r>
              <w:t>Animal data:</w:t>
            </w:r>
          </w:p>
          <w:p w14:paraId="0DB7F19F" w14:textId="77777777" w:rsidR="007C6053" w:rsidRDefault="00E66939" w:rsidP="008637F6">
            <w:pPr>
              <w:pStyle w:val="ListBullet"/>
              <w:spacing w:before="60" w:after="60"/>
              <w:ind w:left="816" w:hanging="357"/>
              <w:contextualSpacing w:val="0"/>
            </w:pPr>
            <w:r>
              <w:t>No fatalities among groups of guinea pigs, rats or mice administered 3,000 mg/kg (in ethanol solution) orally or subcutaneously</w:t>
            </w:r>
          </w:p>
          <w:p w14:paraId="64BD246C" w14:textId="122D09C9" w:rsidR="00E66939" w:rsidRDefault="00E66939" w:rsidP="008637F6">
            <w:pPr>
              <w:pStyle w:val="ListBullet"/>
              <w:spacing w:before="60" w:after="60"/>
              <w:ind w:left="816" w:hanging="357"/>
              <w:contextualSpacing w:val="0"/>
            </w:pPr>
            <w:r>
              <w:t>Oral LD</w:t>
            </w:r>
            <w:r w:rsidRPr="00E66939">
              <w:rPr>
                <w:vertAlign w:val="subscript"/>
              </w:rPr>
              <w:t>50</w:t>
            </w:r>
            <w:r>
              <w:t xml:space="preserve">: 1,320 </w:t>
            </w:r>
            <w:r>
              <w:rPr>
                <w:rFonts w:cs="Arial"/>
              </w:rPr>
              <w:t>±</w:t>
            </w:r>
            <w:r>
              <w:t>280 mg/kg (mice); 3,800</w:t>
            </w:r>
            <w:r>
              <w:rPr>
                <w:rFonts w:cs="Arial"/>
              </w:rPr>
              <w:t>±</w:t>
            </w:r>
            <w:r>
              <w:t>260 mg/kg (rats)</w:t>
            </w:r>
          </w:p>
          <w:p w14:paraId="7DDA5D71" w14:textId="74F9C4FB" w:rsidR="008637F6" w:rsidRDefault="006F548D">
            <w:pPr>
              <w:pStyle w:val="ListBullet"/>
              <w:spacing w:before="60" w:after="60"/>
              <w:ind w:left="816" w:hanging="357"/>
              <w:contextualSpacing w:val="0"/>
            </w:pPr>
            <w:r>
              <w:t xml:space="preserve">Subcutaneous administration of </w:t>
            </w:r>
            <w:r w:rsidR="009B3FFC">
              <w:t>500 mg/kg</w:t>
            </w:r>
            <w:r>
              <w:t xml:space="preserve"> fatal </w:t>
            </w:r>
            <w:r w:rsidR="009B3FFC">
              <w:t>to monkeys</w:t>
            </w:r>
            <w:r w:rsidR="00A15E67">
              <w:t>:</w:t>
            </w:r>
            <w:r w:rsidR="009B3FFC">
              <w:t xml:space="preserve"> </w:t>
            </w:r>
          </w:p>
          <w:p w14:paraId="63E36CF7" w14:textId="77777777" w:rsidR="008637F6" w:rsidRDefault="006F548D" w:rsidP="008637F6">
            <w:pPr>
              <w:pStyle w:val="ListBullet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 xml:space="preserve">1,000 mg/kg fatal to rabbits; </w:t>
            </w:r>
          </w:p>
          <w:p w14:paraId="472B2966" w14:textId="64DD14DF" w:rsidR="006F548D" w:rsidRDefault="006F548D" w:rsidP="008637F6">
            <w:pPr>
              <w:pStyle w:val="ListBullet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>200 mg/kg induced paralysis in cats (fatal between 300</w:t>
            </w:r>
            <w:r w:rsidR="00D26164">
              <w:t>–</w:t>
            </w:r>
            <w:r>
              <w:t>1,000 mg/kg)</w:t>
            </w:r>
          </w:p>
          <w:p w14:paraId="5DE00E43" w14:textId="2BB08E84" w:rsidR="00E66939" w:rsidRDefault="006F548D" w:rsidP="008637F6">
            <w:pPr>
              <w:pStyle w:val="ListBullet"/>
              <w:spacing w:before="60" w:after="60"/>
              <w:ind w:left="816" w:hanging="357"/>
              <w:contextualSpacing w:val="0"/>
            </w:pPr>
            <w:r>
              <w:t>Subcutaneous injection of 400, 700 or 1,000 mg/kg in cats; no ataxia at 400 mg/kg</w:t>
            </w:r>
            <w:r w:rsidR="00712CDC">
              <w:t>.</w:t>
            </w:r>
            <w:r>
              <w:t xml:space="preserve"> </w:t>
            </w:r>
            <w:r w:rsidR="000E4C99">
              <w:t>P</w:t>
            </w:r>
            <w:r>
              <w:t xml:space="preserve">rostration occurred </w:t>
            </w:r>
            <w:r w:rsidR="00712CDC">
              <w:t>sometime</w:t>
            </w:r>
            <w:r>
              <w:t xml:space="preserve"> after dosing at the higher doses</w:t>
            </w:r>
          </w:p>
          <w:p w14:paraId="779002DE" w14:textId="77777777" w:rsidR="009B3FFC" w:rsidRDefault="006F548D" w:rsidP="008637F6">
            <w:pPr>
              <w:pStyle w:val="ListBullet"/>
              <w:spacing w:before="60" w:after="60"/>
              <w:ind w:left="816" w:hanging="357"/>
              <w:contextualSpacing w:val="0"/>
            </w:pPr>
            <w:r>
              <w:t xml:space="preserve">50% inhibition of plasma </w:t>
            </w:r>
            <w:proofErr w:type="spellStart"/>
            <w:r>
              <w:t>ChE</w:t>
            </w:r>
            <w:proofErr w:type="spellEnd"/>
            <w:r>
              <w:t xml:space="preserve"> activity in mice administered 200 mg/kg and in</w:t>
            </w:r>
            <w:r w:rsidR="00ED3CB3">
              <w:t xml:space="preserve"> cockerels administered 1,000 mg/kg (oral or IP)</w:t>
            </w:r>
          </w:p>
          <w:p w14:paraId="6ACAF961" w14:textId="77777777" w:rsidR="00ED3CB3" w:rsidRDefault="00ED3CB3" w:rsidP="008637F6">
            <w:pPr>
              <w:pStyle w:val="ListBullet"/>
              <w:spacing w:before="60" w:after="60"/>
              <w:ind w:left="816" w:hanging="357"/>
              <w:contextualSpacing w:val="0"/>
            </w:pPr>
            <w:r>
              <w:t>No skin irritation following topical application in rats and mice</w:t>
            </w:r>
          </w:p>
          <w:p w14:paraId="07CDEC76" w14:textId="77777777" w:rsidR="00ED3CB3" w:rsidRDefault="00ED3CB3" w:rsidP="008637F6">
            <w:pPr>
              <w:pStyle w:val="ListBullet"/>
              <w:spacing w:before="60" w:after="60"/>
              <w:ind w:left="816" w:hanging="357"/>
              <w:contextualSpacing w:val="0"/>
            </w:pPr>
            <w:r>
              <w:t>No cumulative toxicity</w:t>
            </w:r>
            <w:r w:rsidR="00433111">
              <w:t xml:space="preserve"> based on 3 </w:t>
            </w:r>
            <w:proofErr w:type="spellStart"/>
            <w:r w:rsidR="00433111">
              <w:t>mo</w:t>
            </w:r>
            <w:proofErr w:type="spellEnd"/>
            <w:r w:rsidR="00433111">
              <w:t xml:space="preserve"> study in rats dosed at 1,800 mg/kg and 380 mg/kg</w:t>
            </w:r>
          </w:p>
          <w:p w14:paraId="01F525D7" w14:textId="77777777" w:rsidR="00433111" w:rsidRDefault="00784345" w:rsidP="008637F6">
            <w:pPr>
              <w:pStyle w:val="ListBullet"/>
              <w:spacing w:before="60" w:after="60"/>
              <w:ind w:left="816" w:hanging="357"/>
              <w:contextualSpacing w:val="0"/>
            </w:pPr>
            <w:r>
              <w:t xml:space="preserve">Negative </w:t>
            </w:r>
            <w:r w:rsidR="00A56B17">
              <w:t xml:space="preserve">results in </w:t>
            </w:r>
            <w:r>
              <w:t xml:space="preserve">genotoxicity </w:t>
            </w:r>
            <w:r w:rsidR="00A56B17">
              <w:t>tests</w:t>
            </w:r>
          </w:p>
          <w:p w14:paraId="34B95AB6" w14:textId="77777777" w:rsidR="00A56B17" w:rsidRDefault="00A56B17" w:rsidP="008637F6">
            <w:pPr>
              <w:pStyle w:val="ListBullet"/>
              <w:spacing w:before="60" w:after="60"/>
              <w:ind w:left="816" w:hanging="357"/>
              <w:contextualSpacing w:val="0"/>
            </w:pPr>
            <w:r>
              <w:t>No difference in incidence of pulmonary adenomas in treated or control mice (single or multiple doses)</w:t>
            </w:r>
          </w:p>
          <w:p w14:paraId="45D9B509" w14:textId="77777777" w:rsidR="00A56B17" w:rsidRDefault="00A56B17" w:rsidP="008637F6">
            <w:pPr>
              <w:pStyle w:val="ListBullet"/>
              <w:spacing w:before="60" w:after="60"/>
              <w:ind w:left="816" w:hanging="357"/>
              <w:contextualSpacing w:val="0"/>
            </w:pPr>
            <w:r>
              <w:t>Not teratogenic or maternally toxic in male and female rats fed at 0, 2.5, 5, 7.5 or 10 mg/kg (91 d).</w:t>
            </w:r>
          </w:p>
          <w:p w14:paraId="307603D3" w14:textId="77777777" w:rsidR="008637F6" w:rsidRDefault="008637F6" w:rsidP="00A56B17"/>
          <w:p w14:paraId="7A78AEAA" w14:textId="77777777" w:rsidR="008637F6" w:rsidRDefault="00A56B17" w:rsidP="00A56B17">
            <w:r>
              <w:t xml:space="preserve">Insufficient data to recommend Skin or SEN notations or a TLV-STEL. </w:t>
            </w:r>
          </w:p>
          <w:p w14:paraId="4C02FE99" w14:textId="74CED5E5" w:rsidR="00A56B17" w:rsidRPr="00DA352E" w:rsidRDefault="00A56B17" w:rsidP="00A56B17">
            <w:r>
              <w:t xml:space="preserve">Not </w:t>
            </w:r>
            <w:r w:rsidR="000E4C99">
              <w:t>c</w:t>
            </w:r>
            <w:r>
              <w:t xml:space="preserve">lassifiable as a </w:t>
            </w:r>
            <w:r w:rsidR="000E4C99">
              <w:t>h</w:t>
            </w:r>
            <w:r>
              <w:t xml:space="preserve">uman </w:t>
            </w:r>
            <w:r w:rsidR="000E4C99">
              <w:t>c</w:t>
            </w:r>
            <w:r>
              <w:t>arcinogen notation is assigned.</w:t>
            </w:r>
          </w:p>
        </w:tc>
      </w:tr>
      <w:tr w:rsidR="00C978F0" w:rsidRPr="00DA352E" w14:paraId="71C1BC88" w14:textId="77777777" w:rsidTr="00CB42A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DC4CB8D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F50B95">
                  <w:t>1991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48158D">
                  <w:t>Not assigned</w:t>
                </w:r>
              </w:sdtContent>
            </w:sdt>
          </w:p>
        </w:tc>
      </w:tr>
      <w:tr w:rsidR="00C978F0" w:rsidRPr="00DA352E" w14:paraId="78A758DD" w14:textId="77777777" w:rsidTr="00CB42A6">
        <w:trPr>
          <w:gridAfter w:val="1"/>
          <w:wAfter w:w="8" w:type="pct"/>
          <w:cantSplit/>
        </w:trPr>
        <w:tc>
          <w:tcPr>
            <w:tcW w:w="4992" w:type="pct"/>
          </w:tcPr>
          <w:p w14:paraId="306AA538" w14:textId="6AB83F2F" w:rsidR="00C978F0" w:rsidRDefault="00BF523A" w:rsidP="003365A5">
            <w:pPr>
              <w:pStyle w:val="Tabletextprimarysource"/>
            </w:pPr>
            <w:r>
              <w:t>Summary of additional data:</w:t>
            </w:r>
          </w:p>
          <w:p w14:paraId="065119E8" w14:textId="725C4A16" w:rsidR="00BF523A" w:rsidRDefault="00A143BB" w:rsidP="008637F6">
            <w:pPr>
              <w:pStyle w:val="ListBullet"/>
              <w:spacing w:before="60" w:after="60"/>
              <w:ind w:left="1264" w:hanging="357"/>
              <w:contextualSpacing w:val="0"/>
            </w:pPr>
            <w:r>
              <w:t>Single dose of 1,000 mg/kg in hen</w:t>
            </w:r>
            <w:r w:rsidR="008913C2">
              <w:t>s</w:t>
            </w:r>
            <w:r>
              <w:t xml:space="preserve"> produced no effects</w:t>
            </w:r>
          </w:p>
          <w:p w14:paraId="705B9479" w14:textId="10769957" w:rsidR="00A143BB" w:rsidRDefault="00A143BB" w:rsidP="008637F6">
            <w:pPr>
              <w:pStyle w:val="ListBullet"/>
              <w:spacing w:before="60" w:after="60"/>
              <w:ind w:left="1264" w:hanging="357"/>
              <w:contextualSpacing w:val="0"/>
            </w:pPr>
            <w:r>
              <w:t>Appears to be poorly absorbed through skin and GI</w:t>
            </w:r>
            <w:r w:rsidR="008637F6">
              <w:t>T</w:t>
            </w:r>
          </w:p>
          <w:p w14:paraId="045BD2D5" w14:textId="534B351F" w:rsidR="00A143BB" w:rsidRDefault="00A143BB" w:rsidP="008637F6">
            <w:pPr>
              <w:pStyle w:val="ListBullet"/>
              <w:spacing w:before="60" w:after="60"/>
              <w:ind w:left="1264" w:hanging="357"/>
              <w:contextualSpacing w:val="0"/>
            </w:pPr>
            <w:r>
              <w:t>Limited human data</w:t>
            </w:r>
            <w:r w:rsidR="00712CDC">
              <w:t xml:space="preserve">. No </w:t>
            </w:r>
            <w:r>
              <w:t xml:space="preserve">evidence reported </w:t>
            </w:r>
            <w:r w:rsidR="00712CDC">
              <w:t xml:space="preserve">for </w:t>
            </w:r>
            <w:r>
              <w:t>lethal dose of 1,000 mg/kg</w:t>
            </w:r>
          </w:p>
          <w:p w14:paraId="178B149A" w14:textId="0741D1DD" w:rsidR="008637F6" w:rsidRDefault="007B7225">
            <w:pPr>
              <w:pStyle w:val="ListBullet"/>
              <w:spacing w:before="60" w:after="60"/>
              <w:ind w:left="1264" w:hanging="357"/>
              <w:contextualSpacing w:val="0"/>
            </w:pPr>
            <w:r>
              <w:t xml:space="preserve">Older studies </w:t>
            </w:r>
            <w:r w:rsidR="00712CDC">
              <w:t xml:space="preserve">in which </w:t>
            </w:r>
            <w:r>
              <w:t xml:space="preserve">neurotoxic changes </w:t>
            </w:r>
            <w:r w:rsidR="00712CDC">
              <w:t xml:space="preserve">occurred </w:t>
            </w:r>
            <w:r>
              <w:t>concluded to be due to impurities in the chemical</w:t>
            </w:r>
            <w:r w:rsidR="00A15E67">
              <w:t>:</w:t>
            </w:r>
            <w:r w:rsidR="000C1F8C">
              <w:t xml:space="preserve"> </w:t>
            </w:r>
          </w:p>
          <w:p w14:paraId="51B3E602" w14:textId="7A909402" w:rsidR="00A143BB" w:rsidRDefault="000C1F8C" w:rsidP="008637F6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>
              <w:t xml:space="preserve">no changes in blood, plasma or RBC </w:t>
            </w:r>
            <w:proofErr w:type="spellStart"/>
            <w:r>
              <w:t>ChE</w:t>
            </w:r>
            <w:proofErr w:type="spellEnd"/>
            <w:r>
              <w:t xml:space="preserve"> activity in later studies in cats</w:t>
            </w:r>
          </w:p>
          <w:p w14:paraId="7D8BB024" w14:textId="77777777" w:rsidR="000C1F8C" w:rsidRDefault="000C1F8C" w:rsidP="008637F6">
            <w:pPr>
              <w:pStyle w:val="ListBullet"/>
              <w:spacing w:before="60" w:after="60"/>
              <w:ind w:left="1264" w:hanging="357"/>
              <w:contextualSpacing w:val="0"/>
            </w:pPr>
            <w:r>
              <w:t>Repeated dose studies in hens confirmed absence of neurotoxic effects</w:t>
            </w:r>
          </w:p>
          <w:p w14:paraId="72F157FA" w14:textId="14184E47" w:rsidR="000C1F8C" w:rsidRDefault="00712CDC" w:rsidP="008637F6">
            <w:pPr>
              <w:pStyle w:val="ListBullet"/>
              <w:spacing w:before="60" w:after="60"/>
              <w:ind w:left="1264" w:hanging="357"/>
              <w:contextualSpacing w:val="0"/>
            </w:pPr>
            <w:r>
              <w:t xml:space="preserve">Slight reduction in body weight gain and increased liver weight at the highest dose reported in dietary </w:t>
            </w:r>
            <w:r w:rsidR="003429B9">
              <w:t>study in rats fed 0, 754 and 3,632 mg/kg</w:t>
            </w:r>
            <w:r>
              <w:t>/d</w:t>
            </w:r>
            <w:r w:rsidR="003429B9">
              <w:t xml:space="preserve"> (35 d)</w:t>
            </w:r>
          </w:p>
          <w:p w14:paraId="2FC8F840" w14:textId="6C344066" w:rsidR="00BB4A8C" w:rsidRDefault="002104FF" w:rsidP="008637F6">
            <w:pPr>
              <w:pStyle w:val="ListBullet"/>
              <w:spacing w:before="60" w:after="60"/>
              <w:ind w:left="1264" w:hanging="357"/>
              <w:contextualSpacing w:val="0"/>
            </w:pPr>
            <w:r>
              <w:t xml:space="preserve">Equivocal </w:t>
            </w:r>
            <w:r w:rsidR="00BB4A8C">
              <w:t>evidence of sensitisation</w:t>
            </w:r>
          </w:p>
          <w:p w14:paraId="03B1C055" w14:textId="5119E3DB" w:rsidR="008637F6" w:rsidRDefault="00BB4A8C">
            <w:pPr>
              <w:pStyle w:val="ListBullet"/>
              <w:spacing w:before="60" w:after="60"/>
              <w:ind w:left="1264" w:hanging="357"/>
              <w:contextualSpacing w:val="0"/>
            </w:pPr>
            <w:r>
              <w:t xml:space="preserve">Not mutagenic in </w:t>
            </w:r>
            <w:r w:rsidR="005F348B">
              <w:rPr>
                <w:i/>
              </w:rPr>
              <w:t>S. typhi</w:t>
            </w:r>
            <w:r w:rsidR="00713985">
              <w:rPr>
                <w:i/>
              </w:rPr>
              <w:t>mu</w:t>
            </w:r>
            <w:r w:rsidR="005F348B">
              <w:rPr>
                <w:i/>
              </w:rPr>
              <w:t xml:space="preserve">rium </w:t>
            </w:r>
            <w:r w:rsidR="00713985">
              <w:t>strains TA98, TA100, TA135 and TA1537 (with or without activation)</w:t>
            </w:r>
            <w:r w:rsidR="00A15E67">
              <w:t>:</w:t>
            </w:r>
            <w:r w:rsidR="00713985">
              <w:t xml:space="preserve"> </w:t>
            </w:r>
          </w:p>
          <w:p w14:paraId="4BE86E6A" w14:textId="23F83263" w:rsidR="00BB4A8C" w:rsidRDefault="00713985" w:rsidP="008637F6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>
              <w:t>weakly positive in micronucleus test in SHE cells</w:t>
            </w:r>
          </w:p>
          <w:p w14:paraId="2EE0B712" w14:textId="77777777" w:rsidR="00713985" w:rsidRDefault="00450B92" w:rsidP="008637F6">
            <w:pPr>
              <w:pStyle w:val="ListBullet"/>
              <w:spacing w:before="60" w:after="60"/>
              <w:ind w:left="1264" w:hanging="357"/>
              <w:contextualSpacing w:val="0"/>
            </w:pPr>
            <w:r>
              <w:t>No chronic studies available</w:t>
            </w:r>
          </w:p>
          <w:p w14:paraId="3671F43E" w14:textId="2649E668" w:rsidR="008637F6" w:rsidRDefault="00450B92">
            <w:pPr>
              <w:pStyle w:val="ListBullet"/>
              <w:spacing w:before="60" w:after="60"/>
              <w:ind w:left="1264" w:hanging="357"/>
              <w:contextualSpacing w:val="0"/>
            </w:pPr>
            <w:r>
              <w:t>Insufficient data in humans and animals to assign MAK</w:t>
            </w:r>
            <w:r w:rsidR="00A15E67">
              <w:t>:</w:t>
            </w:r>
            <w:r>
              <w:t xml:space="preserve"> </w:t>
            </w:r>
          </w:p>
          <w:p w14:paraId="30E03258" w14:textId="09B66CA0" w:rsidR="00450B92" w:rsidRDefault="00450B92" w:rsidP="008637F6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>
              <w:t xml:space="preserve">additional studies, particularly of neurotoxicity </w:t>
            </w:r>
            <w:r>
              <w:rPr>
                <w:i/>
              </w:rPr>
              <w:t>in vivo</w:t>
            </w:r>
            <w:r>
              <w:t>, is required</w:t>
            </w:r>
            <w:r w:rsidR="006C5C0C">
              <w:t>.</w:t>
            </w:r>
          </w:p>
          <w:p w14:paraId="7DDBE9DA" w14:textId="4FCAC479" w:rsidR="008637F6" w:rsidRPr="00DA352E" w:rsidRDefault="008637F6" w:rsidP="008637F6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3EBCB8AE" w14:textId="77777777" w:rsidTr="00CB42A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708FC1D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F50B9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2F4522">
                  <w:t>NA</w:t>
                </w:r>
                <w:proofErr w:type="spellEnd"/>
              </w:sdtContent>
            </w:sdt>
          </w:p>
        </w:tc>
      </w:tr>
      <w:tr w:rsidR="00C978F0" w:rsidRPr="00DA352E" w14:paraId="1D4B7690" w14:textId="77777777" w:rsidTr="00CB42A6">
        <w:trPr>
          <w:gridAfter w:val="1"/>
          <w:wAfter w:w="8" w:type="pct"/>
          <w:cantSplit/>
        </w:trPr>
        <w:tc>
          <w:tcPr>
            <w:tcW w:w="4992" w:type="pct"/>
          </w:tcPr>
          <w:p w14:paraId="6905C460" w14:textId="6C6D71E0" w:rsidR="00C978F0" w:rsidRPr="00DA352E" w:rsidRDefault="002F4522" w:rsidP="003365A5">
            <w:pPr>
              <w:pStyle w:val="Tabletextprimarysource"/>
            </w:pPr>
            <w:r>
              <w:t>No report</w:t>
            </w:r>
            <w:r w:rsidR="008913C2">
              <w:t>.</w:t>
            </w:r>
          </w:p>
        </w:tc>
      </w:tr>
      <w:tr w:rsidR="00DA352E" w:rsidRPr="00DA352E" w14:paraId="4D446B07" w14:textId="77777777" w:rsidTr="00CB42A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102410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F50B9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A978E6">
                  <w:t>NA</w:t>
                </w:r>
                <w:proofErr w:type="spellEnd"/>
              </w:sdtContent>
            </w:sdt>
          </w:p>
        </w:tc>
      </w:tr>
      <w:tr w:rsidR="00DA352E" w:rsidRPr="00DA352E" w14:paraId="04A973C2" w14:textId="77777777" w:rsidTr="00CB42A6">
        <w:trPr>
          <w:gridAfter w:val="1"/>
          <w:wAfter w:w="8" w:type="pct"/>
          <w:cantSplit/>
        </w:trPr>
        <w:tc>
          <w:tcPr>
            <w:tcW w:w="4992" w:type="pct"/>
          </w:tcPr>
          <w:p w14:paraId="54CAD710" w14:textId="3DB69895" w:rsidR="00DA352E" w:rsidRPr="00DA352E" w:rsidRDefault="00A978E6" w:rsidP="003365A5">
            <w:pPr>
              <w:pStyle w:val="Tabletextprimarysource"/>
            </w:pPr>
            <w:r>
              <w:t>No report</w:t>
            </w:r>
            <w:r w:rsidR="008913C2">
              <w:t>.</w:t>
            </w:r>
          </w:p>
        </w:tc>
      </w:tr>
      <w:tr w:rsidR="00DA352E" w:rsidRPr="00DA352E" w14:paraId="3A77965E" w14:textId="77777777" w:rsidTr="00CB42A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CA7F03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F50B9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167E41">
                  <w:t>NA</w:t>
                </w:r>
                <w:proofErr w:type="spellEnd"/>
              </w:sdtContent>
            </w:sdt>
          </w:p>
        </w:tc>
      </w:tr>
      <w:tr w:rsidR="00DA352E" w:rsidRPr="00DA352E" w14:paraId="0EEA56A8" w14:textId="77777777" w:rsidTr="00CB42A6">
        <w:trPr>
          <w:gridAfter w:val="1"/>
          <w:wAfter w:w="8" w:type="pct"/>
          <w:cantSplit/>
        </w:trPr>
        <w:tc>
          <w:tcPr>
            <w:tcW w:w="4992" w:type="pct"/>
          </w:tcPr>
          <w:p w14:paraId="18D06CCB" w14:textId="21086FDC" w:rsidR="00DA352E" w:rsidRPr="00DA352E" w:rsidRDefault="00167E41" w:rsidP="003365A5">
            <w:pPr>
              <w:pStyle w:val="Tabletextprimarysource"/>
            </w:pPr>
            <w:r>
              <w:t>No report</w:t>
            </w:r>
            <w:r w:rsidR="008913C2">
              <w:t>.</w:t>
            </w:r>
          </w:p>
        </w:tc>
      </w:tr>
    </w:tbl>
    <w:p w14:paraId="4F0B1344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8"/>
        <w:gridCol w:w="423"/>
        <w:gridCol w:w="661"/>
        <w:gridCol w:w="6444"/>
      </w:tblGrid>
      <w:tr w:rsidR="004966BF" w:rsidRPr="00263255" w14:paraId="75C5E147" w14:textId="77777777" w:rsidTr="00CB4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76EF064B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4AD16F58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FA965CC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00B3335B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09C188FE" w14:textId="77777777" w:rsidTr="00CB42A6">
        <w:trPr>
          <w:cantSplit/>
        </w:trPr>
        <w:tc>
          <w:tcPr>
            <w:tcW w:w="1498" w:type="dxa"/>
          </w:tcPr>
          <w:p w14:paraId="43605BFA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62B55C83" w14:textId="77777777" w:rsidR="004966BF" w:rsidRPr="00CE617F" w:rsidRDefault="00CB42A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50B9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2AAED7F" w14:textId="77777777" w:rsidR="004966BF" w:rsidRPr="004C23F4" w:rsidRDefault="00E70C6C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444" w:type="dxa"/>
          </w:tcPr>
          <w:p w14:paraId="52660E28" w14:textId="77028272" w:rsidR="004966BF" w:rsidRDefault="00D2261C" w:rsidP="008637F6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 w:rsidRPr="00D2261C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>: &gt;10,000 mg/kg (rabbits</w:t>
            </w:r>
            <w:r w:rsidR="008913C2">
              <w:rPr>
                <w:rStyle w:val="checkbox"/>
                <w:rFonts w:ascii="Arial" w:hAnsi="Arial" w:cs="Arial"/>
              </w:rPr>
              <w:t>, dermal)</w:t>
            </w:r>
          </w:p>
          <w:p w14:paraId="3039F963" w14:textId="2969304B" w:rsidR="00D2261C" w:rsidRDefault="000E4C99" w:rsidP="008637F6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signs of toxicity caused by w</w:t>
            </w:r>
            <w:r w:rsidR="00D2261C">
              <w:rPr>
                <w:rStyle w:val="checkbox"/>
                <w:rFonts w:ascii="Arial" w:hAnsi="Arial" w:cs="Arial"/>
              </w:rPr>
              <w:t xml:space="preserve">hole body exposure </w:t>
            </w:r>
            <w:r w:rsidR="00376E4F">
              <w:rPr>
                <w:rStyle w:val="checkbox"/>
                <w:rFonts w:ascii="Arial" w:hAnsi="Arial" w:cs="Arial"/>
              </w:rPr>
              <w:t>in</w:t>
            </w:r>
            <w:r w:rsidR="00D2261C">
              <w:rPr>
                <w:rStyle w:val="checkbox"/>
                <w:rFonts w:ascii="Arial" w:hAnsi="Arial" w:cs="Arial"/>
              </w:rPr>
              <w:t xml:space="preserve"> mice at 363 mg/m</w:t>
            </w:r>
            <w:r w:rsidR="00D2261C" w:rsidRPr="00D2261C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D2261C">
              <w:rPr>
                <w:rStyle w:val="checkbox"/>
                <w:rFonts w:ascii="Arial" w:hAnsi="Arial" w:cs="Arial"/>
              </w:rPr>
              <w:t xml:space="preserve"> (6 h) or 757</w:t>
            </w:r>
            <w:r w:rsidR="008913C2">
              <w:rPr>
                <w:rStyle w:val="checkbox"/>
                <w:rFonts w:ascii="Arial" w:hAnsi="Arial" w:cs="Arial"/>
              </w:rPr>
              <w:t> </w:t>
            </w:r>
            <w:r w:rsidR="00D2261C">
              <w:rPr>
                <w:rStyle w:val="checkbox"/>
                <w:rFonts w:ascii="Arial" w:hAnsi="Arial" w:cs="Arial"/>
              </w:rPr>
              <w:t>mg/m</w:t>
            </w:r>
            <w:r w:rsidR="00D2261C" w:rsidRPr="00D2261C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D2261C">
              <w:rPr>
                <w:rStyle w:val="checkbox"/>
                <w:rFonts w:ascii="Arial" w:hAnsi="Arial" w:cs="Arial"/>
              </w:rPr>
              <w:t xml:space="preserve"> (2</w:t>
            </w:r>
            <w:r w:rsidR="004C2C6D">
              <w:t>–</w:t>
            </w:r>
            <w:r w:rsidR="00D2261C">
              <w:rPr>
                <w:rStyle w:val="checkbox"/>
                <w:rFonts w:ascii="Arial" w:hAnsi="Arial" w:cs="Arial"/>
              </w:rPr>
              <w:t xml:space="preserve">4 h) </w:t>
            </w:r>
          </w:p>
          <w:p w14:paraId="3B21112C" w14:textId="77777777" w:rsidR="00D2261C" w:rsidRDefault="00040F57" w:rsidP="008637F6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Very low incidence of potential skin sensitisation in humans</w:t>
            </w:r>
          </w:p>
          <w:p w14:paraId="7E9CA663" w14:textId="71E7B9FD" w:rsidR="00D2261C" w:rsidRDefault="008D301D" w:rsidP="008637F6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NOAEL of 1,500 ppm</w:t>
            </w:r>
            <w:r w:rsidR="00602133">
              <w:rPr>
                <w:rStyle w:val="checkbox"/>
                <w:rFonts w:ascii="Arial" w:hAnsi="Arial" w:cs="Arial"/>
              </w:rPr>
              <w:t xml:space="preserve"> (105 mg/kg/d in males and 117 mg/kg/d in females) in rats based on increased liver weight (90 d duration)</w:t>
            </w:r>
          </w:p>
          <w:p w14:paraId="5AA82943" w14:textId="77777777" w:rsidR="00602133" w:rsidRDefault="00602133" w:rsidP="008637F6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Negative results in </w:t>
            </w:r>
            <w:r>
              <w:rPr>
                <w:rStyle w:val="checkbox"/>
                <w:rFonts w:ascii="Arial" w:hAnsi="Arial" w:cs="Arial"/>
                <w:i/>
              </w:rPr>
              <w:t>in vitro</w:t>
            </w:r>
            <w:r>
              <w:rPr>
                <w:rStyle w:val="checkbox"/>
                <w:rFonts w:ascii="Arial" w:hAnsi="Arial" w:cs="Arial"/>
              </w:rPr>
              <w:t xml:space="preserve"> genotoxicity studies</w:t>
            </w:r>
          </w:p>
          <w:p w14:paraId="0043CE94" w14:textId="77777777" w:rsidR="00602133" w:rsidRDefault="00602133" w:rsidP="008637F6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Not considered to cause neurotoxicity</w:t>
            </w:r>
          </w:p>
          <w:p w14:paraId="4458B212" w14:textId="50D0E2D6" w:rsidR="00602133" w:rsidRDefault="00911137" w:rsidP="008637F6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adverse effects following repeated application to intact or abraded rabbit skin at 100 or 1,000 mg/kg/d, 5 d/</w:t>
            </w:r>
            <w:proofErr w:type="spellStart"/>
            <w:r>
              <w:rPr>
                <w:rStyle w:val="checkbox"/>
                <w:rFonts w:ascii="Arial" w:hAnsi="Arial" w:cs="Arial"/>
              </w:rPr>
              <w:t>wk</w:t>
            </w:r>
            <w:proofErr w:type="spellEnd"/>
          </w:p>
          <w:p w14:paraId="19B4401F" w14:textId="462126BC" w:rsidR="0062792C" w:rsidRDefault="0062792C" w:rsidP="008637F6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Single doses of 2,000, 3,000, 5,000, 8,000 or 12,500 mg/kg </w:t>
            </w:r>
            <w:r w:rsidR="006D78C6" w:rsidRPr="006D78C6">
              <w:rPr>
                <w:rStyle w:val="checkbox"/>
                <w:rFonts w:ascii="Arial" w:hAnsi="Arial" w:cs="Arial"/>
              </w:rPr>
              <w:t>ca</w:t>
            </w:r>
            <w:r w:rsidR="000E4C99">
              <w:rPr>
                <w:rStyle w:val="checkbox"/>
                <w:rFonts w:ascii="Arial" w:hAnsi="Arial" w:cs="Arial"/>
              </w:rPr>
              <w:t>used</w:t>
            </w:r>
            <w:r w:rsidR="006D78C6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no effects in hens (observed for 2</w:t>
            </w:r>
            <w:r w:rsidR="004C2C6D">
              <w:t>–</w:t>
            </w:r>
            <w:r>
              <w:rPr>
                <w:rStyle w:val="checkbox"/>
                <w:rFonts w:ascii="Arial" w:hAnsi="Arial" w:cs="Arial"/>
              </w:rPr>
              <w:t xml:space="preserve">3 </w:t>
            </w:r>
            <w:proofErr w:type="spellStart"/>
            <w:r>
              <w:rPr>
                <w:rStyle w:val="checkbox"/>
                <w:rFonts w:ascii="Arial" w:hAnsi="Arial" w:cs="Arial"/>
              </w:rPr>
              <w:t>wk</w:t>
            </w:r>
            <w:proofErr w:type="spellEnd"/>
            <w:r>
              <w:rPr>
                <w:rStyle w:val="checkbox"/>
                <w:rFonts w:ascii="Arial" w:hAnsi="Arial" w:cs="Arial"/>
              </w:rPr>
              <w:t>)</w:t>
            </w:r>
          </w:p>
          <w:p w14:paraId="330CB67C" w14:textId="77777777" w:rsidR="0062792C" w:rsidRPr="004C23F4" w:rsidRDefault="00EF065D" w:rsidP="008637F6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Recent studies suggest may cause hormonal and/or metabolic changes.</w:t>
            </w:r>
          </w:p>
        </w:tc>
        <w:bookmarkStart w:id="1" w:name="_GoBack"/>
        <w:bookmarkEnd w:id="1"/>
      </w:tr>
      <w:tr w:rsidR="004966BF" w:rsidRPr="004C23F4" w14:paraId="6EA168C4" w14:textId="77777777" w:rsidTr="00CB42A6">
        <w:trPr>
          <w:cantSplit/>
        </w:trPr>
        <w:tc>
          <w:tcPr>
            <w:tcW w:w="1498" w:type="dxa"/>
          </w:tcPr>
          <w:p w14:paraId="60B138DC" w14:textId="77777777" w:rsidR="004966BF" w:rsidRPr="004C23F4" w:rsidRDefault="004966BF" w:rsidP="00224EE2">
            <w:pPr>
              <w:pStyle w:val="Tablefont"/>
            </w:pPr>
            <w:r>
              <w:t>OECD</w:t>
            </w:r>
          </w:p>
        </w:tc>
        <w:tc>
          <w:tcPr>
            <w:tcW w:w="423" w:type="dxa"/>
          </w:tcPr>
          <w:p w14:paraId="09DF3FCB" w14:textId="77777777" w:rsidR="004966BF" w:rsidRPr="00CE617F" w:rsidRDefault="00CB42A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3230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49F097D" w14:textId="77777777" w:rsidR="004966BF" w:rsidRPr="004C23F4" w:rsidRDefault="00E3230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2002</w:t>
            </w:r>
          </w:p>
        </w:tc>
        <w:tc>
          <w:tcPr>
            <w:tcW w:w="6444" w:type="dxa"/>
          </w:tcPr>
          <w:p w14:paraId="743BE9D5" w14:textId="77777777" w:rsidR="004966BF" w:rsidRDefault="003833D5" w:rsidP="008637F6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Very low acute oral and dermal toxicity</w:t>
            </w:r>
          </w:p>
          <w:p w14:paraId="39868006" w14:textId="48FDCBC1" w:rsidR="003833D5" w:rsidRDefault="00EC3604" w:rsidP="008637F6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Repeated dose oral studies in rats (up to 4 </w:t>
            </w:r>
            <w:proofErr w:type="spellStart"/>
            <w:r>
              <w:rPr>
                <w:rStyle w:val="checkbox"/>
                <w:rFonts w:ascii="Arial" w:hAnsi="Arial" w:cs="Arial"/>
              </w:rPr>
              <w:t>mo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) showed slight </w:t>
            </w:r>
            <w:r w:rsidR="00A15E67">
              <w:rPr>
                <w:rStyle w:val="checkbox"/>
                <w:rFonts w:ascii="Arial" w:hAnsi="Arial" w:cs="Arial"/>
              </w:rPr>
              <w:t xml:space="preserve">body weight </w:t>
            </w:r>
            <w:r>
              <w:rPr>
                <w:rStyle w:val="checkbox"/>
                <w:rFonts w:ascii="Arial" w:hAnsi="Arial" w:cs="Arial"/>
              </w:rPr>
              <w:t>reduction and increased liver weight; NO</w:t>
            </w:r>
            <w:r w:rsidR="0041237A">
              <w:rPr>
                <w:rStyle w:val="checkbox"/>
                <w:rFonts w:ascii="Arial" w:hAnsi="Arial" w:cs="Arial"/>
              </w:rPr>
              <w:t>A</w:t>
            </w:r>
            <w:r>
              <w:rPr>
                <w:rStyle w:val="checkbox"/>
                <w:rFonts w:ascii="Arial" w:hAnsi="Arial" w:cs="Arial"/>
              </w:rPr>
              <w:t xml:space="preserve">EL of 161 mg/kg/d identified based on reduced </w:t>
            </w:r>
            <w:r w:rsidR="008913C2">
              <w:rPr>
                <w:rStyle w:val="checkbox"/>
                <w:rFonts w:ascii="Arial" w:hAnsi="Arial" w:cs="Arial"/>
              </w:rPr>
              <w:t>b</w:t>
            </w:r>
            <w:r w:rsidR="00A15E67">
              <w:rPr>
                <w:rStyle w:val="checkbox"/>
                <w:rFonts w:ascii="Arial" w:hAnsi="Arial" w:cs="Arial"/>
              </w:rPr>
              <w:t>ody weight</w:t>
            </w:r>
            <w:r>
              <w:rPr>
                <w:rStyle w:val="checkbox"/>
                <w:rFonts w:ascii="Arial" w:hAnsi="Arial" w:cs="Arial"/>
              </w:rPr>
              <w:t xml:space="preserve"> gain</w:t>
            </w:r>
          </w:p>
          <w:p w14:paraId="57B419AF" w14:textId="09A73375" w:rsidR="008637F6" w:rsidRPr="006D78C6" w:rsidRDefault="00EC360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6D78C6">
              <w:rPr>
                <w:rStyle w:val="checkbox"/>
                <w:rFonts w:ascii="Arial" w:hAnsi="Arial" w:cs="Arial"/>
              </w:rPr>
              <w:t xml:space="preserve">Pure substance did not </w:t>
            </w:r>
            <w:r w:rsidR="006D78C6" w:rsidRPr="006D78C6">
              <w:rPr>
                <w:rStyle w:val="checkbox"/>
                <w:rFonts w:ascii="Arial" w:hAnsi="Arial" w:cs="Arial"/>
              </w:rPr>
              <w:t>ca</w:t>
            </w:r>
            <w:r w:rsidR="0041237A">
              <w:rPr>
                <w:rStyle w:val="checkbox"/>
                <w:rFonts w:ascii="Arial" w:hAnsi="Arial" w:cs="Arial"/>
              </w:rPr>
              <w:t>used</w:t>
            </w:r>
            <w:r w:rsidR="006D78C6" w:rsidRPr="006D78C6">
              <w:rPr>
                <w:rStyle w:val="checkbox"/>
                <w:rFonts w:ascii="Arial" w:hAnsi="Arial" w:cs="Arial"/>
              </w:rPr>
              <w:t xml:space="preserve"> </w:t>
            </w:r>
            <w:r w:rsidRPr="006D78C6">
              <w:rPr>
                <w:rStyle w:val="checkbox"/>
                <w:rFonts w:ascii="Arial" w:hAnsi="Arial" w:cs="Arial"/>
              </w:rPr>
              <w:t>neuropathy in cats or hens</w:t>
            </w:r>
            <w:r w:rsidR="0041237A">
              <w:rPr>
                <w:rStyle w:val="checkbox"/>
                <w:rFonts w:ascii="Arial" w:hAnsi="Arial" w:cs="Arial"/>
              </w:rPr>
              <w:t>:</w:t>
            </w:r>
            <w:r w:rsidR="007D0860" w:rsidRPr="006D78C6">
              <w:rPr>
                <w:rStyle w:val="checkbox"/>
                <w:rFonts w:ascii="Arial" w:hAnsi="Arial" w:cs="Arial"/>
              </w:rPr>
              <w:t xml:space="preserve"> </w:t>
            </w:r>
          </w:p>
          <w:p w14:paraId="77EA3287" w14:textId="158CDAD7" w:rsidR="00EC3604" w:rsidRPr="004C23F4" w:rsidRDefault="007D0860" w:rsidP="00317845">
            <w:pPr>
              <w:pStyle w:val="ListBullet"/>
              <w:numPr>
                <w:ilvl w:val="0"/>
                <w:numId w:val="4"/>
              </w:numPr>
              <w:spacing w:before="60" w:after="60"/>
              <w:ind w:left="1143"/>
              <w:contextualSpacing w:val="0"/>
              <w:rPr>
                <w:rStyle w:val="checkbox"/>
                <w:rFonts w:ascii="Arial" w:hAnsi="Arial" w:cs="Arial"/>
              </w:rPr>
            </w:pPr>
            <w:r w:rsidRPr="006D78C6">
              <w:rPr>
                <w:rStyle w:val="checkbox"/>
                <w:rFonts w:ascii="Arial" w:hAnsi="Arial" w:cs="Arial"/>
              </w:rPr>
              <w:t>providing support to presence of impurities causing</w:t>
            </w:r>
            <w:r>
              <w:rPr>
                <w:rStyle w:val="checkbox"/>
                <w:rFonts w:ascii="Arial" w:hAnsi="Arial" w:cs="Arial"/>
              </w:rPr>
              <w:t xml:space="preserve"> such effects in older studies.</w:t>
            </w:r>
          </w:p>
        </w:tc>
      </w:tr>
    </w:tbl>
    <w:bookmarkEnd w:id="0"/>
    <w:p w14:paraId="5E40BF04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7A473BF2" w14:textId="77777777" w:rsidTr="004B7E53">
        <w:trPr>
          <w:trHeight w:val="454"/>
          <w:tblHeader/>
        </w:trPr>
        <w:tc>
          <w:tcPr>
            <w:tcW w:w="6603" w:type="dxa"/>
            <w:vAlign w:val="center"/>
          </w:tcPr>
          <w:p w14:paraId="74ECDB02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3D9AE4C5" w14:textId="77777777" w:rsidR="002E0D61" w:rsidRDefault="004B7E53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106E33C0" w14:textId="77777777" w:rsidTr="004B7E53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9D39FB6" w14:textId="77777777" w:rsidR="008A36CF" w:rsidRPr="006901A2" w:rsidRDefault="004B7E53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66A2D910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6EC406AB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239F7E3F" w14:textId="77777777" w:rsidTr="00CB4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140B79E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AD11F02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F8D0B65" w14:textId="77777777" w:rsidTr="00CB42A6">
        <w:trPr>
          <w:cantSplit/>
        </w:trPr>
        <w:tc>
          <w:tcPr>
            <w:tcW w:w="3227" w:type="dxa"/>
          </w:tcPr>
          <w:p w14:paraId="38BB0DA8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7B07A68B" w14:textId="77777777" w:rsidR="00687890" w:rsidRPr="00DD2F9B" w:rsidRDefault="007941EC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42E131E8" w14:textId="77777777" w:rsidTr="00CB42A6">
        <w:trPr>
          <w:cantSplit/>
        </w:trPr>
        <w:tc>
          <w:tcPr>
            <w:tcW w:w="3227" w:type="dxa"/>
          </w:tcPr>
          <w:p w14:paraId="10FB06EC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09454E80" w14:textId="77777777" w:rsidR="007925F0" w:rsidRPr="00DD2F9B" w:rsidRDefault="007941EC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6837430F" w14:textId="77777777" w:rsidTr="00CB42A6">
        <w:trPr>
          <w:cantSplit/>
        </w:trPr>
        <w:tc>
          <w:tcPr>
            <w:tcW w:w="3227" w:type="dxa"/>
          </w:tcPr>
          <w:p w14:paraId="54446DF7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03B9104" w14:textId="77777777" w:rsidR="00AF483F" w:rsidRPr="00DD2F9B" w:rsidRDefault="000B2453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0C9DD327" w14:textId="77777777" w:rsidTr="00CB42A6">
        <w:trPr>
          <w:cantSplit/>
        </w:trPr>
        <w:tc>
          <w:tcPr>
            <w:tcW w:w="3227" w:type="dxa"/>
          </w:tcPr>
          <w:p w14:paraId="2B1472EA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A893407" w14:textId="77777777" w:rsidR="00687890" w:rsidRPr="00DD2F9B" w:rsidRDefault="000B2453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405673D" w14:textId="77777777" w:rsidTr="00CB42A6">
        <w:trPr>
          <w:cantSplit/>
        </w:trPr>
        <w:tc>
          <w:tcPr>
            <w:tcW w:w="3227" w:type="dxa"/>
          </w:tcPr>
          <w:p w14:paraId="1DBA3425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0B6F3308" w14:textId="77777777" w:rsidR="00E41A26" w:rsidRPr="00DD2F9B" w:rsidRDefault="001B62B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9113DE4" w14:textId="77777777" w:rsidTr="00CB42A6">
        <w:trPr>
          <w:cantSplit/>
        </w:trPr>
        <w:tc>
          <w:tcPr>
            <w:tcW w:w="3227" w:type="dxa"/>
          </w:tcPr>
          <w:p w14:paraId="1E5664E1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368DDC8" w14:textId="77777777" w:rsidR="002E0D61" w:rsidRPr="00DD2F9B" w:rsidRDefault="00D3501F" w:rsidP="00DD2F9B">
            <w:pPr>
              <w:pStyle w:val="Tablefont"/>
            </w:pPr>
            <w:r w:rsidRPr="00D3501F">
              <w:t>Carcinogenicity – A4</w:t>
            </w:r>
          </w:p>
        </w:tc>
      </w:tr>
      <w:tr w:rsidR="002E0D61" w:rsidRPr="004C23F4" w14:paraId="150B9DEF" w14:textId="77777777" w:rsidTr="00CB42A6">
        <w:trPr>
          <w:cantSplit/>
        </w:trPr>
        <w:tc>
          <w:tcPr>
            <w:tcW w:w="3227" w:type="dxa"/>
          </w:tcPr>
          <w:p w14:paraId="45800D99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5C968225" w14:textId="77777777" w:rsidR="002E0D61" w:rsidRPr="00DD2F9B" w:rsidRDefault="002F452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0D1F46F" w14:textId="77777777" w:rsidTr="00CB42A6">
        <w:trPr>
          <w:cantSplit/>
        </w:trPr>
        <w:tc>
          <w:tcPr>
            <w:tcW w:w="3227" w:type="dxa"/>
          </w:tcPr>
          <w:p w14:paraId="79B6A127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E51525F" w14:textId="77777777" w:rsidR="002E0D61" w:rsidRPr="00DD2F9B" w:rsidRDefault="002F452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5E54D98" w14:textId="77777777" w:rsidTr="00CB42A6">
        <w:trPr>
          <w:cantSplit/>
        </w:trPr>
        <w:tc>
          <w:tcPr>
            <w:tcW w:w="3227" w:type="dxa"/>
          </w:tcPr>
          <w:p w14:paraId="519B0BC8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441FE01B" w14:textId="77777777" w:rsidR="002E0D61" w:rsidRPr="00DD2F9B" w:rsidRDefault="00167E41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F7C7D55" w14:textId="77777777" w:rsidTr="00CB42A6">
        <w:trPr>
          <w:cantSplit/>
        </w:trPr>
        <w:tc>
          <w:tcPr>
            <w:tcW w:w="3227" w:type="dxa"/>
          </w:tcPr>
          <w:p w14:paraId="18DE7545" w14:textId="77777777" w:rsidR="004079B4" w:rsidRDefault="00386093" w:rsidP="00F4402E">
            <w:pPr>
              <w:pStyle w:val="Tablefont"/>
            </w:pPr>
            <w:r>
              <w:lastRenderedPageBreak/>
              <w:t>IARC</w:t>
            </w:r>
          </w:p>
        </w:tc>
        <w:tc>
          <w:tcPr>
            <w:tcW w:w="6015" w:type="dxa"/>
          </w:tcPr>
          <w:p w14:paraId="2945A29F" w14:textId="77777777" w:rsidR="00386093" w:rsidRPr="00DD2F9B" w:rsidRDefault="001B62B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5A625B4" w14:textId="77777777" w:rsidTr="00CB42A6">
        <w:trPr>
          <w:cantSplit/>
        </w:trPr>
        <w:tc>
          <w:tcPr>
            <w:tcW w:w="3227" w:type="dxa"/>
          </w:tcPr>
          <w:p w14:paraId="15E1225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8EF0BD7" w14:textId="77777777" w:rsidR="00386093" w:rsidRPr="00DD2F9B" w:rsidRDefault="001B62BD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520121C3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0791899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1028B7C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0B1687F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3754"/>
        <w:gridCol w:w="1107"/>
        <w:gridCol w:w="1107"/>
        <w:gridCol w:w="3058"/>
      </w:tblGrid>
      <w:tr w:rsidR="00911137" w:rsidRPr="00911137" w14:paraId="1119938C" w14:textId="77777777" w:rsidTr="00911137">
        <w:trPr>
          <w:trHeight w:val="342"/>
        </w:trPr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bookmarkEnd w:id="4"/>
          <w:p w14:paraId="59ADC220" w14:textId="77777777" w:rsidR="00911137" w:rsidRPr="00911137" w:rsidRDefault="00911137" w:rsidP="0091113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Adverse effects in human case study: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9FD3AA9" w14:textId="77777777" w:rsidR="00911137" w:rsidRPr="00911137" w:rsidRDefault="00911137" w:rsidP="009111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2C0666D" w14:textId="77777777" w:rsidR="00911137" w:rsidRPr="00911137" w:rsidRDefault="00911137" w:rsidP="00911137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A260EFC" w14:textId="77777777" w:rsidR="00911137" w:rsidRPr="00911137" w:rsidRDefault="00911137" w:rsidP="0091113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11137" w:rsidRPr="00911137" w14:paraId="6350AE71" w14:textId="77777777" w:rsidTr="00911137">
        <w:trPr>
          <w:trHeight w:val="342"/>
        </w:trPr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D3E1C9B" w14:textId="77777777" w:rsidR="00911137" w:rsidRPr="00911137" w:rsidRDefault="00911137" w:rsidP="0091113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LD</w:t>
            </w: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≤1000 mg/kg: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2DC295E" w14:textId="77777777" w:rsidR="00911137" w:rsidRPr="00911137" w:rsidRDefault="00911137" w:rsidP="009111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32BEACC" w14:textId="77777777" w:rsidR="00911137" w:rsidRPr="00911137" w:rsidRDefault="00911137" w:rsidP="00911137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6DB3A19" w14:textId="77777777" w:rsidR="00911137" w:rsidRPr="00911137" w:rsidRDefault="00911137" w:rsidP="0091113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11137" w:rsidRPr="00911137" w14:paraId="62A0105F" w14:textId="77777777" w:rsidTr="00911137">
        <w:trPr>
          <w:trHeight w:val="342"/>
        </w:trPr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9412255" w14:textId="77777777" w:rsidR="00911137" w:rsidRPr="00911137" w:rsidRDefault="00911137" w:rsidP="0091113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repeat-dose NOAEL ≤200 mg/kg: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2CEE554" w14:textId="77777777" w:rsidR="00911137" w:rsidRPr="00911137" w:rsidRDefault="00911137" w:rsidP="009111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640A82D" w14:textId="77777777" w:rsidR="00911137" w:rsidRPr="00911137" w:rsidRDefault="00911137" w:rsidP="0091113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-3.00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98085F6" w14:textId="77777777" w:rsidR="00911137" w:rsidRPr="00911137" w:rsidRDefault="00911137" w:rsidP="0091113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11137" w:rsidRPr="00911137" w14:paraId="0E1AF6E0" w14:textId="77777777" w:rsidTr="00911137">
        <w:trPr>
          <w:trHeight w:val="342"/>
        </w:trPr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1A0FCD5" w14:textId="77777777" w:rsidR="00911137" w:rsidRPr="00911137" w:rsidRDefault="00911137" w:rsidP="0091113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LD</w:t>
            </w: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/Inhalation LD</w:t>
            </w: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&lt;10: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8103593" w14:textId="77777777" w:rsidR="00911137" w:rsidRPr="00911137" w:rsidRDefault="00911137" w:rsidP="009111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0E3F2BC" w14:textId="77777777" w:rsidR="00911137" w:rsidRPr="00911137" w:rsidRDefault="00911137" w:rsidP="00911137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3E4082F" w14:textId="77777777" w:rsidR="00911137" w:rsidRPr="00911137" w:rsidRDefault="00911137" w:rsidP="0091113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11137" w:rsidRPr="00911137" w14:paraId="3206B49D" w14:textId="77777777" w:rsidTr="00911137">
        <w:trPr>
          <w:trHeight w:val="342"/>
        </w:trPr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B7DB655" w14:textId="77777777" w:rsidR="00911137" w:rsidRPr="00911137" w:rsidRDefault="00911137" w:rsidP="0091113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szCs w:val="18"/>
                <w:lang w:eastAsia="en-AU"/>
              </w:rPr>
              <w:t>In vivo</w:t>
            </w: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dermal absorption rate &gt;10%: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0C8B53E" w14:textId="77777777" w:rsidR="00911137" w:rsidRPr="00911137" w:rsidRDefault="00911137" w:rsidP="009111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EDDE79D" w14:textId="77777777" w:rsidR="00911137" w:rsidRPr="00911137" w:rsidRDefault="00911137" w:rsidP="00911137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20B2E93" w14:textId="77777777" w:rsidR="00911137" w:rsidRPr="00911137" w:rsidRDefault="00911137" w:rsidP="0091113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11137" w:rsidRPr="00911137" w14:paraId="71E2CC19" w14:textId="77777777" w:rsidTr="00911137">
        <w:trPr>
          <w:trHeight w:val="342"/>
        </w:trPr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64BC493" w14:textId="77777777" w:rsidR="00911137" w:rsidRPr="00911137" w:rsidRDefault="00911137" w:rsidP="0091113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Estimated dermal exposure at WES &gt;10%: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3C11790" w14:textId="77777777" w:rsidR="00911137" w:rsidRPr="00911137" w:rsidRDefault="00911137" w:rsidP="009111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1B1D931" w14:textId="77777777" w:rsidR="00911137" w:rsidRPr="00911137" w:rsidRDefault="00911137" w:rsidP="00911137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EE5D32B" w14:textId="77777777" w:rsidR="00911137" w:rsidRPr="00911137" w:rsidRDefault="00911137" w:rsidP="0091113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11137" w:rsidRPr="00911137" w14:paraId="6261DAA2" w14:textId="77777777" w:rsidTr="00911137">
        <w:trPr>
          <w:trHeight w:val="342"/>
        </w:trPr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4BCC3C2" w14:textId="77777777" w:rsidR="00911137" w:rsidRPr="00911137" w:rsidRDefault="00911137" w:rsidP="0091113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8AEB9DF" w14:textId="77777777" w:rsidR="00911137" w:rsidRPr="00911137" w:rsidRDefault="00911137" w:rsidP="009111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21D9C64" w14:textId="77777777" w:rsidR="00911137" w:rsidRPr="00911137" w:rsidRDefault="00911137" w:rsidP="0091113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-3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5059640" w14:textId="77777777" w:rsidR="00911137" w:rsidRPr="00911137" w:rsidRDefault="00911137" w:rsidP="0091113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91113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  <w:t>a skin notation is not warranted</w:t>
            </w:r>
          </w:p>
        </w:tc>
      </w:tr>
    </w:tbl>
    <w:p w14:paraId="5F0D5A55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5E5515BD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E4F54C9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47457B1" w14:textId="77777777" w:rsidR="00EB3D1B" w:rsidRDefault="00F50B95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12FD7D8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5C4B869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3782754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53897B49" w14:textId="77777777" w:rsidR="001B79E5" w:rsidRDefault="00D3501F" w:rsidP="001B79E5">
                <w:pPr>
                  <w:pStyle w:val="Tablefont"/>
                </w:pPr>
                <w:r>
                  <w:t>326.28</w:t>
                </w:r>
              </w:p>
            </w:tc>
          </w:sdtContent>
        </w:sdt>
      </w:tr>
      <w:tr w:rsidR="00A31D99" w:rsidRPr="004C23F4" w14:paraId="4044913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876E9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64DE53DF" w14:textId="2A9C3A30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F85648">
                  <w:t>13.3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F85648" w:rsidRPr="0041237A">
                  <w:t>0.07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633FC0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184BB56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C13947A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21DA780" w14:textId="77777777" w:rsidTr="00EA6243">
        <w:trPr>
          <w:cantSplit/>
        </w:trPr>
        <w:tc>
          <w:tcPr>
            <w:tcW w:w="4077" w:type="dxa"/>
            <w:vAlign w:val="center"/>
          </w:tcPr>
          <w:p w14:paraId="6358DEE0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36B3002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D444241" w14:textId="77777777" w:rsidTr="00EA6243">
        <w:trPr>
          <w:cantSplit/>
        </w:trPr>
        <w:tc>
          <w:tcPr>
            <w:tcW w:w="4077" w:type="dxa"/>
            <w:vAlign w:val="center"/>
          </w:tcPr>
          <w:p w14:paraId="66AFAD1E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C914D02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5542E30A" w14:textId="77777777" w:rsidTr="00EA6243">
        <w:trPr>
          <w:cantSplit/>
        </w:trPr>
        <w:tc>
          <w:tcPr>
            <w:tcW w:w="4077" w:type="dxa"/>
            <w:vAlign w:val="center"/>
          </w:tcPr>
          <w:p w14:paraId="6EAEB39E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F2DA5EA" w14:textId="77777777" w:rsidR="00E06F40" w:rsidRPr="00A006A0" w:rsidRDefault="00CB42A6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20CD91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E4EF448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1F114C2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58B6224E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2293413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5FE6838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5BF0DBB2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41BF92C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D6E6F8C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0BA41D9" w14:textId="77777777" w:rsidR="008E4F1F" w:rsidRDefault="008E4F1F" w:rsidP="008E4F1F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1B62BD">
        <w:t>1991</w:t>
      </w:r>
      <w:r>
        <w:t xml:space="preserve">) </w:t>
      </w:r>
      <w:r w:rsidR="001B62BD" w:rsidRPr="001B62BD">
        <w:t>Triphenyl phosphate</w:t>
      </w:r>
      <w:r>
        <w:t xml:space="preserve"> – MAK value documentation.</w:t>
      </w:r>
    </w:p>
    <w:p w14:paraId="447D0291" w14:textId="77777777" w:rsidR="004F61FB" w:rsidRDefault="004F61FB" w:rsidP="008E4F1F">
      <w:pPr>
        <w:rPr>
          <w:b/>
        </w:rPr>
      </w:pPr>
      <w:r w:rsidRPr="00DB0A36">
        <w:lastRenderedPageBreak/>
        <w:t>National Industrial Chemicals Notification and Assessment Scheme (NICNAS) (201</w:t>
      </w:r>
      <w:r>
        <w:t>8</w:t>
      </w:r>
      <w:r w:rsidRPr="00DB0A36">
        <w:t xml:space="preserve">) </w:t>
      </w:r>
      <w:r>
        <w:t>Phosphoric acid, triphenyl ester</w:t>
      </w:r>
      <w:r w:rsidRPr="00DB0A36">
        <w:t>:</w:t>
      </w:r>
      <w:r>
        <w:t xml:space="preserve"> </w:t>
      </w:r>
      <w:r w:rsidRPr="00DB0A36">
        <w:t xml:space="preserve">Human </w:t>
      </w:r>
      <w:r w:rsidRPr="004633BA">
        <w:t xml:space="preserve">health </w:t>
      </w:r>
      <w:sdt>
        <w:sdtPr>
          <w:id w:val="-1295753243"/>
          <w:temporary/>
          <w:showingPlcHdr/>
        </w:sdtPr>
        <w:sdtEndPr/>
        <w:sdtContent>
          <w:r w:rsidRPr="005F4305">
            <w:t>tier II</w:t>
          </w:r>
        </w:sdtContent>
      </w:sdt>
      <w:r w:rsidRPr="004633BA">
        <w:t xml:space="preserve"> assessment </w:t>
      </w:r>
      <w:r w:rsidRPr="00DB0A36">
        <w:t>– IMAP report.</w:t>
      </w:r>
    </w:p>
    <w:p w14:paraId="0AD83B43" w14:textId="77777777" w:rsidR="008E4F1F" w:rsidRPr="00351FE0" w:rsidRDefault="00E32308" w:rsidP="00084859">
      <w:r w:rsidRPr="00E819F5">
        <w:t>Organisation for Economic Cooperation and Development (OECD) (</w:t>
      </w:r>
      <w:r>
        <w:t>2002</w:t>
      </w:r>
      <w:r w:rsidRPr="00E819F5">
        <w:t>) SIDS initial assessment profile</w:t>
      </w:r>
      <w:r>
        <w:t xml:space="preserve"> – Triphenyl Phosphate.</w:t>
      </w:r>
    </w:p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8CE46" w14:textId="77777777" w:rsidR="002B4908" w:rsidRDefault="002B4908" w:rsidP="00F43AD5">
      <w:pPr>
        <w:spacing w:after="0" w:line="240" w:lineRule="auto"/>
      </w:pPr>
      <w:r>
        <w:separator/>
      </w:r>
    </w:p>
  </w:endnote>
  <w:endnote w:type="continuationSeparator" w:id="0">
    <w:p w14:paraId="581BD7C5" w14:textId="77777777" w:rsidR="002B4908" w:rsidRDefault="002B4908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DEC18" w14:textId="77777777" w:rsidR="00CB42A6" w:rsidRDefault="00CB4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0B35A2E" w14:textId="06EB66D5" w:rsidR="006C2A1D" w:rsidRDefault="006C2A1D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Triphenyl phosphate (115-86-6)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 w:rsidR="008913C2">
          <w:rPr>
            <w:sz w:val="18"/>
            <w:szCs w:val="18"/>
          </w:rPr>
          <w:t>20</w:t>
        </w:r>
      </w:p>
      <w:p w14:paraId="5B979065" w14:textId="45A94FE3" w:rsidR="006C2A1D" w:rsidRPr="00F43AD5" w:rsidRDefault="006C2A1D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901287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5DFB6" w14:textId="77777777" w:rsidR="00CB42A6" w:rsidRDefault="00CB4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86EEE" w14:textId="77777777" w:rsidR="002B4908" w:rsidRDefault="002B4908" w:rsidP="00F43AD5">
      <w:pPr>
        <w:spacing w:after="0" w:line="240" w:lineRule="auto"/>
      </w:pPr>
      <w:r>
        <w:separator/>
      </w:r>
    </w:p>
  </w:footnote>
  <w:footnote w:type="continuationSeparator" w:id="0">
    <w:p w14:paraId="01469083" w14:textId="77777777" w:rsidR="002B4908" w:rsidRDefault="002B4908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7BD64" w14:textId="77777777" w:rsidR="00CB42A6" w:rsidRDefault="00CB4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6603D" w14:textId="266C6940" w:rsidR="00CB42A6" w:rsidRDefault="00CB42A6" w:rsidP="00CB42A6">
    <w:pPr>
      <w:pStyle w:val="Header"/>
      <w:jc w:val="right"/>
    </w:pPr>
    <w:r>
      <w:pict w14:anchorId="42F3D3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1F138C9F" wp14:editId="388A22F8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0B71BF" w14:textId="528E94EB" w:rsidR="006C2A1D" w:rsidRPr="00CB42A6" w:rsidRDefault="006C2A1D" w:rsidP="00CB42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C4AAF" w14:textId="77777777" w:rsidR="00CB42A6" w:rsidRDefault="00CB42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CFD08" w14:textId="67724DEE" w:rsidR="00CB42A6" w:rsidRDefault="00CB42A6" w:rsidP="00CB42A6">
    <w:pPr>
      <w:pStyle w:val="Header"/>
      <w:jc w:val="right"/>
    </w:pPr>
    <w:r>
      <w:pict w14:anchorId="439765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2210C89D" wp14:editId="37C04DB8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ECD01D" w14:textId="77777777" w:rsidR="006C2A1D" w:rsidRDefault="006C2A1D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2CCB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03ACA"/>
    <w:multiLevelType w:val="hybridMultilevel"/>
    <w:tmpl w:val="0F3A94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11910"/>
    <w:multiLevelType w:val="hybridMultilevel"/>
    <w:tmpl w:val="EEDAE700"/>
    <w:lvl w:ilvl="0" w:tplc="0C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62D143FC"/>
    <w:multiLevelType w:val="hybridMultilevel"/>
    <w:tmpl w:val="CFE40738"/>
    <w:lvl w:ilvl="0" w:tplc="0C0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31AB"/>
    <w:rsid w:val="00037E52"/>
    <w:rsid w:val="00040F57"/>
    <w:rsid w:val="00046DF5"/>
    <w:rsid w:val="00052060"/>
    <w:rsid w:val="00055700"/>
    <w:rsid w:val="0005574A"/>
    <w:rsid w:val="00055FE1"/>
    <w:rsid w:val="00056EC2"/>
    <w:rsid w:val="00060B48"/>
    <w:rsid w:val="00067F32"/>
    <w:rsid w:val="00071807"/>
    <w:rsid w:val="000803E1"/>
    <w:rsid w:val="00082747"/>
    <w:rsid w:val="00084513"/>
    <w:rsid w:val="00084859"/>
    <w:rsid w:val="00092D94"/>
    <w:rsid w:val="000B0868"/>
    <w:rsid w:val="000B2453"/>
    <w:rsid w:val="000B3E12"/>
    <w:rsid w:val="000B3E78"/>
    <w:rsid w:val="000B7B48"/>
    <w:rsid w:val="000C096D"/>
    <w:rsid w:val="000C139A"/>
    <w:rsid w:val="000C1F8C"/>
    <w:rsid w:val="000C2053"/>
    <w:rsid w:val="000C248C"/>
    <w:rsid w:val="000D291C"/>
    <w:rsid w:val="000E4C99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67E41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62BD"/>
    <w:rsid w:val="001B79E5"/>
    <w:rsid w:val="001D56F0"/>
    <w:rsid w:val="001D663B"/>
    <w:rsid w:val="001D7B41"/>
    <w:rsid w:val="001E46DA"/>
    <w:rsid w:val="001E7D80"/>
    <w:rsid w:val="001F3538"/>
    <w:rsid w:val="001F4B6C"/>
    <w:rsid w:val="001F62CB"/>
    <w:rsid w:val="001F6ED0"/>
    <w:rsid w:val="001F72E6"/>
    <w:rsid w:val="001F73C5"/>
    <w:rsid w:val="002046A6"/>
    <w:rsid w:val="00204956"/>
    <w:rsid w:val="002104FF"/>
    <w:rsid w:val="00213640"/>
    <w:rsid w:val="00221547"/>
    <w:rsid w:val="002216FC"/>
    <w:rsid w:val="00222533"/>
    <w:rsid w:val="00222F30"/>
    <w:rsid w:val="00224EE2"/>
    <w:rsid w:val="00227EC7"/>
    <w:rsid w:val="00232F5C"/>
    <w:rsid w:val="00244AD1"/>
    <w:rsid w:val="002463BC"/>
    <w:rsid w:val="002465CE"/>
    <w:rsid w:val="00254A0B"/>
    <w:rsid w:val="0025734A"/>
    <w:rsid w:val="00263255"/>
    <w:rsid w:val="00276494"/>
    <w:rsid w:val="00277B0C"/>
    <w:rsid w:val="002B1A2C"/>
    <w:rsid w:val="002B4908"/>
    <w:rsid w:val="002C34F2"/>
    <w:rsid w:val="002C58FF"/>
    <w:rsid w:val="002C7AFE"/>
    <w:rsid w:val="002D05D2"/>
    <w:rsid w:val="002E0D61"/>
    <w:rsid w:val="002E4C7B"/>
    <w:rsid w:val="002F4522"/>
    <w:rsid w:val="003034E8"/>
    <w:rsid w:val="0030740C"/>
    <w:rsid w:val="00315833"/>
    <w:rsid w:val="00317845"/>
    <w:rsid w:val="003215EE"/>
    <w:rsid w:val="003224BF"/>
    <w:rsid w:val="003241A8"/>
    <w:rsid w:val="003253F0"/>
    <w:rsid w:val="003337DA"/>
    <w:rsid w:val="00334EFB"/>
    <w:rsid w:val="00335CDE"/>
    <w:rsid w:val="003365A5"/>
    <w:rsid w:val="003429B9"/>
    <w:rsid w:val="00346BF9"/>
    <w:rsid w:val="00347192"/>
    <w:rsid w:val="0034744C"/>
    <w:rsid w:val="00351FE0"/>
    <w:rsid w:val="00352615"/>
    <w:rsid w:val="0035412B"/>
    <w:rsid w:val="003567A8"/>
    <w:rsid w:val="00362895"/>
    <w:rsid w:val="00363B24"/>
    <w:rsid w:val="00370DBF"/>
    <w:rsid w:val="00376E4F"/>
    <w:rsid w:val="003833D5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237A"/>
    <w:rsid w:val="00417A56"/>
    <w:rsid w:val="00420957"/>
    <w:rsid w:val="00422A10"/>
    <w:rsid w:val="00430179"/>
    <w:rsid w:val="00433111"/>
    <w:rsid w:val="0043617C"/>
    <w:rsid w:val="004414B5"/>
    <w:rsid w:val="00444482"/>
    <w:rsid w:val="00444B42"/>
    <w:rsid w:val="00445E44"/>
    <w:rsid w:val="004509E2"/>
    <w:rsid w:val="00450B92"/>
    <w:rsid w:val="004515EE"/>
    <w:rsid w:val="004529F0"/>
    <w:rsid w:val="00460A03"/>
    <w:rsid w:val="00472A11"/>
    <w:rsid w:val="00472AAD"/>
    <w:rsid w:val="00474E33"/>
    <w:rsid w:val="00476803"/>
    <w:rsid w:val="0048158D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7E53"/>
    <w:rsid w:val="004C1E3F"/>
    <w:rsid w:val="004C23F4"/>
    <w:rsid w:val="004C2C6D"/>
    <w:rsid w:val="004C3475"/>
    <w:rsid w:val="004C58B6"/>
    <w:rsid w:val="004D16A3"/>
    <w:rsid w:val="004D4AA1"/>
    <w:rsid w:val="004D6D68"/>
    <w:rsid w:val="004E5EDD"/>
    <w:rsid w:val="004F448A"/>
    <w:rsid w:val="004F493D"/>
    <w:rsid w:val="004F61FB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0629"/>
    <w:rsid w:val="005B253B"/>
    <w:rsid w:val="005B771D"/>
    <w:rsid w:val="005C5D16"/>
    <w:rsid w:val="005D3193"/>
    <w:rsid w:val="005D4A6E"/>
    <w:rsid w:val="005E6979"/>
    <w:rsid w:val="005E75CB"/>
    <w:rsid w:val="005F348B"/>
    <w:rsid w:val="005F5FD9"/>
    <w:rsid w:val="006013C1"/>
    <w:rsid w:val="00601CA0"/>
    <w:rsid w:val="00602133"/>
    <w:rsid w:val="0060669E"/>
    <w:rsid w:val="00610F2E"/>
    <w:rsid w:val="00611399"/>
    <w:rsid w:val="00624C4E"/>
    <w:rsid w:val="00625200"/>
    <w:rsid w:val="0062792C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2A1D"/>
    <w:rsid w:val="006C5C0C"/>
    <w:rsid w:val="006D4774"/>
    <w:rsid w:val="006D78C6"/>
    <w:rsid w:val="006D79EA"/>
    <w:rsid w:val="006E5D05"/>
    <w:rsid w:val="006F548D"/>
    <w:rsid w:val="00701053"/>
    <w:rsid w:val="00701507"/>
    <w:rsid w:val="00712CDC"/>
    <w:rsid w:val="00713985"/>
    <w:rsid w:val="00714021"/>
    <w:rsid w:val="00716A0F"/>
    <w:rsid w:val="00717D45"/>
    <w:rsid w:val="007208F7"/>
    <w:rsid w:val="007218AF"/>
    <w:rsid w:val="007365D1"/>
    <w:rsid w:val="00740E0E"/>
    <w:rsid w:val="00750212"/>
    <w:rsid w:val="00751C7C"/>
    <w:rsid w:val="00754779"/>
    <w:rsid w:val="0075716D"/>
    <w:rsid w:val="00765F14"/>
    <w:rsid w:val="00770E31"/>
    <w:rsid w:val="007770F1"/>
    <w:rsid w:val="00783FB1"/>
    <w:rsid w:val="00784345"/>
    <w:rsid w:val="00785CDD"/>
    <w:rsid w:val="00791847"/>
    <w:rsid w:val="007925F0"/>
    <w:rsid w:val="007939B3"/>
    <w:rsid w:val="007941EC"/>
    <w:rsid w:val="0079509C"/>
    <w:rsid w:val="00796708"/>
    <w:rsid w:val="007B1B42"/>
    <w:rsid w:val="007B7225"/>
    <w:rsid w:val="007C30EB"/>
    <w:rsid w:val="007C6053"/>
    <w:rsid w:val="007D0860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47921"/>
    <w:rsid w:val="00857A8A"/>
    <w:rsid w:val="008630EE"/>
    <w:rsid w:val="008637F6"/>
    <w:rsid w:val="00864D13"/>
    <w:rsid w:val="00871CD5"/>
    <w:rsid w:val="008745A2"/>
    <w:rsid w:val="008768A8"/>
    <w:rsid w:val="0088798F"/>
    <w:rsid w:val="00887E4B"/>
    <w:rsid w:val="008913C2"/>
    <w:rsid w:val="008915C8"/>
    <w:rsid w:val="00896664"/>
    <w:rsid w:val="008A36CF"/>
    <w:rsid w:val="008A3BC4"/>
    <w:rsid w:val="008B403C"/>
    <w:rsid w:val="008B7983"/>
    <w:rsid w:val="008C2511"/>
    <w:rsid w:val="008D026D"/>
    <w:rsid w:val="008D23AB"/>
    <w:rsid w:val="008D301D"/>
    <w:rsid w:val="008D4B8B"/>
    <w:rsid w:val="008D5A78"/>
    <w:rsid w:val="008E4F1F"/>
    <w:rsid w:val="008E7B64"/>
    <w:rsid w:val="008F5DCD"/>
    <w:rsid w:val="00900951"/>
    <w:rsid w:val="00901287"/>
    <w:rsid w:val="00911137"/>
    <w:rsid w:val="009118A6"/>
    <w:rsid w:val="00916909"/>
    <w:rsid w:val="00916EC0"/>
    <w:rsid w:val="00920467"/>
    <w:rsid w:val="00921DE7"/>
    <w:rsid w:val="00927A3F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3FF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190C"/>
    <w:rsid w:val="00A01D0C"/>
    <w:rsid w:val="00A0368B"/>
    <w:rsid w:val="00A0643F"/>
    <w:rsid w:val="00A067EE"/>
    <w:rsid w:val="00A10FCE"/>
    <w:rsid w:val="00A143BB"/>
    <w:rsid w:val="00A15E67"/>
    <w:rsid w:val="00A16D91"/>
    <w:rsid w:val="00A174CC"/>
    <w:rsid w:val="00A2073D"/>
    <w:rsid w:val="00A20751"/>
    <w:rsid w:val="00A27E2D"/>
    <w:rsid w:val="00A31D99"/>
    <w:rsid w:val="00A357BA"/>
    <w:rsid w:val="00A35ADC"/>
    <w:rsid w:val="00A36EE9"/>
    <w:rsid w:val="00A402A3"/>
    <w:rsid w:val="00A53681"/>
    <w:rsid w:val="00A56B17"/>
    <w:rsid w:val="00A57C38"/>
    <w:rsid w:val="00A633D4"/>
    <w:rsid w:val="00A6461A"/>
    <w:rsid w:val="00A84504"/>
    <w:rsid w:val="00A8672F"/>
    <w:rsid w:val="00A93057"/>
    <w:rsid w:val="00A968B0"/>
    <w:rsid w:val="00A978E6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31AB3"/>
    <w:rsid w:val="00B40C60"/>
    <w:rsid w:val="00B479A9"/>
    <w:rsid w:val="00B52EDF"/>
    <w:rsid w:val="00B600FA"/>
    <w:rsid w:val="00B67B34"/>
    <w:rsid w:val="00B71188"/>
    <w:rsid w:val="00B76A41"/>
    <w:rsid w:val="00B87D4C"/>
    <w:rsid w:val="00B93646"/>
    <w:rsid w:val="00B956A9"/>
    <w:rsid w:val="00BA0B38"/>
    <w:rsid w:val="00BA0C50"/>
    <w:rsid w:val="00BA1DBB"/>
    <w:rsid w:val="00BA4510"/>
    <w:rsid w:val="00BA529A"/>
    <w:rsid w:val="00BB4A8C"/>
    <w:rsid w:val="00BB612A"/>
    <w:rsid w:val="00BC77CF"/>
    <w:rsid w:val="00BD499F"/>
    <w:rsid w:val="00BD56DE"/>
    <w:rsid w:val="00BF2406"/>
    <w:rsid w:val="00BF523A"/>
    <w:rsid w:val="00C06E43"/>
    <w:rsid w:val="00C16315"/>
    <w:rsid w:val="00C3091E"/>
    <w:rsid w:val="00C40FF1"/>
    <w:rsid w:val="00C419E2"/>
    <w:rsid w:val="00C5020E"/>
    <w:rsid w:val="00C54F1A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42A6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2261C"/>
    <w:rsid w:val="00D26164"/>
    <w:rsid w:val="00D31357"/>
    <w:rsid w:val="00D33220"/>
    <w:rsid w:val="00D334D1"/>
    <w:rsid w:val="00D3501F"/>
    <w:rsid w:val="00D36C2C"/>
    <w:rsid w:val="00D44C89"/>
    <w:rsid w:val="00D516CD"/>
    <w:rsid w:val="00D668E6"/>
    <w:rsid w:val="00D70670"/>
    <w:rsid w:val="00D74D80"/>
    <w:rsid w:val="00D76624"/>
    <w:rsid w:val="00D7778E"/>
    <w:rsid w:val="00D87570"/>
    <w:rsid w:val="00D91CB9"/>
    <w:rsid w:val="00D97989"/>
    <w:rsid w:val="00D97D8D"/>
    <w:rsid w:val="00DA352E"/>
    <w:rsid w:val="00DB34EF"/>
    <w:rsid w:val="00DC7694"/>
    <w:rsid w:val="00DD1BF6"/>
    <w:rsid w:val="00DD2AE9"/>
    <w:rsid w:val="00DD2F9B"/>
    <w:rsid w:val="00DE2513"/>
    <w:rsid w:val="00DE26E8"/>
    <w:rsid w:val="00DF6F36"/>
    <w:rsid w:val="00E0084C"/>
    <w:rsid w:val="00E025AB"/>
    <w:rsid w:val="00E02B23"/>
    <w:rsid w:val="00E06F40"/>
    <w:rsid w:val="00E07148"/>
    <w:rsid w:val="00E07CE8"/>
    <w:rsid w:val="00E14D40"/>
    <w:rsid w:val="00E26A07"/>
    <w:rsid w:val="00E31AD2"/>
    <w:rsid w:val="00E32308"/>
    <w:rsid w:val="00E32595"/>
    <w:rsid w:val="00E37CFD"/>
    <w:rsid w:val="00E41A26"/>
    <w:rsid w:val="00E46BCB"/>
    <w:rsid w:val="00E51CAF"/>
    <w:rsid w:val="00E60F04"/>
    <w:rsid w:val="00E620A8"/>
    <w:rsid w:val="00E62AAC"/>
    <w:rsid w:val="00E66939"/>
    <w:rsid w:val="00E67C2F"/>
    <w:rsid w:val="00E67EF5"/>
    <w:rsid w:val="00E70C6C"/>
    <w:rsid w:val="00E7340E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3604"/>
    <w:rsid w:val="00ED1D89"/>
    <w:rsid w:val="00ED3CB3"/>
    <w:rsid w:val="00ED66BC"/>
    <w:rsid w:val="00EF065D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25029"/>
    <w:rsid w:val="00F43AD5"/>
    <w:rsid w:val="00F4402E"/>
    <w:rsid w:val="00F50B95"/>
    <w:rsid w:val="00F53B60"/>
    <w:rsid w:val="00F56DD0"/>
    <w:rsid w:val="00F5784D"/>
    <w:rsid w:val="00F6491C"/>
    <w:rsid w:val="00F67BBB"/>
    <w:rsid w:val="00F85648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757E0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E14D40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3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7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7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7F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38E435F719E14DBCAF2E9A0F8CEB7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AFD4C-29AA-4D8C-B09B-209FE5FCEF1B}"/>
      </w:docPartPr>
      <w:docPartBody>
        <w:p w:rsidR="0042082A" w:rsidRDefault="0042082A" w:rsidP="0042082A">
          <w:pPr>
            <w:pStyle w:val="38E435F719E14DBCAF2E9A0F8CEB7B1F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3264AC"/>
    <w:rsid w:val="00347D16"/>
    <w:rsid w:val="003E0149"/>
    <w:rsid w:val="00411940"/>
    <w:rsid w:val="0042082A"/>
    <w:rsid w:val="007A07BF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082A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38E435F719E14DBCAF2E9A0F8CEB7B1F">
    <w:name w:val="38E435F719E14DBCAF2E9A0F8CEB7B1F"/>
    <w:rsid w:val="00420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936D4-EC4E-4C19-9025-3EFB71FA0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02971-D1D6-4FB8-B632-A37F06F18A4A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bf54d604-3e62-4e70-ba33-9e9084b96a6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4F24E8-0823-4D9F-BD3E-1560CADB1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5EBE2E-4646-4B9C-8CD0-11276284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2020-04-14T02:05:00Z</dcterms:created>
  <dcterms:modified xsi:type="dcterms:W3CDTF">2020-07-21T01:54:00Z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