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8E89A" w14:textId="3C0FD498" w:rsidR="00BD499F" w:rsidRPr="004C23F4" w:rsidRDefault="005632B9" w:rsidP="00B40C60">
      <w:pPr>
        <w:pStyle w:val="Heading1"/>
        <w:jc w:val="center"/>
        <w:rPr>
          <w:rFonts w:ascii="Arial" w:hAnsi="Arial" w:cs="Arial"/>
        </w:rPr>
      </w:pPr>
      <w:sdt>
        <w:sdtPr>
          <w:rPr>
            <w:rFonts w:ascii="Arial" w:hAnsi="Arial" w:cs="Arial"/>
          </w:rPr>
          <w:alias w:val="NameofChemical"/>
          <w:tag w:val="NameofChemical"/>
          <w:id w:val="1425919599"/>
          <w:lock w:val="sdtLocked"/>
          <w:placeholder>
            <w:docPart w:val="CE1736E50B02464986D1BEC8B7ACDE96"/>
          </w:placeholder>
          <w:text/>
        </w:sdtPr>
        <w:sdtEndPr/>
        <w:sdtContent>
          <w:r w:rsidR="00990FAC">
            <w:rPr>
              <w:rFonts w:ascii="Arial" w:hAnsi="Arial" w:cs="Arial"/>
            </w:rPr>
            <w:t>Turpentine</w:t>
          </w:r>
        </w:sdtContent>
      </w:sdt>
      <w:r w:rsidR="00FC4C02">
        <w:rPr>
          <w:rFonts w:ascii="Arial" w:hAnsi="Arial" w:cs="Arial"/>
        </w:rPr>
        <w:t xml:space="preserve"> (WOOD)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8"/>
        <w:gridCol w:w="5038"/>
      </w:tblGrid>
      <w:tr w:rsidR="00F43AD5" w:rsidRPr="004C23F4" w14:paraId="6B17761F" w14:textId="77777777" w:rsidTr="00665625">
        <w:trPr>
          <w:cantSplit/>
          <w:tblHeader/>
        </w:trPr>
        <w:tc>
          <w:tcPr>
            <w:tcW w:w="3988" w:type="dxa"/>
          </w:tcPr>
          <w:p w14:paraId="0DE00FCD" w14:textId="77777777" w:rsidR="00F43AD5" w:rsidRPr="00921DE7" w:rsidRDefault="00CB1CB1" w:rsidP="00B76A41">
            <w:pPr>
              <w:pStyle w:val="Tablerowright"/>
            </w:pPr>
            <w:r w:rsidRPr="00921DE7">
              <w:t>CAS number:</w:t>
            </w:r>
          </w:p>
        </w:tc>
        <w:tc>
          <w:tcPr>
            <w:tcW w:w="5038" w:type="dxa"/>
          </w:tcPr>
          <w:p w14:paraId="67CAD342" w14:textId="77777777" w:rsidR="00F43AD5" w:rsidRPr="00717D45" w:rsidRDefault="00990FAC" w:rsidP="00B76A41">
            <w:pPr>
              <w:pStyle w:val="Tablefont"/>
            </w:pPr>
            <w:r w:rsidRPr="00990FAC">
              <w:t>8006-64-2</w:t>
            </w:r>
          </w:p>
        </w:tc>
      </w:tr>
      <w:tr w:rsidR="00F43AD5" w:rsidRPr="004C23F4" w14:paraId="1287BA78" w14:textId="77777777" w:rsidTr="00665625">
        <w:trPr>
          <w:cantSplit/>
        </w:trPr>
        <w:tc>
          <w:tcPr>
            <w:tcW w:w="3988" w:type="dxa"/>
          </w:tcPr>
          <w:p w14:paraId="7E1B79B8" w14:textId="77777777" w:rsidR="00F43AD5" w:rsidRPr="00921DE7" w:rsidRDefault="00CB1CB1" w:rsidP="00B76A41">
            <w:pPr>
              <w:pStyle w:val="Tablerowright"/>
            </w:pPr>
            <w:r w:rsidRPr="00921DE7">
              <w:t>Synonyms:</w:t>
            </w:r>
          </w:p>
        </w:tc>
        <w:tc>
          <w:tcPr>
            <w:tcW w:w="5038" w:type="dxa"/>
          </w:tcPr>
          <w:p w14:paraId="7F198EC9" w14:textId="743038AE" w:rsidR="00F43AD5" w:rsidRPr="00717D45" w:rsidRDefault="00FC4C02" w:rsidP="00324F53">
            <w:pPr>
              <w:pStyle w:val="Tablefont"/>
            </w:pPr>
            <w:r>
              <w:t>Wood turpentine, g</w:t>
            </w:r>
            <w:r w:rsidR="00324F53">
              <w:t>um turpentine, sulfate turpentine, turpentine oil, oil of turpentine, rectifier, terpene</w:t>
            </w:r>
          </w:p>
        </w:tc>
      </w:tr>
      <w:tr w:rsidR="00F43AD5" w:rsidRPr="004C23F4" w14:paraId="1787A5CD" w14:textId="77777777" w:rsidTr="00665625">
        <w:trPr>
          <w:cantSplit/>
        </w:trPr>
        <w:tc>
          <w:tcPr>
            <w:tcW w:w="3988" w:type="dxa"/>
          </w:tcPr>
          <w:p w14:paraId="7C095466" w14:textId="77777777" w:rsidR="00F43AD5" w:rsidRPr="00921DE7" w:rsidRDefault="00CB1CB1" w:rsidP="00B76A41">
            <w:pPr>
              <w:pStyle w:val="Tablerowright"/>
            </w:pPr>
            <w:r w:rsidRPr="00921DE7">
              <w:t>Chemical formula:</w:t>
            </w:r>
          </w:p>
        </w:tc>
        <w:tc>
          <w:tcPr>
            <w:tcW w:w="5038" w:type="dxa"/>
          </w:tcPr>
          <w:p w14:paraId="0CF7BFD9" w14:textId="77777777" w:rsidR="00F43AD5" w:rsidRPr="00717D45" w:rsidRDefault="00990FAC" w:rsidP="00B76A41">
            <w:pPr>
              <w:pStyle w:val="Tablefont"/>
            </w:pPr>
            <w:r w:rsidRPr="00990FAC">
              <w:t>C</w:t>
            </w:r>
            <w:r w:rsidRPr="00990FAC">
              <w:rPr>
                <w:vertAlign w:val="subscript"/>
              </w:rPr>
              <w:t>10</w:t>
            </w:r>
            <w:r w:rsidRPr="00990FAC">
              <w:t>H</w:t>
            </w:r>
            <w:r w:rsidRPr="00990FAC">
              <w:rPr>
                <w:vertAlign w:val="subscript"/>
              </w:rPr>
              <w:t>16</w:t>
            </w:r>
          </w:p>
        </w:tc>
      </w:tr>
    </w:tbl>
    <w:p w14:paraId="7EDCAADA" w14:textId="6711DA44"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C717C2">
            <w:rPr>
              <w:rStyle w:val="WESstatus"/>
            </w:rPr>
            <w:t>(interim)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7C159CEF" w14:textId="77777777" w:rsidTr="00037E52">
        <w:trPr>
          <w:cantSplit/>
          <w:tblHeader/>
        </w:trPr>
        <w:tc>
          <w:tcPr>
            <w:tcW w:w="4010" w:type="dxa"/>
            <w:vAlign w:val="center"/>
          </w:tcPr>
          <w:p w14:paraId="7293580A" w14:textId="77777777" w:rsidR="002C7AFE" w:rsidRPr="002C58FF" w:rsidRDefault="00921DE7" w:rsidP="00921DE7">
            <w:pPr>
              <w:pStyle w:val="Tablerowright"/>
            </w:pPr>
            <w:r>
              <w:t>TWA:</w:t>
            </w:r>
          </w:p>
        </w:tc>
        <w:tc>
          <w:tcPr>
            <w:tcW w:w="5016" w:type="dxa"/>
          </w:tcPr>
          <w:p w14:paraId="19A578BD" w14:textId="67B843E4" w:rsidR="002C7AFE" w:rsidRPr="00DF5EAA" w:rsidRDefault="00DF5EAA" w:rsidP="00017C82">
            <w:pPr>
              <w:pStyle w:val="Tablefont"/>
              <w:rPr>
                <w:b/>
              </w:rPr>
            </w:pPr>
            <w:r>
              <w:rPr>
                <w:b/>
              </w:rPr>
              <w:t>20 ppm (112 mg/m</w:t>
            </w:r>
            <w:r>
              <w:rPr>
                <w:b/>
                <w:vertAlign w:val="superscript"/>
              </w:rPr>
              <w:t>3</w:t>
            </w:r>
            <w:r>
              <w:rPr>
                <w:b/>
              </w:rPr>
              <w:t>)</w:t>
            </w:r>
          </w:p>
        </w:tc>
      </w:tr>
      <w:tr w:rsidR="00037E52" w:rsidRPr="004C23F4" w14:paraId="6C3E66C7" w14:textId="77777777" w:rsidTr="00037E52">
        <w:trPr>
          <w:cantSplit/>
        </w:trPr>
        <w:tc>
          <w:tcPr>
            <w:tcW w:w="4010" w:type="dxa"/>
            <w:vAlign w:val="center"/>
          </w:tcPr>
          <w:p w14:paraId="64327874" w14:textId="77777777" w:rsidR="00037E52" w:rsidRPr="002C58FF" w:rsidRDefault="00037E52" w:rsidP="00037E52">
            <w:pPr>
              <w:pStyle w:val="Tablerowright"/>
            </w:pPr>
            <w:r w:rsidRPr="002C58FF">
              <w:t>STEL</w:t>
            </w:r>
            <w:r>
              <w:t>:</w:t>
            </w:r>
          </w:p>
        </w:tc>
        <w:tc>
          <w:tcPr>
            <w:tcW w:w="5016" w:type="dxa"/>
          </w:tcPr>
          <w:p w14:paraId="7F43EF40" w14:textId="77777777" w:rsidR="00037E52" w:rsidRPr="00EB3D1B" w:rsidRDefault="00037E52" w:rsidP="00037E52">
            <w:pPr>
              <w:pStyle w:val="Tablefont"/>
              <w:rPr>
                <w:b/>
              </w:rPr>
            </w:pPr>
            <w:r>
              <w:rPr>
                <w:b/>
              </w:rPr>
              <w:t>—</w:t>
            </w:r>
          </w:p>
        </w:tc>
      </w:tr>
      <w:tr w:rsidR="00037E52" w:rsidRPr="004C23F4" w14:paraId="1F204996" w14:textId="77777777" w:rsidTr="00037E52">
        <w:trPr>
          <w:cantSplit/>
        </w:trPr>
        <w:tc>
          <w:tcPr>
            <w:tcW w:w="4010" w:type="dxa"/>
            <w:vAlign w:val="center"/>
          </w:tcPr>
          <w:p w14:paraId="30F9DC4D" w14:textId="77777777" w:rsidR="00037E52" w:rsidRPr="002C58FF" w:rsidRDefault="00037E52" w:rsidP="00037E52">
            <w:pPr>
              <w:pStyle w:val="Tablerowright"/>
            </w:pPr>
            <w:r>
              <w:t>Peak limitation:</w:t>
            </w:r>
          </w:p>
        </w:tc>
        <w:tc>
          <w:tcPr>
            <w:tcW w:w="5016" w:type="dxa"/>
          </w:tcPr>
          <w:p w14:paraId="7C85411F" w14:textId="77777777" w:rsidR="00037E52" w:rsidRPr="00EB3D1B" w:rsidRDefault="00037E52" w:rsidP="00037E52">
            <w:pPr>
              <w:pStyle w:val="Tablefont"/>
              <w:rPr>
                <w:b/>
              </w:rPr>
            </w:pPr>
            <w:r>
              <w:rPr>
                <w:b/>
              </w:rPr>
              <w:t>—</w:t>
            </w:r>
          </w:p>
        </w:tc>
      </w:tr>
      <w:tr w:rsidR="00037E52" w:rsidRPr="004C23F4" w14:paraId="17AF16F9" w14:textId="77777777" w:rsidTr="00037E52">
        <w:trPr>
          <w:cantSplit/>
        </w:trPr>
        <w:tc>
          <w:tcPr>
            <w:tcW w:w="4010" w:type="dxa"/>
          </w:tcPr>
          <w:p w14:paraId="34B3B4C4"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D2AA2A9" w14:textId="6657F2C6" w:rsidR="00037E52" w:rsidRPr="00EB3D1B" w:rsidRDefault="008673C6" w:rsidP="00037E52">
            <w:pPr>
              <w:pStyle w:val="Tablefont"/>
              <w:rPr>
                <w:b/>
              </w:rPr>
            </w:pPr>
            <w:r>
              <w:rPr>
                <w:b/>
              </w:rPr>
              <w:t>Sk.</w:t>
            </w:r>
            <w:r w:rsidR="003B4E37">
              <w:rPr>
                <w:b/>
              </w:rPr>
              <w:t>,</w:t>
            </w:r>
            <w:r>
              <w:rPr>
                <w:b/>
              </w:rPr>
              <w:t xml:space="preserve"> DSEN</w:t>
            </w:r>
          </w:p>
        </w:tc>
      </w:tr>
      <w:tr w:rsidR="00037E52" w:rsidRPr="004C23F4" w14:paraId="7393743E" w14:textId="77777777" w:rsidTr="00037E52">
        <w:trPr>
          <w:cantSplit/>
        </w:trPr>
        <w:tc>
          <w:tcPr>
            <w:tcW w:w="4010" w:type="dxa"/>
            <w:vAlign w:val="center"/>
          </w:tcPr>
          <w:p w14:paraId="3310FF63" w14:textId="77777777" w:rsidR="00037E52" w:rsidRPr="002C58FF" w:rsidRDefault="00037E52" w:rsidP="00037E52">
            <w:pPr>
              <w:pStyle w:val="Tablerowright"/>
            </w:pPr>
            <w:r>
              <w:t>IDLH:</w:t>
            </w:r>
          </w:p>
        </w:tc>
        <w:tc>
          <w:tcPr>
            <w:tcW w:w="5016" w:type="dxa"/>
          </w:tcPr>
          <w:p w14:paraId="2E2243E5" w14:textId="7140811D" w:rsidR="00037E52" w:rsidRPr="00EB3D1B" w:rsidRDefault="000C331E" w:rsidP="00037E52">
            <w:pPr>
              <w:pStyle w:val="Tablefont"/>
              <w:rPr>
                <w:b/>
              </w:rPr>
            </w:pPr>
            <w:r>
              <w:rPr>
                <w:b/>
              </w:rPr>
              <w:t>800 ppm</w:t>
            </w:r>
            <w:r w:rsidR="00181F35">
              <w:rPr>
                <w:b/>
              </w:rPr>
              <w:t xml:space="preserve"> (10% LEL)</w:t>
            </w:r>
          </w:p>
        </w:tc>
      </w:tr>
      <w:tr w:rsidR="002F3BD0" w:rsidRPr="004C23F4" w14:paraId="03692045" w14:textId="77777777" w:rsidTr="00F60653">
        <w:trPr>
          <w:cantSplit/>
        </w:trPr>
        <w:tc>
          <w:tcPr>
            <w:tcW w:w="9026" w:type="dxa"/>
            <w:gridSpan w:val="2"/>
            <w:vAlign w:val="center"/>
          </w:tcPr>
          <w:p w14:paraId="6501716C" w14:textId="50828E2D" w:rsidR="002F3BD0" w:rsidRPr="00EB3D1B" w:rsidRDefault="002F3BD0" w:rsidP="00037E52">
            <w:pPr>
              <w:pStyle w:val="Tablefont"/>
              <w:rPr>
                <w:b/>
              </w:rPr>
            </w:pPr>
            <w:r w:rsidRPr="002F3BD0">
              <w:rPr>
                <w:b/>
              </w:rPr>
              <w:t xml:space="preserve">Sampling and analysis: </w:t>
            </w:r>
            <w:sdt>
              <w:sdtPr>
                <w:id w:val="-2105258949"/>
                <w:placeholder>
                  <w:docPart w:val="57FA6F4CDA3A4713A4FC29D4EFCC7BC6"/>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sdtContent>
                <w:r>
                  <w:t xml:space="preserve">The recommended value is quantifiable through available sampling and analysis techniques. </w:t>
                </w:r>
              </w:sdtContent>
            </w:sdt>
          </w:p>
        </w:tc>
      </w:tr>
    </w:tbl>
    <w:p w14:paraId="730796FC" w14:textId="77777777" w:rsidR="00CB1CB1" w:rsidRPr="003365A5" w:rsidRDefault="00F10C97" w:rsidP="003365A5">
      <w:pPr>
        <w:pStyle w:val="Heading2"/>
      </w:pPr>
      <w:r>
        <w:t>Recommendation and basis for workplace exposure standard</w:t>
      </w:r>
    </w:p>
    <w:p w14:paraId="053829ED" w14:textId="7D8E5D62" w:rsidR="006639B4" w:rsidRDefault="008673C6" w:rsidP="000C139A">
      <w:pPr>
        <w:rPr>
          <w:rFonts w:cs="Arial"/>
        </w:rPr>
      </w:pPr>
      <w:r w:rsidRPr="008673C6">
        <w:rPr>
          <w:rFonts w:cs="Arial"/>
        </w:rPr>
        <w:t xml:space="preserve">A TWA of </w:t>
      </w:r>
      <w:r w:rsidR="00DF5EAA">
        <w:rPr>
          <w:rFonts w:cs="Arial"/>
        </w:rPr>
        <w:t>20</w:t>
      </w:r>
      <w:r w:rsidRPr="008673C6">
        <w:rPr>
          <w:rFonts w:cs="Arial"/>
        </w:rPr>
        <w:t xml:space="preserve"> ppm (</w:t>
      </w:r>
      <w:r w:rsidR="00DF5EAA">
        <w:rPr>
          <w:rFonts w:cs="Arial"/>
        </w:rPr>
        <w:t>112</w:t>
      </w:r>
      <w:r w:rsidRPr="008673C6">
        <w:rPr>
          <w:rFonts w:cs="Arial"/>
        </w:rPr>
        <w:t xml:space="preserve"> mg/m</w:t>
      </w:r>
      <w:r w:rsidRPr="008673C6">
        <w:rPr>
          <w:rFonts w:cs="Arial"/>
          <w:vertAlign w:val="superscript"/>
        </w:rPr>
        <w:t>3</w:t>
      </w:r>
      <w:r w:rsidRPr="008673C6">
        <w:rPr>
          <w:rFonts w:cs="Arial"/>
        </w:rPr>
        <w:t xml:space="preserve">) is </w:t>
      </w:r>
      <w:r w:rsidR="005D4993">
        <w:rPr>
          <w:rFonts w:cs="Arial"/>
        </w:rPr>
        <w:t>recommended</w:t>
      </w:r>
      <w:r w:rsidRPr="008673C6">
        <w:rPr>
          <w:rFonts w:cs="Arial"/>
        </w:rPr>
        <w:t xml:space="preserve"> to protect for </w:t>
      </w:r>
      <w:r w:rsidR="00665625">
        <w:rPr>
          <w:rFonts w:cs="Arial"/>
        </w:rPr>
        <w:t xml:space="preserve">irritation of the </w:t>
      </w:r>
      <w:r w:rsidR="005D4993">
        <w:rPr>
          <w:rFonts w:cs="Arial"/>
        </w:rPr>
        <w:t>eye</w:t>
      </w:r>
      <w:r w:rsidR="00665625">
        <w:rPr>
          <w:rFonts w:cs="Arial"/>
        </w:rPr>
        <w:t>s</w:t>
      </w:r>
      <w:r w:rsidR="005D4993">
        <w:rPr>
          <w:rFonts w:cs="Arial"/>
        </w:rPr>
        <w:t>, nose</w:t>
      </w:r>
      <w:r w:rsidR="00BF0FF7">
        <w:rPr>
          <w:rFonts w:cs="Arial"/>
        </w:rPr>
        <w:t xml:space="preserve"> </w:t>
      </w:r>
      <w:r w:rsidR="005D4993">
        <w:rPr>
          <w:rFonts w:cs="Arial"/>
        </w:rPr>
        <w:t xml:space="preserve">and throat </w:t>
      </w:r>
      <w:r w:rsidRPr="008673C6">
        <w:rPr>
          <w:rFonts w:cs="Arial"/>
        </w:rPr>
        <w:t>in exposed workers</w:t>
      </w:r>
      <w:r>
        <w:rPr>
          <w:rFonts w:cs="Arial"/>
        </w:rPr>
        <w:t>.</w:t>
      </w:r>
    </w:p>
    <w:p w14:paraId="215B162F" w14:textId="28B25663" w:rsidR="008673C6" w:rsidRPr="004C23F4" w:rsidRDefault="008673C6" w:rsidP="000C139A">
      <w:pPr>
        <w:rPr>
          <w:rFonts w:cs="Arial"/>
        </w:rPr>
      </w:pPr>
      <w:r w:rsidRPr="008673C6">
        <w:rPr>
          <w:rFonts w:cs="Arial"/>
        </w:rPr>
        <w:t>Given the limited data available from the primary sources, it is recommended that a review of additional sources be conducted at the next scheduled review.</w:t>
      </w:r>
    </w:p>
    <w:p w14:paraId="56AD1D9F" w14:textId="77777777" w:rsidR="00C7155E" w:rsidRPr="004C23F4" w:rsidRDefault="00F10C97" w:rsidP="003365A5">
      <w:pPr>
        <w:pStyle w:val="Heading2"/>
      </w:pPr>
      <w:r>
        <w:t>Discussion and conclusions</w:t>
      </w:r>
    </w:p>
    <w:p w14:paraId="3491B158" w14:textId="27688449" w:rsidR="006637F5" w:rsidRDefault="00CA1092" w:rsidP="006639B4">
      <w:pPr>
        <w:rPr>
          <w:rFonts w:cs="Arial"/>
        </w:rPr>
      </w:pPr>
      <w:r>
        <w:rPr>
          <w:rFonts w:cs="Arial"/>
        </w:rPr>
        <w:t xml:space="preserve">Turpentine </w:t>
      </w:r>
      <w:r w:rsidR="00F60653">
        <w:rPr>
          <w:rFonts w:cs="Arial"/>
        </w:rPr>
        <w:t xml:space="preserve">is a mixture of </w:t>
      </w:r>
      <w:r w:rsidR="00F035D5">
        <w:rPr>
          <w:rFonts w:cs="Arial"/>
        </w:rPr>
        <w:t>monoterpenes, mainly</w:t>
      </w:r>
      <w:r w:rsidR="00F035D5" w:rsidRPr="00F035D5">
        <w:rPr>
          <w:rFonts w:cs="Arial"/>
        </w:rPr>
        <w:t xml:space="preserve"> α-pinene, β-pinene and Δ</w:t>
      </w:r>
      <w:r w:rsidR="00F035D5" w:rsidRPr="00F035D5">
        <w:rPr>
          <w:rFonts w:cs="Arial"/>
          <w:vertAlign w:val="superscript"/>
        </w:rPr>
        <w:t>3</w:t>
      </w:r>
      <w:r w:rsidR="00F035D5" w:rsidRPr="00F035D5">
        <w:rPr>
          <w:rFonts w:cs="Arial"/>
        </w:rPr>
        <w:t>-carene</w:t>
      </w:r>
      <w:r w:rsidR="00FC4C02">
        <w:rPr>
          <w:rFonts w:cs="Arial"/>
        </w:rPr>
        <w:t>, predominately from resins in pine trees</w:t>
      </w:r>
      <w:r w:rsidR="00F035D5">
        <w:rPr>
          <w:rFonts w:cs="Arial"/>
        </w:rPr>
        <w:t xml:space="preserve">. It </w:t>
      </w:r>
      <w:r w:rsidR="008673C6">
        <w:rPr>
          <w:rFonts w:cs="Arial"/>
        </w:rPr>
        <w:t xml:space="preserve">is used as a solvent, paint thinner, cleaner </w:t>
      </w:r>
      <w:r w:rsidR="005D4993">
        <w:rPr>
          <w:rFonts w:cs="Arial"/>
        </w:rPr>
        <w:t xml:space="preserve">and </w:t>
      </w:r>
      <w:r w:rsidR="008673C6">
        <w:rPr>
          <w:rFonts w:cs="Arial"/>
        </w:rPr>
        <w:t>antiseptic</w:t>
      </w:r>
      <w:r w:rsidR="005D4993">
        <w:rPr>
          <w:rFonts w:cs="Arial"/>
        </w:rPr>
        <w:t xml:space="preserve"> and is released as a vapour during wood processing.</w:t>
      </w:r>
      <w:r w:rsidR="003B4E37">
        <w:rPr>
          <w:rFonts w:cs="Arial"/>
        </w:rPr>
        <w:t xml:space="preserve"> </w:t>
      </w:r>
    </w:p>
    <w:p w14:paraId="64235380" w14:textId="77777777" w:rsidR="00CD2431" w:rsidRDefault="006637F5" w:rsidP="006639B4">
      <w:pPr>
        <w:rPr>
          <w:rFonts w:cs="Arial"/>
        </w:rPr>
      </w:pPr>
      <w:r>
        <w:rPr>
          <w:rFonts w:cs="Arial"/>
        </w:rPr>
        <w:t>The c</w:t>
      </w:r>
      <w:r w:rsidR="00CA1092">
        <w:rPr>
          <w:rFonts w:cs="Arial"/>
        </w:rPr>
        <w:t>ritical effects of exposure are eye, nose</w:t>
      </w:r>
      <w:r>
        <w:rPr>
          <w:rFonts w:cs="Arial"/>
        </w:rPr>
        <w:t xml:space="preserve"> </w:t>
      </w:r>
      <w:r w:rsidR="00CA1092">
        <w:rPr>
          <w:rFonts w:cs="Arial"/>
        </w:rPr>
        <w:t>and throat irritation</w:t>
      </w:r>
      <w:r w:rsidR="00F60653">
        <w:rPr>
          <w:rFonts w:cs="Arial"/>
        </w:rPr>
        <w:t xml:space="preserve"> and dermal sensitisation</w:t>
      </w:r>
      <w:r w:rsidR="00CA1092">
        <w:rPr>
          <w:rFonts w:cs="Arial"/>
        </w:rPr>
        <w:t>.</w:t>
      </w:r>
      <w:r w:rsidR="00665625">
        <w:rPr>
          <w:rFonts w:cs="Arial"/>
        </w:rPr>
        <w:t xml:space="preserve"> </w:t>
      </w:r>
    </w:p>
    <w:p w14:paraId="5957FE59" w14:textId="14657C90" w:rsidR="00CA1092" w:rsidRDefault="00CA1092" w:rsidP="006639B4">
      <w:pPr>
        <w:rPr>
          <w:rFonts w:cs="Arial"/>
        </w:rPr>
      </w:pPr>
      <w:r>
        <w:rPr>
          <w:rFonts w:cs="Arial"/>
        </w:rPr>
        <w:t xml:space="preserve">Eye and upper respiratory irritation </w:t>
      </w:r>
      <w:r w:rsidR="00AD2708">
        <w:rPr>
          <w:rFonts w:cs="Arial"/>
        </w:rPr>
        <w:t>are</w:t>
      </w:r>
      <w:r>
        <w:rPr>
          <w:rFonts w:cs="Arial"/>
        </w:rPr>
        <w:t xml:space="preserve"> reported in volunteers exposed acutely at 81 ppm</w:t>
      </w:r>
      <w:r w:rsidR="008673C6">
        <w:rPr>
          <w:rFonts w:cs="Arial"/>
        </w:rPr>
        <w:t xml:space="preserve"> during light exercise</w:t>
      </w:r>
      <w:r w:rsidR="00665625">
        <w:rPr>
          <w:rFonts w:cs="Arial"/>
        </w:rPr>
        <w:t>. These effects are not observed</w:t>
      </w:r>
      <w:r>
        <w:rPr>
          <w:rFonts w:cs="Arial"/>
        </w:rPr>
        <w:t xml:space="preserve"> at 40 ppm </w:t>
      </w:r>
      <w:r w:rsidR="00BB3A62">
        <w:rPr>
          <w:rFonts w:cs="Arial"/>
        </w:rPr>
        <w:t xml:space="preserve">under the same conditions </w:t>
      </w:r>
      <w:r>
        <w:rPr>
          <w:rFonts w:cs="Arial"/>
        </w:rPr>
        <w:t>(ACGIH, 2018; DFG, 2002).</w:t>
      </w:r>
      <w:r w:rsidR="00CC7C99">
        <w:rPr>
          <w:rFonts w:cs="Arial"/>
        </w:rPr>
        <w:t xml:space="preserve"> </w:t>
      </w:r>
      <w:r w:rsidR="00665625">
        <w:rPr>
          <w:rFonts w:cs="Arial"/>
        </w:rPr>
        <w:t>Turpentine’s</w:t>
      </w:r>
      <w:r w:rsidR="00BB3A62">
        <w:rPr>
          <w:rFonts w:cs="Arial"/>
        </w:rPr>
        <w:t xml:space="preserve"> long elimination half-time of approximately 20 hours</w:t>
      </w:r>
      <w:r w:rsidR="009D4429" w:rsidRPr="009D4429">
        <w:rPr>
          <w:rFonts w:cs="Arial"/>
        </w:rPr>
        <w:t xml:space="preserve"> </w:t>
      </w:r>
      <w:r w:rsidR="009D4429">
        <w:rPr>
          <w:rFonts w:cs="Arial"/>
        </w:rPr>
        <w:t>is also reported in these studies</w:t>
      </w:r>
      <w:r w:rsidR="00BB3A62">
        <w:rPr>
          <w:rFonts w:cs="Arial"/>
        </w:rPr>
        <w:t xml:space="preserve"> due to </w:t>
      </w:r>
      <w:r w:rsidR="00665625">
        <w:rPr>
          <w:rFonts w:cs="Arial"/>
        </w:rPr>
        <w:t xml:space="preserve">its </w:t>
      </w:r>
      <w:r w:rsidR="00BB3A62">
        <w:rPr>
          <w:rFonts w:cs="Arial"/>
        </w:rPr>
        <w:t xml:space="preserve">accumulation in adipose tissue </w:t>
      </w:r>
      <w:r w:rsidR="008673C6">
        <w:rPr>
          <w:rFonts w:cs="Arial"/>
        </w:rPr>
        <w:t xml:space="preserve">(ACGIH, 2018). </w:t>
      </w:r>
      <w:r w:rsidR="00665625">
        <w:rPr>
          <w:rFonts w:cs="Arial"/>
        </w:rPr>
        <w:t>A</w:t>
      </w:r>
      <w:r w:rsidR="00F60653">
        <w:rPr>
          <w:rFonts w:cs="Arial"/>
        </w:rPr>
        <w:t>vailable workplace studies are limited by mixed exposures and small sample sizes</w:t>
      </w:r>
      <w:r w:rsidR="00665625">
        <w:rPr>
          <w:rFonts w:cs="Arial"/>
        </w:rPr>
        <w:t>.</w:t>
      </w:r>
      <w:r w:rsidR="00F60653">
        <w:rPr>
          <w:rFonts w:cs="Arial"/>
        </w:rPr>
        <w:t xml:space="preserve"> </w:t>
      </w:r>
      <w:r w:rsidR="005B3433">
        <w:rPr>
          <w:rFonts w:cs="Arial"/>
        </w:rPr>
        <w:t>Average e</w:t>
      </w:r>
      <w:r w:rsidR="00F60653">
        <w:rPr>
          <w:rFonts w:cs="Arial"/>
        </w:rPr>
        <w:t xml:space="preserve">xposures </w:t>
      </w:r>
      <w:r w:rsidR="003A3C90">
        <w:rPr>
          <w:rFonts w:cs="Arial"/>
        </w:rPr>
        <w:t xml:space="preserve">at </w:t>
      </w:r>
      <w:r w:rsidR="00F60653">
        <w:rPr>
          <w:rFonts w:cs="Arial"/>
        </w:rPr>
        <w:t xml:space="preserve">approximately </w:t>
      </w:r>
      <w:r w:rsidR="005B3433">
        <w:rPr>
          <w:rFonts w:cs="Arial"/>
        </w:rPr>
        <w:t>22 to 27 </w:t>
      </w:r>
      <w:r>
        <w:rPr>
          <w:rFonts w:cs="Arial"/>
        </w:rPr>
        <w:t xml:space="preserve">ppm </w:t>
      </w:r>
      <w:r w:rsidR="00F60653">
        <w:rPr>
          <w:rFonts w:cs="Arial"/>
        </w:rPr>
        <w:t xml:space="preserve">are associated </w:t>
      </w:r>
      <w:r>
        <w:rPr>
          <w:rFonts w:cs="Arial"/>
        </w:rPr>
        <w:t xml:space="preserve">with </w:t>
      </w:r>
      <w:r w:rsidRPr="008734E3">
        <w:rPr>
          <w:rFonts w:cs="Arial"/>
        </w:rPr>
        <w:t>self-</w:t>
      </w:r>
      <w:r w:rsidR="00F60653" w:rsidRPr="008734E3">
        <w:rPr>
          <w:rFonts w:cs="Arial"/>
        </w:rPr>
        <w:t>reported irritatio</w:t>
      </w:r>
      <w:r w:rsidR="00F60653" w:rsidRPr="006918ED">
        <w:rPr>
          <w:rFonts w:cs="Arial"/>
        </w:rPr>
        <w:t>n</w:t>
      </w:r>
      <w:r w:rsidR="00F60653">
        <w:rPr>
          <w:rFonts w:cs="Arial"/>
        </w:rPr>
        <w:t xml:space="preserve"> and slight decreases in</w:t>
      </w:r>
      <w:r>
        <w:rPr>
          <w:rFonts w:cs="Arial"/>
        </w:rPr>
        <w:t xml:space="preserve"> pulmonary function </w:t>
      </w:r>
      <w:r w:rsidR="00F60653">
        <w:rPr>
          <w:rFonts w:cs="Arial"/>
        </w:rPr>
        <w:t xml:space="preserve">in sawmill workers and carpenters </w:t>
      </w:r>
      <w:r>
        <w:rPr>
          <w:rFonts w:cs="Arial"/>
        </w:rPr>
        <w:t>(ACGIH, 2018; DFG, 2</w:t>
      </w:r>
      <w:r w:rsidR="00F60653">
        <w:rPr>
          <w:rFonts w:cs="Arial"/>
        </w:rPr>
        <w:t xml:space="preserve">002). Positive dermal sensitisation reactions </w:t>
      </w:r>
      <w:r w:rsidR="00425F66">
        <w:rPr>
          <w:rFonts w:cs="Arial"/>
        </w:rPr>
        <w:t xml:space="preserve">following </w:t>
      </w:r>
      <w:r w:rsidR="00F60653">
        <w:rPr>
          <w:rFonts w:cs="Arial"/>
        </w:rPr>
        <w:t xml:space="preserve">occupational exposure are </w:t>
      </w:r>
      <w:r w:rsidR="00FC4C02">
        <w:rPr>
          <w:rFonts w:cs="Arial"/>
        </w:rPr>
        <w:t>reported but</w:t>
      </w:r>
      <w:r w:rsidR="00F60653">
        <w:rPr>
          <w:rFonts w:cs="Arial"/>
        </w:rPr>
        <w:t xml:space="preserve"> limited by varying compositions of </w:t>
      </w:r>
      <w:r w:rsidR="00F035D5">
        <w:rPr>
          <w:rFonts w:cs="Arial"/>
        </w:rPr>
        <w:t xml:space="preserve">the substance </w:t>
      </w:r>
      <w:r w:rsidR="00FC5C16">
        <w:rPr>
          <w:rFonts w:cs="Arial"/>
        </w:rPr>
        <w:t xml:space="preserve">and no other exposure details </w:t>
      </w:r>
      <w:r w:rsidR="00F035D5">
        <w:rPr>
          <w:rFonts w:cs="Arial"/>
        </w:rPr>
        <w:t>(ACGIH, 2018; DFG, 2002; NICNAS, 2018).</w:t>
      </w:r>
      <w:r w:rsidR="00F60653">
        <w:rPr>
          <w:rFonts w:cs="Arial"/>
        </w:rPr>
        <w:t xml:space="preserve"> An irritation threshold is not reported in the available animal</w:t>
      </w:r>
      <w:r w:rsidR="00F035D5">
        <w:rPr>
          <w:rFonts w:cs="Arial"/>
        </w:rPr>
        <w:t xml:space="preserve"> studies. S</w:t>
      </w:r>
      <w:r w:rsidR="00F60653">
        <w:rPr>
          <w:rFonts w:cs="Arial"/>
        </w:rPr>
        <w:t>ystemic effects are observed</w:t>
      </w:r>
      <w:r w:rsidR="00F035D5">
        <w:rPr>
          <w:rFonts w:cs="Arial"/>
        </w:rPr>
        <w:t xml:space="preserve"> as kidney toxicity at</w:t>
      </w:r>
      <w:r w:rsidR="00F60653">
        <w:rPr>
          <w:rFonts w:cs="Arial"/>
        </w:rPr>
        <w:t xml:space="preserve"> </w:t>
      </w:r>
      <w:r w:rsidR="00446652">
        <w:rPr>
          <w:rFonts w:cs="Arial"/>
        </w:rPr>
        <w:t>25</w:t>
      </w:r>
      <w:r w:rsidR="009D4429">
        <w:rPr>
          <w:rFonts w:cs="Arial"/>
        </w:rPr>
        <w:t> </w:t>
      </w:r>
      <w:r w:rsidR="00F60653">
        <w:rPr>
          <w:rFonts w:cs="Arial"/>
        </w:rPr>
        <w:t>ppm in rats</w:t>
      </w:r>
      <w:r w:rsidR="00665625">
        <w:rPr>
          <w:rFonts w:cs="Arial"/>
        </w:rPr>
        <w:t>.</w:t>
      </w:r>
      <w:r w:rsidR="00F035D5">
        <w:rPr>
          <w:rFonts w:cs="Arial"/>
        </w:rPr>
        <w:t xml:space="preserve"> </w:t>
      </w:r>
      <w:r w:rsidR="00665625">
        <w:rPr>
          <w:rFonts w:cs="Arial"/>
        </w:rPr>
        <w:t>T</w:t>
      </w:r>
      <w:r w:rsidR="00F035D5">
        <w:rPr>
          <w:rFonts w:cs="Arial"/>
        </w:rPr>
        <w:t>his endpoint is of unlikely relevance to humans due to species-specific metabolism</w:t>
      </w:r>
      <w:r w:rsidR="003A0B4F">
        <w:rPr>
          <w:rFonts w:cs="Arial"/>
        </w:rPr>
        <w:t xml:space="preserve"> of the substance</w:t>
      </w:r>
      <w:r w:rsidR="00F60653">
        <w:rPr>
          <w:rFonts w:cs="Arial"/>
        </w:rPr>
        <w:t xml:space="preserve"> (ECHA, 2020).</w:t>
      </w:r>
    </w:p>
    <w:p w14:paraId="1EC22494" w14:textId="1B0666FB" w:rsidR="00847028" w:rsidRDefault="009D4429" w:rsidP="006639B4">
      <w:pPr>
        <w:rPr>
          <w:rFonts w:cs="Arial"/>
        </w:rPr>
      </w:pPr>
      <w:r>
        <w:rPr>
          <w:rFonts w:cs="Arial"/>
        </w:rPr>
        <w:t>ACGIH (2018) recommended a TWA of 20 ppm b</w:t>
      </w:r>
      <w:r w:rsidR="00F035D5">
        <w:rPr>
          <w:rFonts w:cs="Arial"/>
        </w:rPr>
        <w:t xml:space="preserve">ased on several reports of irritation </w:t>
      </w:r>
      <w:r w:rsidR="00BB3A62">
        <w:rPr>
          <w:rFonts w:cs="Arial"/>
        </w:rPr>
        <w:t>above 40</w:t>
      </w:r>
      <w:r w:rsidR="00F035D5">
        <w:rPr>
          <w:rFonts w:cs="Arial"/>
        </w:rPr>
        <w:t xml:space="preserve"> ppm in volunteers</w:t>
      </w:r>
      <w:r w:rsidR="00CC7C99">
        <w:rPr>
          <w:rFonts w:cs="Arial"/>
        </w:rPr>
        <w:t xml:space="preserve"> and limited occupational data. However, DFG (2002) consider the available database </w:t>
      </w:r>
      <w:r w:rsidR="003F5296">
        <w:rPr>
          <w:rFonts w:cs="Arial"/>
        </w:rPr>
        <w:lastRenderedPageBreak/>
        <w:t xml:space="preserve">insufficient </w:t>
      </w:r>
      <w:r w:rsidR="00CC7C99">
        <w:rPr>
          <w:rFonts w:cs="Arial"/>
        </w:rPr>
        <w:t>to recommend a MAK due to a lack of repeat dose studies</w:t>
      </w:r>
      <w:r w:rsidR="008673C6">
        <w:rPr>
          <w:rFonts w:cs="Arial"/>
        </w:rPr>
        <w:t xml:space="preserve"> and confounded epidemiological data</w:t>
      </w:r>
      <w:r w:rsidR="00CC7C99">
        <w:rPr>
          <w:rFonts w:cs="Arial"/>
        </w:rPr>
        <w:t>.</w:t>
      </w:r>
      <w:r w:rsidR="008673C6">
        <w:rPr>
          <w:rFonts w:cs="Arial"/>
        </w:rPr>
        <w:t xml:space="preserve"> In view of </w:t>
      </w:r>
      <w:r w:rsidR="002C4FEC">
        <w:rPr>
          <w:rFonts w:cs="Arial"/>
        </w:rPr>
        <w:t xml:space="preserve">this uncertainty, </w:t>
      </w:r>
      <w:r w:rsidR="008673C6">
        <w:rPr>
          <w:rFonts w:cs="Arial"/>
        </w:rPr>
        <w:t xml:space="preserve">relatively long elimination half-time and lack of reliable chronic exposure data, the TWA of 20 ppm </w:t>
      </w:r>
      <w:r w:rsidR="00847028">
        <w:rPr>
          <w:rFonts w:cs="Arial"/>
        </w:rPr>
        <w:t xml:space="preserve">by ACGIH (2018) </w:t>
      </w:r>
      <w:r w:rsidR="008673C6">
        <w:rPr>
          <w:rFonts w:cs="Arial"/>
        </w:rPr>
        <w:t>is recommended</w:t>
      </w:r>
      <w:r w:rsidR="003F5296">
        <w:rPr>
          <w:rFonts w:cs="Arial"/>
        </w:rPr>
        <w:t xml:space="preserve"> </w:t>
      </w:r>
      <w:r w:rsidR="002C4FEC">
        <w:rPr>
          <w:rFonts w:cs="Arial"/>
        </w:rPr>
        <w:t xml:space="preserve">in the interim </w:t>
      </w:r>
      <w:r w:rsidR="003F5296">
        <w:rPr>
          <w:rFonts w:cs="Arial"/>
        </w:rPr>
        <w:t>and</w:t>
      </w:r>
      <w:r w:rsidR="00847028">
        <w:rPr>
          <w:rFonts w:cs="Arial"/>
        </w:rPr>
        <w:t xml:space="preserve"> is</w:t>
      </w:r>
      <w:r w:rsidR="008673C6">
        <w:rPr>
          <w:rFonts w:cs="Arial"/>
        </w:rPr>
        <w:t xml:space="preserve"> expected to be protective of irritant effects. </w:t>
      </w:r>
    </w:p>
    <w:p w14:paraId="5D43C3C6" w14:textId="4FAAB58B" w:rsidR="00F60653" w:rsidRPr="004C23F4" w:rsidRDefault="008673C6" w:rsidP="006639B4">
      <w:pPr>
        <w:rPr>
          <w:rFonts w:cs="Arial"/>
        </w:rPr>
      </w:pPr>
      <w:r>
        <w:rPr>
          <w:rFonts w:cs="Arial"/>
        </w:rPr>
        <w:t>Further assessment of additional sources regarding long-term exposure in humans and animals is recommended during subsequent reviews of the WES.</w:t>
      </w:r>
    </w:p>
    <w:p w14:paraId="6A5F4DC2" w14:textId="77777777" w:rsidR="004529F0" w:rsidRPr="004C23F4" w:rsidRDefault="004529F0" w:rsidP="004529F0">
      <w:pPr>
        <w:pStyle w:val="Heading2"/>
      </w:pPr>
      <w:r>
        <w:t>Recommendation for notations</w:t>
      </w:r>
    </w:p>
    <w:p w14:paraId="6537054F" w14:textId="0C6D2844" w:rsidR="008E4F1F" w:rsidRPr="002F3BD0" w:rsidRDefault="008E4F1F" w:rsidP="008E4F1F">
      <w:pPr>
        <w:rPr>
          <w:rFonts w:cs="Arial"/>
        </w:rPr>
      </w:pPr>
      <w:r w:rsidRPr="002F3BD0">
        <w:rPr>
          <w:rFonts w:cs="Arial"/>
        </w:rPr>
        <w:t>Not classified as a carcinogen according to the Globally Harmonized System of Classification and Labelling o</w:t>
      </w:r>
      <w:r w:rsidR="003B4E37">
        <w:rPr>
          <w:rFonts w:cs="Arial"/>
        </w:rPr>
        <w:t>f</w:t>
      </w:r>
      <w:r w:rsidRPr="002F3BD0">
        <w:rPr>
          <w:rFonts w:cs="Arial"/>
        </w:rPr>
        <w:t xml:space="preserve"> Chemicals (GHS). </w:t>
      </w:r>
    </w:p>
    <w:p w14:paraId="6768CBD9" w14:textId="51A654A4" w:rsidR="002F3BD0" w:rsidRPr="002F3BD0" w:rsidRDefault="002F3BD0" w:rsidP="00D12DAC">
      <w:pPr>
        <w:rPr>
          <w:rFonts w:cs="Arial"/>
        </w:rPr>
      </w:pPr>
      <w:r w:rsidRPr="002F3BD0">
        <w:rPr>
          <w:rFonts w:cs="Arial"/>
        </w:rPr>
        <w:t xml:space="preserve">Classified as a skin sensitiser </w:t>
      </w:r>
      <w:r w:rsidR="00665625">
        <w:rPr>
          <w:rFonts w:cs="Arial"/>
        </w:rPr>
        <w:t>and</w:t>
      </w:r>
      <w:r w:rsidRPr="002F3BD0">
        <w:rPr>
          <w:rFonts w:cs="Arial"/>
        </w:rPr>
        <w:t xml:space="preserve"> not a respiratory sensitiser according to the GHS. </w:t>
      </w:r>
      <w:r w:rsidR="0061349C">
        <w:rPr>
          <w:rFonts w:cs="Arial"/>
        </w:rPr>
        <w:t>Occupation</w:t>
      </w:r>
      <w:r w:rsidR="003F5296">
        <w:rPr>
          <w:rFonts w:cs="Arial"/>
        </w:rPr>
        <w:t>al</w:t>
      </w:r>
      <w:r w:rsidR="0061349C">
        <w:rPr>
          <w:rFonts w:cs="Arial"/>
        </w:rPr>
        <w:t xml:space="preserve"> asthma is reported in a single study but </w:t>
      </w:r>
      <w:r w:rsidR="0061349C" w:rsidRPr="0061349C">
        <w:rPr>
          <w:rFonts w:cs="Arial"/>
        </w:rPr>
        <w:t xml:space="preserve">no further details </w:t>
      </w:r>
      <w:r w:rsidR="0061349C">
        <w:rPr>
          <w:rFonts w:cs="Arial"/>
        </w:rPr>
        <w:t xml:space="preserve">on this study are available </w:t>
      </w:r>
      <w:r w:rsidR="00847028">
        <w:rPr>
          <w:rFonts w:cs="Arial"/>
        </w:rPr>
        <w:t xml:space="preserve">in </w:t>
      </w:r>
      <w:r w:rsidR="003F5296">
        <w:rPr>
          <w:rFonts w:cs="Arial"/>
        </w:rPr>
        <w:t xml:space="preserve">the available </w:t>
      </w:r>
      <w:r w:rsidR="00847028">
        <w:rPr>
          <w:rFonts w:cs="Arial"/>
        </w:rPr>
        <w:t xml:space="preserve">data sources </w:t>
      </w:r>
      <w:r w:rsidR="0061349C">
        <w:rPr>
          <w:rFonts w:cs="Arial"/>
        </w:rPr>
        <w:t>(ACGIH, 2018).</w:t>
      </w:r>
      <w:r w:rsidR="0061349C" w:rsidRPr="0061349C">
        <w:rPr>
          <w:rFonts w:cs="Arial"/>
        </w:rPr>
        <w:t xml:space="preserve"> </w:t>
      </w:r>
      <w:r w:rsidR="0061349C">
        <w:rPr>
          <w:rFonts w:cs="Arial"/>
        </w:rPr>
        <w:t xml:space="preserve">A review of </w:t>
      </w:r>
      <w:r w:rsidR="003F5296">
        <w:rPr>
          <w:rFonts w:cs="Arial"/>
        </w:rPr>
        <w:t xml:space="preserve">the </w:t>
      </w:r>
      <w:r w:rsidR="0061349C">
        <w:rPr>
          <w:rFonts w:cs="Arial"/>
        </w:rPr>
        <w:t xml:space="preserve">notation for respiratory sensation is recommended. </w:t>
      </w:r>
    </w:p>
    <w:p w14:paraId="1ADFEB87" w14:textId="3648EF6A" w:rsidR="00D12DAC" w:rsidRPr="002F3BD0" w:rsidRDefault="00D12DAC" w:rsidP="00D12DAC">
      <w:pPr>
        <w:rPr>
          <w:rFonts w:cs="Arial"/>
        </w:rPr>
      </w:pPr>
      <w:r w:rsidRPr="002F3BD0">
        <w:rPr>
          <w:rFonts w:cs="Arial"/>
        </w:rPr>
        <w:t xml:space="preserve">A skin notation is </w:t>
      </w:r>
      <w:r w:rsidR="00665625">
        <w:rPr>
          <w:rFonts w:cs="Arial"/>
        </w:rPr>
        <w:t>recommend</w:t>
      </w:r>
      <w:r w:rsidRPr="002F3BD0">
        <w:rPr>
          <w:rFonts w:cs="Arial"/>
        </w:rPr>
        <w:t xml:space="preserve">ed as evidence indicates contact dermatitis in humans and reports of systemic </w:t>
      </w:r>
      <w:r w:rsidR="002F3BD0" w:rsidRPr="002F3BD0">
        <w:rPr>
          <w:rFonts w:cs="Arial"/>
        </w:rPr>
        <w:t>availability</w:t>
      </w:r>
      <w:r w:rsidRPr="002F3BD0">
        <w:rPr>
          <w:rFonts w:cs="Arial"/>
        </w:rPr>
        <w:t xml:space="preserve"> in animals.</w:t>
      </w:r>
    </w:p>
    <w:p w14:paraId="0173C4C5" w14:textId="77777777" w:rsidR="0025734A" w:rsidRPr="004C23F4" w:rsidRDefault="0025734A">
      <w:pPr>
        <w:rPr>
          <w:rFonts w:cs="Arial"/>
        </w:rPr>
      </w:pPr>
    </w:p>
    <w:p w14:paraId="51505776"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123835EB"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1793477"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00DFC0AF" w14:textId="77777777" w:rsidTr="005632B9">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71DE86A1"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EC6294B" w14:textId="77777777" w:rsidTr="005632B9">
        <w:trPr>
          <w:cantSplit/>
        </w:trPr>
        <w:tc>
          <w:tcPr>
            <w:tcW w:w="5000" w:type="pct"/>
            <w:gridSpan w:val="2"/>
            <w:shd w:val="clear" w:color="auto" w:fill="F2F2F2" w:themeFill="background1" w:themeFillShade="F2"/>
          </w:tcPr>
          <w:p w14:paraId="22EFA629"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3B7D5C">
                  <w:t>1995</w:t>
                </w:r>
              </w:sdtContent>
            </w:sdt>
            <w:r w:rsidRPr="003365A5">
              <w:tab/>
            </w:r>
            <w:r>
              <w:tab/>
            </w:r>
            <w:sdt>
              <w:sdtPr>
                <w:alias w:val="SWA WES"/>
                <w:tag w:val="SWA WES"/>
                <w:id w:val="857077202"/>
                <w:placeholder>
                  <w:docPart w:val="81CFEC2FDBC5451289F394E66D92D1A0"/>
                </w:placeholder>
              </w:sdtPr>
              <w:sdtEndPr/>
              <w:sdtContent>
                <w:r w:rsidR="00AF72BC">
                  <w:t>TWA: 100 ppm (557 mg/m</w:t>
                </w:r>
                <w:r w:rsidR="00AF72BC" w:rsidRPr="00AF72BC">
                  <w:rPr>
                    <w:vertAlign w:val="superscript"/>
                  </w:rPr>
                  <w:t>3</w:t>
                </w:r>
                <w:r w:rsidR="00AF72BC">
                  <w:t>)</w:t>
                </w:r>
              </w:sdtContent>
            </w:sdt>
          </w:p>
        </w:tc>
      </w:tr>
      <w:tr w:rsidR="00C978F0" w:rsidRPr="00DA352E" w14:paraId="54112E62" w14:textId="77777777" w:rsidTr="005632B9">
        <w:trPr>
          <w:gridAfter w:val="1"/>
          <w:wAfter w:w="8" w:type="pct"/>
          <w:cantSplit/>
        </w:trPr>
        <w:tc>
          <w:tcPr>
            <w:tcW w:w="4992" w:type="pct"/>
          </w:tcPr>
          <w:p w14:paraId="732B02A3" w14:textId="77777777" w:rsidR="00C978F0" w:rsidRPr="00DA352E" w:rsidRDefault="00C978F0" w:rsidP="003365A5">
            <w:pPr>
              <w:pStyle w:val="Tabletextprimarysource"/>
            </w:pPr>
          </w:p>
        </w:tc>
      </w:tr>
      <w:tr w:rsidR="00C978F0" w:rsidRPr="00DA352E" w14:paraId="10CFF6B8" w14:textId="77777777" w:rsidTr="005632B9">
        <w:trPr>
          <w:gridAfter w:val="1"/>
          <w:wAfter w:w="8" w:type="pct"/>
          <w:cantSplit/>
        </w:trPr>
        <w:tc>
          <w:tcPr>
            <w:tcW w:w="4992" w:type="pct"/>
            <w:shd w:val="clear" w:color="auto" w:fill="F2F2F2" w:themeFill="background1" w:themeFillShade="F2"/>
          </w:tcPr>
          <w:p w14:paraId="322D5984"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A2698D">
                  <w:t>2014</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A2698D">
                  <w:t>TLV-</w:t>
                </w:r>
                <w:r w:rsidR="008869E6">
                  <w:t>TWA: 2</w:t>
                </w:r>
                <w:r w:rsidR="00A2698D" w:rsidRPr="00A2698D">
                  <w:t>0 ppm (</w:t>
                </w:r>
                <w:r w:rsidR="008869E6">
                  <w:t>112</w:t>
                </w:r>
                <w:r w:rsidR="00A2698D" w:rsidRPr="00A2698D">
                  <w:t xml:space="preserve"> mg/m3)</w:t>
                </w:r>
              </w:sdtContent>
            </w:sdt>
          </w:p>
        </w:tc>
      </w:tr>
      <w:tr w:rsidR="00C978F0" w:rsidRPr="00DA352E" w14:paraId="3C7FC75F" w14:textId="77777777" w:rsidTr="005632B9">
        <w:trPr>
          <w:gridAfter w:val="1"/>
          <w:wAfter w:w="8" w:type="pct"/>
        </w:trPr>
        <w:tc>
          <w:tcPr>
            <w:tcW w:w="4992" w:type="pct"/>
          </w:tcPr>
          <w:p w14:paraId="343F489D" w14:textId="271587B5" w:rsidR="00665625" w:rsidRDefault="0063655B" w:rsidP="003365A5">
            <w:pPr>
              <w:pStyle w:val="Tabletextprimarysource"/>
            </w:pPr>
            <w:r>
              <w:t xml:space="preserve">Grouped assessment of </w:t>
            </w:r>
            <w:r>
              <w:rPr>
                <w:rFonts w:cs="Arial"/>
              </w:rPr>
              <w:t>α-</w:t>
            </w:r>
            <w:r>
              <w:t xml:space="preserve">pinene, </w:t>
            </w:r>
            <w:r>
              <w:rPr>
                <w:rFonts w:cs="Arial"/>
              </w:rPr>
              <w:t>β-</w:t>
            </w:r>
            <w:r>
              <w:t xml:space="preserve">pinene and </w:t>
            </w:r>
            <w:r>
              <w:rPr>
                <w:rFonts w:cs="Arial"/>
              </w:rPr>
              <w:t>Δ</w:t>
            </w:r>
            <w:r>
              <w:rPr>
                <w:rFonts w:cs="Arial"/>
                <w:vertAlign w:val="superscript"/>
              </w:rPr>
              <w:t>3</w:t>
            </w:r>
            <w:r>
              <w:rPr>
                <w:rFonts w:cs="Arial"/>
              </w:rPr>
              <w:t>-</w:t>
            </w:r>
            <w:r>
              <w:t>carene</w:t>
            </w:r>
            <w:r w:rsidR="00D469CE">
              <w:t>, which are the main components of turpentine</w:t>
            </w:r>
            <w:r>
              <w:t xml:space="preserve">. </w:t>
            </w:r>
          </w:p>
          <w:p w14:paraId="542C2328" w14:textId="0FF51E60" w:rsidR="00665625" w:rsidRDefault="00F0418A" w:rsidP="003365A5">
            <w:pPr>
              <w:pStyle w:val="Tabletextprimarysource"/>
            </w:pPr>
            <w:r>
              <w:t xml:space="preserve">TLV-TWA intended to </w:t>
            </w:r>
            <w:r w:rsidR="00815DAD">
              <w:t xml:space="preserve">protect for </w:t>
            </w:r>
            <w:r w:rsidR="003B4E37">
              <w:t>URT</w:t>
            </w:r>
            <w:r w:rsidR="00815DAD">
              <w:t xml:space="preserve"> irritation and chronic respiratory impairment. TLV-STEL not recommended based on the available data. </w:t>
            </w:r>
          </w:p>
          <w:p w14:paraId="34FB208F" w14:textId="5C0BE0A1" w:rsidR="00815DAD" w:rsidRDefault="00815DAD" w:rsidP="003365A5">
            <w:pPr>
              <w:pStyle w:val="Tabletextprimarysource"/>
            </w:pPr>
            <w:r>
              <w:t>Summary of information</w:t>
            </w:r>
            <w:r w:rsidR="005C7708">
              <w:t>:</w:t>
            </w:r>
          </w:p>
          <w:p w14:paraId="358C5BD0" w14:textId="176295F1" w:rsidR="00815DAD" w:rsidRDefault="00815DAD" w:rsidP="003365A5">
            <w:pPr>
              <w:pStyle w:val="Tabletextprimarysource"/>
            </w:pPr>
            <w:r>
              <w:t xml:space="preserve">TLV-TWA based on weight of evidence of a workplace and volunteer chamber studies, from which </w:t>
            </w:r>
            <w:r w:rsidR="00665625">
              <w:t>URT</w:t>
            </w:r>
            <w:r>
              <w:t xml:space="preserve"> irritation may be expected </w:t>
            </w:r>
            <w:r w:rsidR="0093493E">
              <w:t xml:space="preserve">between </w:t>
            </w:r>
            <w:r>
              <w:t>10 and 8</w:t>
            </w:r>
            <w:r w:rsidR="008F0949">
              <w:t>1</w:t>
            </w:r>
            <w:r>
              <w:t xml:space="preserve"> ppm</w:t>
            </w:r>
            <w:r w:rsidR="00665625">
              <w:t>; studies are</w:t>
            </w:r>
            <w:r w:rsidR="00714ED9">
              <w:t xml:space="preserve"> limited by mixed exposures and short duration, respectively. In view of these limitations, the TLV-TWA of 20 ppm is expected to be protective of upper respiratory tract irritation.</w:t>
            </w:r>
          </w:p>
          <w:p w14:paraId="3DC2E56B" w14:textId="4D8B31D0" w:rsidR="00815DAD" w:rsidRDefault="00815DAD" w:rsidP="003365A5">
            <w:pPr>
              <w:pStyle w:val="Tabletextprimarysource"/>
            </w:pPr>
            <w:r>
              <w:t>Human data</w:t>
            </w:r>
            <w:r w:rsidR="005C7708">
              <w:t>:</w:t>
            </w:r>
          </w:p>
          <w:p w14:paraId="0E20E355" w14:textId="77777777" w:rsidR="00C53B13" w:rsidRDefault="00C53B13" w:rsidP="00C53B13">
            <w:pPr>
              <w:pStyle w:val="Tabletextprimarysource"/>
              <w:numPr>
                <w:ilvl w:val="0"/>
                <w:numId w:val="2"/>
              </w:numPr>
            </w:pPr>
            <w:r>
              <w:rPr>
                <w:rFonts w:cs="Arial"/>
              </w:rPr>
              <w:t>α</w:t>
            </w:r>
            <w:r>
              <w:t>-Pinene absorbed through skin, maximum blood concentrations reached in 10 min</w:t>
            </w:r>
          </w:p>
          <w:p w14:paraId="3E44C633" w14:textId="396AF2C7" w:rsidR="00815DAD" w:rsidRDefault="00C53B13" w:rsidP="00C53B13">
            <w:pPr>
              <w:pStyle w:val="Tabletextprimarysource"/>
              <w:numPr>
                <w:ilvl w:val="0"/>
                <w:numId w:val="2"/>
              </w:numPr>
            </w:pPr>
            <w:r>
              <w:t>Pulmonary uptake</w:t>
            </w:r>
            <w:r w:rsidR="008467FD">
              <w:t xml:space="preserve"> of</w:t>
            </w:r>
            <w:r>
              <w:t xml:space="preserve"> 60–70% and elimination half-time of metabolites </w:t>
            </w:r>
            <w:r>
              <w:rPr>
                <w:rFonts w:cs="Arial"/>
              </w:rPr>
              <w:t>≈</w:t>
            </w:r>
            <w:r>
              <w:t xml:space="preserve">20 h reported in </w:t>
            </w:r>
            <w:r w:rsidR="002043AA">
              <w:t>several</w:t>
            </w:r>
            <w:r w:rsidR="000F74C0">
              <w:t xml:space="preserve"> </w:t>
            </w:r>
            <w:r>
              <w:t xml:space="preserve">volunteer inhalation studies with exposure groups </w:t>
            </w:r>
            <w:r w:rsidR="00CD2431">
              <w:t xml:space="preserve">0, </w:t>
            </w:r>
            <w:r>
              <w:t xml:space="preserve">2, 40 and 81 ppm of </w:t>
            </w:r>
            <w:r w:rsidR="000F74C0">
              <w:rPr>
                <w:rFonts w:cs="Arial"/>
              </w:rPr>
              <w:t>turpentine or individual terpene components</w:t>
            </w:r>
            <w:r>
              <w:t xml:space="preserve"> (n=8, 2 h, 50 W </w:t>
            </w:r>
            <w:r w:rsidR="0093493E">
              <w:t>on bicycle ergometer</w:t>
            </w:r>
            <w:r w:rsidR="00CD2431">
              <w:t xml:space="preserve">, light </w:t>
            </w:r>
            <w:r w:rsidR="000F74C0">
              <w:t>exercise); cited articles note high substance affinity for adipose tissue</w:t>
            </w:r>
            <w:r w:rsidR="005C7708">
              <w:t>:</w:t>
            </w:r>
          </w:p>
          <w:p w14:paraId="37F777EF" w14:textId="561F88F2" w:rsidR="00665625" w:rsidRDefault="00425478" w:rsidP="003B4E37">
            <w:pPr>
              <w:pStyle w:val="Tabletextprimarysource"/>
              <w:numPr>
                <w:ilvl w:val="1"/>
                <w:numId w:val="2"/>
              </w:numPr>
              <w:ind w:left="1163"/>
            </w:pPr>
            <w:r>
              <w:t>eye, nose and throat irritation and increased airway resistance at 81 ppm, no reports of CNS depression</w:t>
            </w:r>
            <w:r w:rsidR="002043AA">
              <w:t xml:space="preserve"> </w:t>
            </w:r>
          </w:p>
          <w:p w14:paraId="6578A362" w14:textId="721C04F7" w:rsidR="00425478" w:rsidRDefault="002043AA" w:rsidP="003B4E37">
            <w:pPr>
              <w:pStyle w:val="Tabletextprimarysource"/>
              <w:numPr>
                <w:ilvl w:val="1"/>
                <w:numId w:val="2"/>
              </w:numPr>
              <w:ind w:left="1163"/>
            </w:pPr>
            <w:r>
              <w:t>no irritation reported at 40 ppm</w:t>
            </w:r>
          </w:p>
          <w:p w14:paraId="34ED394E" w14:textId="2F2C5E8A" w:rsidR="002043AA" w:rsidRDefault="002043AA" w:rsidP="003B4E37">
            <w:pPr>
              <w:pStyle w:val="Tabletextprimarysource"/>
              <w:numPr>
                <w:ilvl w:val="1"/>
                <w:numId w:val="2"/>
              </w:numPr>
              <w:ind w:left="1163"/>
            </w:pPr>
            <w:r>
              <w:t xml:space="preserve">2 ppm of </w:t>
            </w:r>
            <w:r>
              <w:rPr>
                <w:rFonts w:cs="Arial"/>
              </w:rPr>
              <w:t>Δ</w:t>
            </w:r>
            <w:r>
              <w:rPr>
                <w:rFonts w:cs="Arial"/>
                <w:vertAlign w:val="superscript"/>
              </w:rPr>
              <w:t>3</w:t>
            </w:r>
            <w:r>
              <w:rPr>
                <w:rFonts w:cs="Arial"/>
              </w:rPr>
              <w:t>-</w:t>
            </w:r>
            <w:r>
              <w:t>carene used as positive control for respiratory irritation</w:t>
            </w:r>
          </w:p>
          <w:p w14:paraId="2157D3A6" w14:textId="3BD7EBAA" w:rsidR="000F74C0" w:rsidRDefault="000F74C0" w:rsidP="00C53B13">
            <w:pPr>
              <w:pStyle w:val="Tabletextprimarysource"/>
              <w:numPr>
                <w:ilvl w:val="0"/>
                <w:numId w:val="2"/>
              </w:numPr>
            </w:pPr>
            <w:r>
              <w:t>Several reports of contact dermatitis following occupational dermal exposure</w:t>
            </w:r>
          </w:p>
          <w:p w14:paraId="1B4FA315" w14:textId="2955CFBA" w:rsidR="0002067A" w:rsidRDefault="00425478" w:rsidP="00C53B13">
            <w:pPr>
              <w:pStyle w:val="Tabletextprimarysource"/>
              <w:numPr>
                <w:ilvl w:val="0"/>
                <w:numId w:val="2"/>
              </w:numPr>
            </w:pPr>
            <w:r>
              <w:t>Nose and throat irritation at 81 ppm in some subjects, throat irritation at 125 ppm and objectionable eye, nose and throat irritation in most subjects at 175 ppm in volunteer acute inhalation study (n=10/group, 3–5 min)</w:t>
            </w:r>
            <w:r w:rsidR="00286F37">
              <w:t>:</w:t>
            </w:r>
            <w:r>
              <w:t xml:space="preserve"> </w:t>
            </w:r>
          </w:p>
          <w:p w14:paraId="51ACF072" w14:textId="12095007" w:rsidR="000F74C0" w:rsidRDefault="00425478" w:rsidP="005E4E69">
            <w:pPr>
              <w:pStyle w:val="Tabletextprimarysource"/>
              <w:numPr>
                <w:ilvl w:val="0"/>
                <w:numId w:val="4"/>
              </w:numPr>
            </w:pPr>
            <w:r>
              <w:t xml:space="preserve">cited </w:t>
            </w:r>
            <w:r w:rsidR="00286F37">
              <w:t xml:space="preserve">study </w:t>
            </w:r>
            <w:r>
              <w:t>concludes 100 ppm highest tolerable exposure for 8</w:t>
            </w:r>
            <w:r w:rsidR="00CD2431">
              <w:t xml:space="preserve"> </w:t>
            </w:r>
            <w:r>
              <w:t>h shift</w:t>
            </w:r>
          </w:p>
          <w:p w14:paraId="13DC48E6" w14:textId="0131846D" w:rsidR="00425478" w:rsidRDefault="00425478" w:rsidP="00C53B13">
            <w:pPr>
              <w:pStyle w:val="Tabletextprimarysource"/>
              <w:numPr>
                <w:ilvl w:val="0"/>
                <w:numId w:val="2"/>
              </w:numPr>
            </w:pPr>
            <w:r>
              <w:t>Occupational asthma reported from inhaling oil mist with positive bronchial provocation test</w:t>
            </w:r>
            <w:r w:rsidR="007D0717">
              <w:t xml:space="preserve"> (no further details provided</w:t>
            </w:r>
            <w:r w:rsidR="00E1695C">
              <w:t>).</w:t>
            </w:r>
            <w:r w:rsidR="007D0717">
              <w:t xml:space="preserve"> </w:t>
            </w:r>
            <w:r w:rsidR="00E1695C">
              <w:t xml:space="preserve">It </w:t>
            </w:r>
            <w:r w:rsidR="007D0717">
              <w:t>is unclear if these results meet the requirements for a respiratory sensitiser notation in accordance with the GHS</w:t>
            </w:r>
          </w:p>
          <w:p w14:paraId="3D7483BB" w14:textId="21EE3DEE" w:rsidR="0002067A" w:rsidRDefault="00D82EAC" w:rsidP="00C53B13">
            <w:pPr>
              <w:pStyle w:val="Tabletextprimarysource"/>
              <w:numPr>
                <w:ilvl w:val="0"/>
                <w:numId w:val="2"/>
              </w:numPr>
            </w:pPr>
            <w:r>
              <w:t xml:space="preserve">Reduced </w:t>
            </w:r>
            <w:r w:rsidR="00C51046">
              <w:t>forced expiratory second volume (FEV</w:t>
            </w:r>
            <w:r w:rsidR="00C51046">
              <w:rPr>
                <w:vertAlign w:val="subscript"/>
              </w:rPr>
              <w:t>1</w:t>
            </w:r>
            <w:r w:rsidR="00C51046">
              <w:t xml:space="preserve">) and forced vital capacity (FVC) compared </w:t>
            </w:r>
            <w:r w:rsidR="00E1695C">
              <w:t xml:space="preserve">with </w:t>
            </w:r>
            <w:r w:rsidR="00C51046">
              <w:t>controls reported in cross-sectional study of carpenters (n=38)</w:t>
            </w:r>
            <w:r w:rsidR="00286F37">
              <w:t>:</w:t>
            </w:r>
            <w:r w:rsidR="00C51046">
              <w:t xml:space="preserve"> </w:t>
            </w:r>
          </w:p>
          <w:p w14:paraId="6777BE12" w14:textId="758D0137" w:rsidR="00C51046" w:rsidRDefault="00C51046" w:rsidP="005E4E69">
            <w:pPr>
              <w:pStyle w:val="Tabletextprimarysource"/>
              <w:numPr>
                <w:ilvl w:val="0"/>
                <w:numId w:val="4"/>
              </w:numPr>
            </w:pPr>
            <w:r>
              <w:t>personal exposures ranged from 1.6–38.5 ppm</w:t>
            </w:r>
          </w:p>
          <w:p w14:paraId="579C5424" w14:textId="56F08E57" w:rsidR="0002067A" w:rsidRDefault="00C51046" w:rsidP="00C53B13">
            <w:pPr>
              <w:pStyle w:val="Tabletextprimarysource"/>
              <w:numPr>
                <w:ilvl w:val="0"/>
                <w:numId w:val="2"/>
              </w:numPr>
            </w:pPr>
            <w:r>
              <w:t>Decreased FEV</w:t>
            </w:r>
            <w:r>
              <w:rPr>
                <w:vertAlign w:val="subscript"/>
              </w:rPr>
              <w:t>1</w:t>
            </w:r>
            <w:r>
              <w:t xml:space="preserve"> in sawmill workers (n=48) exposed at up to 99 ppm</w:t>
            </w:r>
            <w:r w:rsidR="005C7708">
              <w:t>:</w:t>
            </w:r>
            <w:r>
              <w:t xml:space="preserve"> </w:t>
            </w:r>
          </w:p>
          <w:p w14:paraId="4DA08CDD" w14:textId="017D3E8E" w:rsidR="0002067A" w:rsidRDefault="00C51046" w:rsidP="0002067A">
            <w:pPr>
              <w:pStyle w:val="Tabletextprimarysource"/>
              <w:numPr>
                <w:ilvl w:val="0"/>
                <w:numId w:val="4"/>
              </w:numPr>
            </w:pPr>
            <w:r>
              <w:t xml:space="preserve">follow-up study of 30 of the original 48 participants after introduction of improved ventilation at 2 facilities </w:t>
            </w:r>
          </w:p>
          <w:p w14:paraId="3114F539" w14:textId="1633FD47" w:rsidR="00824AB5" w:rsidRDefault="00C51046" w:rsidP="009D4429">
            <w:pPr>
              <w:pStyle w:val="Tabletextprimarysource"/>
              <w:numPr>
                <w:ilvl w:val="0"/>
                <w:numId w:val="4"/>
              </w:numPr>
            </w:pPr>
            <w:r>
              <w:t xml:space="preserve">ventilation improvements led to mean exposure decreases </w:t>
            </w:r>
            <w:r w:rsidR="00824AB5">
              <w:t>from 24.7</w:t>
            </w:r>
            <w:r w:rsidR="00E1695C">
              <w:t xml:space="preserve"> to </w:t>
            </w:r>
            <w:r>
              <w:t>6.3</w:t>
            </w:r>
            <w:r w:rsidR="00E1695C">
              <w:t xml:space="preserve"> ppm</w:t>
            </w:r>
            <w:r>
              <w:t xml:space="preserve"> and </w:t>
            </w:r>
            <w:r w:rsidR="00C62F0B">
              <w:t xml:space="preserve">from </w:t>
            </w:r>
            <w:r>
              <w:t>44</w:t>
            </w:r>
            <w:r w:rsidR="00C62F0B">
              <w:t xml:space="preserve"> to </w:t>
            </w:r>
            <w:r>
              <w:t>8 ppm</w:t>
            </w:r>
            <w:r w:rsidR="00C62F0B">
              <w:t>. D</w:t>
            </w:r>
            <w:r w:rsidR="00824AB5">
              <w:t xml:space="preserve">ust levels </w:t>
            </w:r>
            <w:r w:rsidR="0093493E">
              <w:t>(particles sizes</w:t>
            </w:r>
            <w:r w:rsidR="008734E3">
              <w:t xml:space="preserve"> not </w:t>
            </w:r>
            <w:r w:rsidR="0093493E">
              <w:t xml:space="preserve">provided) </w:t>
            </w:r>
            <w:r w:rsidR="00824AB5">
              <w:t>ranged from 0.1–1.1 mg/m</w:t>
            </w:r>
            <w:r w:rsidR="00824AB5" w:rsidRPr="009D4429">
              <w:rPr>
                <w:vertAlign w:val="superscript"/>
              </w:rPr>
              <w:t>3</w:t>
            </w:r>
            <w:r w:rsidR="00824AB5">
              <w:t xml:space="preserve"> (mean</w:t>
            </w:r>
            <w:r w:rsidR="00C62F0B">
              <w:t xml:space="preserve"> of </w:t>
            </w:r>
            <w:r w:rsidR="00824AB5">
              <w:t>0.4 mg/m</w:t>
            </w:r>
            <w:r w:rsidR="00824AB5" w:rsidRPr="009D4429">
              <w:rPr>
                <w:vertAlign w:val="superscript"/>
              </w:rPr>
              <w:t>3</w:t>
            </w:r>
            <w:r w:rsidR="00824AB5">
              <w:t xml:space="preserve">) </w:t>
            </w:r>
          </w:p>
          <w:p w14:paraId="23ED16A7" w14:textId="623F7E93" w:rsidR="00425478" w:rsidRDefault="00824AB5" w:rsidP="005E4E69">
            <w:pPr>
              <w:pStyle w:val="Tabletextprimarysource"/>
              <w:numPr>
                <w:ilvl w:val="0"/>
                <w:numId w:val="4"/>
              </w:numPr>
            </w:pPr>
            <w:r>
              <w:t xml:space="preserve">cited </w:t>
            </w:r>
            <w:r w:rsidR="00286F37">
              <w:t xml:space="preserve">study </w:t>
            </w:r>
            <w:r>
              <w:t>concluded pulmonary function impairment only improved in the second sawmill (</w:t>
            </w:r>
            <w:r w:rsidR="00C62F0B">
              <w:t xml:space="preserve">from </w:t>
            </w:r>
            <w:r>
              <w:t>44</w:t>
            </w:r>
            <w:r w:rsidR="00C62F0B">
              <w:t xml:space="preserve"> to </w:t>
            </w:r>
            <w:r>
              <w:t>8 ppm reduction</w:t>
            </w:r>
            <w:r w:rsidR="00C62F0B">
              <w:t xml:space="preserve">). Confounding </w:t>
            </w:r>
            <w:r>
              <w:t>by microorganisms, mould spores and dust not ruled out</w:t>
            </w:r>
          </w:p>
          <w:p w14:paraId="6616A0DC" w14:textId="6BCC9C1A" w:rsidR="0032427F" w:rsidRDefault="000A5A4F" w:rsidP="008734E3">
            <w:pPr>
              <w:pStyle w:val="Tabletextprimarysource"/>
              <w:numPr>
                <w:ilvl w:val="0"/>
                <w:numId w:val="2"/>
              </w:numPr>
            </w:pPr>
            <w:r>
              <w:lastRenderedPageBreak/>
              <w:t xml:space="preserve">Increased </w:t>
            </w:r>
            <w:r w:rsidR="00876CCA">
              <w:t>concentration of inflammation marker in nasal lavage fluid of volunteers (n=19, 5 h) exposed to sawmill atmosphere containing median dust concentration of 0.13 mg/m</w:t>
            </w:r>
            <w:r w:rsidR="00876CCA">
              <w:rPr>
                <w:vertAlign w:val="superscript"/>
              </w:rPr>
              <w:t>3</w:t>
            </w:r>
            <w:r w:rsidR="00876CCA">
              <w:t xml:space="preserve"> and terpene concentration </w:t>
            </w:r>
            <w:r w:rsidR="00876CCA">
              <w:rPr>
                <w:rFonts w:cs="Arial"/>
              </w:rPr>
              <w:t>≈</w:t>
            </w:r>
            <w:r w:rsidR="00876CCA">
              <w:t>56 mg/m</w:t>
            </w:r>
            <w:r w:rsidR="00876CCA">
              <w:rPr>
                <w:vertAlign w:val="superscript"/>
              </w:rPr>
              <w:t>3</w:t>
            </w:r>
            <w:r w:rsidR="00876CCA">
              <w:t xml:space="preserve"> (10 ppm); cited authors conclude that exposure to sawmill atmosphere caused slight URT inflammation.</w:t>
            </w:r>
          </w:p>
          <w:p w14:paraId="17C69A57" w14:textId="65917579" w:rsidR="00815DAD" w:rsidRDefault="00815DAD" w:rsidP="003365A5">
            <w:pPr>
              <w:pStyle w:val="Tabletextprimarysource"/>
            </w:pPr>
            <w:r>
              <w:t>Animal data</w:t>
            </w:r>
            <w:r w:rsidR="005C7708">
              <w:t>:</w:t>
            </w:r>
          </w:p>
          <w:p w14:paraId="6738EFCE" w14:textId="4F94C030" w:rsidR="0002067A" w:rsidRDefault="0063655B" w:rsidP="00C53B13">
            <w:pPr>
              <w:pStyle w:val="Tabletextprimarysource"/>
              <w:numPr>
                <w:ilvl w:val="0"/>
                <w:numId w:val="2"/>
              </w:numPr>
            </w:pPr>
            <w:r>
              <w:t>Median respiratory depression</w:t>
            </w:r>
            <w:r w:rsidR="00D469CE">
              <w:t xml:space="preserve"> (RD</w:t>
            </w:r>
            <w:r w:rsidR="00D469CE">
              <w:rPr>
                <w:vertAlign w:val="subscript"/>
              </w:rPr>
              <w:t>50</w:t>
            </w:r>
            <w:r w:rsidR="00D469CE">
              <w:t>)</w:t>
            </w:r>
            <w:r>
              <w:t xml:space="preserve"> of </w:t>
            </w:r>
            <w:r>
              <w:rPr>
                <w:rFonts w:cs="Arial"/>
              </w:rPr>
              <w:t>α-</w:t>
            </w:r>
            <w:r>
              <w:t xml:space="preserve">pinene, </w:t>
            </w:r>
            <w:r>
              <w:rPr>
                <w:rFonts w:cs="Arial"/>
              </w:rPr>
              <w:t>β-</w:t>
            </w:r>
            <w:r>
              <w:t xml:space="preserve">pinene and </w:t>
            </w:r>
            <w:r>
              <w:rPr>
                <w:rFonts w:cs="Arial"/>
              </w:rPr>
              <w:t>Δ</w:t>
            </w:r>
            <w:r>
              <w:rPr>
                <w:rFonts w:cs="Arial"/>
                <w:vertAlign w:val="superscript"/>
              </w:rPr>
              <w:t>3</w:t>
            </w:r>
            <w:r>
              <w:rPr>
                <w:rFonts w:cs="Arial"/>
              </w:rPr>
              <w:t>-</w:t>
            </w:r>
            <w:r>
              <w:t>carene</w:t>
            </w:r>
            <w:r w:rsidR="00D469CE">
              <w:t>: 1,053, 1,279 and 1,345 ppm, respectively</w:t>
            </w:r>
            <w:r w:rsidR="00286F37">
              <w:t>:</w:t>
            </w:r>
            <w:r w:rsidR="00D469CE">
              <w:t xml:space="preserve"> </w:t>
            </w:r>
          </w:p>
          <w:p w14:paraId="401E8C82" w14:textId="0D8574D4" w:rsidR="00D469CE" w:rsidRDefault="00D469CE" w:rsidP="005E4E69">
            <w:pPr>
              <w:pStyle w:val="Tabletextprimarysource"/>
              <w:numPr>
                <w:ilvl w:val="0"/>
                <w:numId w:val="5"/>
              </w:numPr>
            </w:pPr>
            <w:r>
              <w:t xml:space="preserve">basis of OEL recommendation of 34 ppm from cited </w:t>
            </w:r>
            <w:r w:rsidR="00286F37">
              <w:t>study</w:t>
            </w:r>
          </w:p>
          <w:p w14:paraId="389DF1F7" w14:textId="185482F1" w:rsidR="00D469CE" w:rsidRDefault="006C17C7" w:rsidP="00C53B13">
            <w:pPr>
              <w:pStyle w:val="Tabletextprimarysource"/>
              <w:numPr>
                <w:ilvl w:val="0"/>
                <w:numId w:val="2"/>
              </w:numPr>
            </w:pPr>
            <w:r>
              <w:t xml:space="preserve">Carcinogenicity and chronic data limited to dermal application tumour promotion studies with co-application of tar or </w:t>
            </w:r>
            <w:r w:rsidR="0002067A">
              <w:t>B[a]P</w:t>
            </w:r>
            <w:r>
              <w:t>, which produced equivocal results (mice, rats)</w:t>
            </w:r>
            <w:r w:rsidR="005C7708">
              <w:t>:</w:t>
            </w:r>
          </w:p>
          <w:p w14:paraId="615E693E" w14:textId="61809817" w:rsidR="006C17C7" w:rsidRDefault="00E45474" w:rsidP="003B4E37">
            <w:pPr>
              <w:pStyle w:val="Tabletextprimarysource"/>
              <w:numPr>
                <w:ilvl w:val="1"/>
                <w:numId w:val="2"/>
              </w:numPr>
              <w:ind w:left="1163"/>
            </w:pPr>
            <w:r>
              <w:t xml:space="preserve">ACGIH </w:t>
            </w:r>
            <w:r w:rsidR="006C17C7">
              <w:t>considered these studies inadequate for carcinogenicity classification</w:t>
            </w:r>
          </w:p>
          <w:p w14:paraId="3ECD8835" w14:textId="10684DBC" w:rsidR="00020FBB" w:rsidRDefault="00020FBB" w:rsidP="003B4E37">
            <w:pPr>
              <w:pStyle w:val="Tabletextprimarysource"/>
              <w:numPr>
                <w:ilvl w:val="1"/>
                <w:numId w:val="2"/>
              </w:numPr>
              <w:ind w:left="1163"/>
            </w:pPr>
            <w:r>
              <w:t xml:space="preserve">d-limonene, </w:t>
            </w:r>
            <w:r w:rsidR="00902CB1">
              <w:t xml:space="preserve">a </w:t>
            </w:r>
            <w:r>
              <w:t xml:space="preserve">structurally related terpene, was carcinogenic in rats </w:t>
            </w:r>
            <w:r w:rsidRPr="005E4E69">
              <w:rPr>
                <w:i/>
              </w:rPr>
              <w:t>via</w:t>
            </w:r>
            <w:r>
              <w:t xml:space="preserve"> species-specific metabolism in the kidney, </w:t>
            </w:r>
            <w:r w:rsidR="00C213E0">
              <w:t>which is not considered relevant to humans</w:t>
            </w:r>
          </w:p>
          <w:p w14:paraId="2076AEED" w14:textId="638837E0" w:rsidR="0002067A" w:rsidRDefault="00C213E0" w:rsidP="000F74C0">
            <w:pPr>
              <w:pStyle w:val="Tabletextprimarysource"/>
              <w:numPr>
                <w:ilvl w:val="0"/>
                <w:numId w:val="2"/>
              </w:numPr>
            </w:pPr>
            <w:r>
              <w:t xml:space="preserve">Genotoxicity data extremely limited; particleboard off-gasses, containing small amounts of pinene were mutagenic </w:t>
            </w:r>
            <w:r>
              <w:rPr>
                <w:i/>
              </w:rPr>
              <w:t>in vitro</w:t>
            </w:r>
            <w:r>
              <w:t xml:space="preserve"> in bacteria, other compounds in the gas were benzene, formaldehyde and limonene</w:t>
            </w:r>
            <w:r w:rsidR="005C7708">
              <w:t>:</w:t>
            </w:r>
            <w:r>
              <w:t xml:space="preserve"> </w:t>
            </w:r>
          </w:p>
          <w:p w14:paraId="43767B0F" w14:textId="43514952" w:rsidR="00C53B13" w:rsidRDefault="00C213E0" w:rsidP="005E4E69">
            <w:pPr>
              <w:pStyle w:val="Tabletextprimarysource"/>
              <w:numPr>
                <w:ilvl w:val="0"/>
                <w:numId w:val="6"/>
              </w:numPr>
            </w:pPr>
            <w:r>
              <w:t xml:space="preserve">limonene alone was not mutagenic </w:t>
            </w:r>
            <w:r>
              <w:rPr>
                <w:i/>
              </w:rPr>
              <w:t>in vitro</w:t>
            </w:r>
            <w:r>
              <w:t xml:space="preserve"> in bacteria and mammalian cells with or without metabolic activation</w:t>
            </w:r>
            <w:r w:rsidR="003B4E37">
              <w:t>.</w:t>
            </w:r>
          </w:p>
          <w:p w14:paraId="10A61D69" w14:textId="77777777" w:rsidR="0002067A" w:rsidRDefault="0002067A" w:rsidP="003365A5">
            <w:pPr>
              <w:pStyle w:val="Tabletextprimarysource"/>
            </w:pPr>
          </w:p>
          <w:p w14:paraId="6AF396B7" w14:textId="77777777" w:rsidR="009D4429" w:rsidRDefault="009D4429" w:rsidP="009D4429">
            <w:pPr>
              <w:pStyle w:val="Tabletextprimarysource"/>
            </w:pPr>
            <w:r>
              <w:t xml:space="preserve">Not classifiable as a human carcinogen (A4) based on inadequate human and animal exposure data. </w:t>
            </w:r>
          </w:p>
          <w:p w14:paraId="1DE9CB71" w14:textId="77777777" w:rsidR="009D4429" w:rsidRDefault="009D4429" w:rsidP="009D4429">
            <w:pPr>
              <w:pStyle w:val="Tabletextprimarysource"/>
            </w:pPr>
            <w:r>
              <w:t xml:space="preserve">A skin notation is not recommended based on the absence of systemic effects following dermal absorption. </w:t>
            </w:r>
          </w:p>
          <w:p w14:paraId="4A92B83F" w14:textId="77777777" w:rsidR="009D4429" w:rsidRDefault="009D4429" w:rsidP="009D4429">
            <w:pPr>
              <w:pStyle w:val="Tabletextprimarysource"/>
            </w:pPr>
            <w:r>
              <w:t>A dermal sensitiser notation is recommended based on available data.</w:t>
            </w:r>
          </w:p>
          <w:p w14:paraId="06AEB317" w14:textId="67A5469C" w:rsidR="00815DAD" w:rsidRDefault="00815DAD" w:rsidP="009D4429">
            <w:pPr>
              <w:pStyle w:val="Tabletextprimarysource"/>
            </w:pPr>
            <w:r>
              <w:t>Insufficient data to recommend a RSEN notation.</w:t>
            </w:r>
          </w:p>
          <w:p w14:paraId="1538BB8D" w14:textId="4FC2FE9D" w:rsidR="0002067A" w:rsidRPr="00DA352E" w:rsidRDefault="0002067A" w:rsidP="003365A5">
            <w:pPr>
              <w:pStyle w:val="Tabletextprimarysource"/>
            </w:pPr>
          </w:p>
        </w:tc>
      </w:tr>
      <w:tr w:rsidR="00C978F0" w:rsidRPr="00DA352E" w14:paraId="46A7A00F" w14:textId="77777777" w:rsidTr="005632B9">
        <w:trPr>
          <w:gridAfter w:val="1"/>
          <w:wAfter w:w="8" w:type="pct"/>
          <w:cantSplit/>
        </w:trPr>
        <w:tc>
          <w:tcPr>
            <w:tcW w:w="4992" w:type="pct"/>
            <w:shd w:val="clear" w:color="auto" w:fill="F2F2F2" w:themeFill="background1" w:themeFillShade="F2"/>
          </w:tcPr>
          <w:p w14:paraId="0D10555E"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8869E6">
                  <w:t>2002</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8869E6">
                  <w:t>Not assigned</w:t>
                </w:r>
              </w:sdtContent>
            </w:sdt>
          </w:p>
        </w:tc>
      </w:tr>
      <w:tr w:rsidR="00C978F0" w:rsidRPr="00DA352E" w14:paraId="490951EA" w14:textId="77777777" w:rsidTr="005632B9">
        <w:trPr>
          <w:gridAfter w:val="1"/>
          <w:wAfter w:w="8" w:type="pct"/>
        </w:trPr>
        <w:tc>
          <w:tcPr>
            <w:tcW w:w="4992" w:type="pct"/>
          </w:tcPr>
          <w:p w14:paraId="6F53077B" w14:textId="3B0F1015" w:rsidR="00C978F0" w:rsidRDefault="003708C8" w:rsidP="003365A5">
            <w:pPr>
              <w:pStyle w:val="Tabletextprimarysource"/>
            </w:pPr>
            <w:r>
              <w:t>Summary of additional information</w:t>
            </w:r>
            <w:r w:rsidR="005C7708">
              <w:t>:</w:t>
            </w:r>
          </w:p>
          <w:p w14:paraId="1E7377BD" w14:textId="20EEA04C" w:rsidR="0002067A" w:rsidRDefault="003919DD" w:rsidP="003365A5">
            <w:pPr>
              <w:pStyle w:val="Tabletextprimarysource"/>
            </w:pPr>
            <w:r>
              <w:t xml:space="preserve">Critical effects </w:t>
            </w:r>
            <w:r w:rsidR="003B4E37">
              <w:t>are</w:t>
            </w:r>
            <w:r>
              <w:t xml:space="preserve"> eye and upper respiratory tract irritation. Irritation threshold is below 100 ppm based on several volunteer inhalation studies (also </w:t>
            </w:r>
            <w:r w:rsidR="00246829">
              <w:t>reported</w:t>
            </w:r>
            <w:r>
              <w:t xml:space="preserve"> by ACGIH, 2018)</w:t>
            </w:r>
            <w:r w:rsidR="009D4429">
              <w:t xml:space="preserve"> </w:t>
            </w:r>
            <w:r>
              <w:t xml:space="preserve">but no data for this endpoint regarding repeat exposures available. </w:t>
            </w:r>
            <w:r w:rsidR="00D618E2">
              <w:t xml:space="preserve">Previous </w:t>
            </w:r>
            <w:r>
              <w:t xml:space="preserve">MAK </w:t>
            </w:r>
            <w:r w:rsidR="00D618E2">
              <w:t xml:space="preserve">of 100 ppm </w:t>
            </w:r>
            <w:r>
              <w:t xml:space="preserve">therefore </w:t>
            </w:r>
            <w:r w:rsidR="00D618E2">
              <w:t>withdrawn; a new MAK is not established</w:t>
            </w:r>
            <w:r>
              <w:t xml:space="preserve">. </w:t>
            </w:r>
          </w:p>
          <w:p w14:paraId="0232E598" w14:textId="6A3225AC" w:rsidR="003708C8" w:rsidRDefault="003919DD" w:rsidP="003365A5">
            <w:pPr>
              <w:pStyle w:val="Tabletextprimarysource"/>
            </w:pPr>
            <w:r>
              <w:t xml:space="preserve">Tumour promotion effect in mice </w:t>
            </w:r>
            <w:r w:rsidR="008D3283">
              <w:t xml:space="preserve">(also </w:t>
            </w:r>
            <w:r w:rsidR="00246829">
              <w:t>reported</w:t>
            </w:r>
            <w:r w:rsidR="008D3283">
              <w:t xml:space="preserve"> in ACGIH, 2018) </w:t>
            </w:r>
            <w:r>
              <w:t xml:space="preserve">could </w:t>
            </w:r>
            <w:r w:rsidR="008D3283">
              <w:t xml:space="preserve">be used to </w:t>
            </w:r>
            <w:r>
              <w:t>classify substance as c</w:t>
            </w:r>
            <w:r w:rsidR="00683EDC">
              <w:t>ategory 4 carcinogen; mechanism of carcinogenicity is</w:t>
            </w:r>
            <w:r w:rsidR="00D618E2">
              <w:t xml:space="preserve"> likely</w:t>
            </w:r>
            <w:r w:rsidR="00683EDC">
              <w:t xml:space="preserve"> through chronic irritation. However, without a MAK/threshold for the irritative endpoint, category 3A provisionally assigned.</w:t>
            </w:r>
          </w:p>
          <w:p w14:paraId="6E83902B" w14:textId="77777777" w:rsidR="00D618E2" w:rsidRDefault="00D618E2" w:rsidP="003365A5">
            <w:pPr>
              <w:pStyle w:val="Tabletextprimarysource"/>
            </w:pPr>
            <w:r>
              <w:t xml:space="preserve">Skin notation not recommended due to low acute dermal toxicity of the main constituent terpenes. </w:t>
            </w:r>
          </w:p>
          <w:p w14:paraId="53DF3AFF" w14:textId="77777777" w:rsidR="00D618E2" w:rsidRDefault="00D618E2" w:rsidP="003365A5">
            <w:pPr>
              <w:pStyle w:val="Tabletextprimarysource"/>
            </w:pPr>
            <w:r>
              <w:t>Dermal sensitisation notation retained based on positive sensitisation in animals and humans.</w:t>
            </w:r>
          </w:p>
          <w:p w14:paraId="76251BB8" w14:textId="4BE8BC49" w:rsidR="00FA0D1E" w:rsidRDefault="00FA0D1E" w:rsidP="003365A5">
            <w:pPr>
              <w:pStyle w:val="Tabletextprimarysource"/>
            </w:pPr>
            <w:r>
              <w:t>Human data</w:t>
            </w:r>
            <w:r w:rsidR="005C7708">
              <w:t>:</w:t>
            </w:r>
          </w:p>
          <w:p w14:paraId="73C7EEA6" w14:textId="3B346DE7" w:rsidR="00FA0D1E" w:rsidRDefault="00B30F6A" w:rsidP="00FA0D1E">
            <w:pPr>
              <w:pStyle w:val="Tabletextprimarysource"/>
              <w:numPr>
                <w:ilvl w:val="0"/>
                <w:numId w:val="2"/>
              </w:numPr>
            </w:pPr>
            <w:r>
              <w:t>Dizziness in exposed shoe polish workers; symptoms subsided after introduction of improved workplace ventilation</w:t>
            </w:r>
            <w:r w:rsidR="00C62F0B">
              <w:t>.</w:t>
            </w:r>
            <w:r>
              <w:t xml:space="preserve"> </w:t>
            </w:r>
            <w:r w:rsidR="00C62F0B">
              <w:t xml:space="preserve">No </w:t>
            </w:r>
            <w:r>
              <w:t>effects associated with terpene air concentrations of 100–300 mg/m</w:t>
            </w:r>
            <w:r>
              <w:rPr>
                <w:vertAlign w:val="superscript"/>
              </w:rPr>
              <w:t>3</w:t>
            </w:r>
            <w:r>
              <w:t xml:space="preserve"> (</w:t>
            </w:r>
            <w:r>
              <w:rPr>
                <w:rFonts w:cs="Arial"/>
              </w:rPr>
              <w:t>≈</w:t>
            </w:r>
            <w:r>
              <w:t>18–53 ppm)</w:t>
            </w:r>
            <w:r w:rsidR="00286F37">
              <w:t>:</w:t>
            </w:r>
          </w:p>
          <w:p w14:paraId="1DA984C0" w14:textId="3BD6CB57" w:rsidR="00B30F6A" w:rsidRDefault="003B4E37" w:rsidP="005E4E69">
            <w:pPr>
              <w:pStyle w:val="Tabletextprimarysource"/>
              <w:numPr>
                <w:ilvl w:val="0"/>
                <w:numId w:val="6"/>
              </w:numPr>
            </w:pPr>
            <w:r>
              <w:t>s</w:t>
            </w:r>
            <w:r w:rsidR="00B30F6A">
              <w:t>hoe polish contained 65–70% turpentine, 7% white spirits, 23–24% paraffin wax</w:t>
            </w:r>
          </w:p>
          <w:p w14:paraId="5EEDEA39" w14:textId="77777777" w:rsidR="00B30F6A" w:rsidRDefault="00B30F6A" w:rsidP="005E4E69">
            <w:pPr>
              <w:pStyle w:val="Tabletextprimarysource"/>
              <w:numPr>
                <w:ilvl w:val="0"/>
                <w:numId w:val="6"/>
              </w:numPr>
            </w:pPr>
            <w:r>
              <w:t>study not considered for MAK evaluation due to lack of exposure data under unventilated conditions</w:t>
            </w:r>
          </w:p>
          <w:p w14:paraId="47DB2D72" w14:textId="60804155" w:rsidR="007D2330" w:rsidRDefault="00B30F6A">
            <w:pPr>
              <w:pStyle w:val="Tabletextprimarysource"/>
              <w:numPr>
                <w:ilvl w:val="0"/>
                <w:numId w:val="2"/>
              </w:numPr>
            </w:pPr>
            <w:r>
              <w:t>Reduced FEV</w:t>
            </w:r>
            <w:r>
              <w:rPr>
                <w:vertAlign w:val="subscript"/>
              </w:rPr>
              <w:t>1</w:t>
            </w:r>
            <w:r>
              <w:t xml:space="preserve"> and </w:t>
            </w:r>
            <w:r w:rsidR="00C51046">
              <w:t>FVC</w:t>
            </w:r>
            <w:r>
              <w:t xml:space="preserve"> in workers exposed at 50–240 mg/m</w:t>
            </w:r>
            <w:r>
              <w:rPr>
                <w:vertAlign w:val="superscript"/>
              </w:rPr>
              <w:t>3</w:t>
            </w:r>
            <w:r w:rsidR="000F562C">
              <w:t xml:space="preserve"> (9–43 ppm</w:t>
            </w:r>
            <w:r w:rsidR="009C6E5C">
              <w:t>) mean 125</w:t>
            </w:r>
            <w:r w:rsidR="0016023F">
              <w:t> </w:t>
            </w:r>
            <w:r w:rsidR="009C6E5C">
              <w:t>mg/m</w:t>
            </w:r>
            <w:r w:rsidR="009C6E5C">
              <w:rPr>
                <w:vertAlign w:val="superscript"/>
              </w:rPr>
              <w:t>3</w:t>
            </w:r>
            <w:r w:rsidR="009C6E5C">
              <w:t xml:space="preserve"> (22 ppm) for up to 37 yr, mean</w:t>
            </w:r>
            <w:r w:rsidR="00246829">
              <w:t xml:space="preserve"> of </w:t>
            </w:r>
            <w:r w:rsidR="009C6E5C">
              <w:t>7.6 yr; coughing and throat irritation more common in workers exposed above 25 mg/m</w:t>
            </w:r>
            <w:r w:rsidR="009C6E5C">
              <w:rPr>
                <w:vertAlign w:val="superscript"/>
              </w:rPr>
              <w:t xml:space="preserve">3 </w:t>
            </w:r>
            <w:r w:rsidR="009C6E5C">
              <w:t>(4 ppm)</w:t>
            </w:r>
          </w:p>
          <w:p w14:paraId="2D645A9B" w14:textId="3A8C2160" w:rsidR="009C6E5C" w:rsidRDefault="009C6E5C" w:rsidP="00B30F6A">
            <w:pPr>
              <w:pStyle w:val="Tabletextprimarysource"/>
              <w:numPr>
                <w:ilvl w:val="0"/>
                <w:numId w:val="2"/>
              </w:numPr>
            </w:pPr>
            <w:r>
              <w:lastRenderedPageBreak/>
              <w:t xml:space="preserve">No changes in lung function parameters in carpenters (n=38) and sawmill workers (n=48) exposed </w:t>
            </w:r>
            <w:r w:rsidR="00DE76FB">
              <w:t xml:space="preserve">on average </w:t>
            </w:r>
            <w:r>
              <w:t>at 150 mg/m</w:t>
            </w:r>
            <w:r>
              <w:rPr>
                <w:vertAlign w:val="superscript"/>
              </w:rPr>
              <w:t>3</w:t>
            </w:r>
            <w:r>
              <w:t xml:space="preserve"> (27 ppm)</w:t>
            </w:r>
            <w:r w:rsidR="00C51046">
              <w:t xml:space="preserve"> in 2 epidemiological studies</w:t>
            </w:r>
            <w:r w:rsidR="00D12DAC">
              <w:t xml:space="preserve"> (also </w:t>
            </w:r>
            <w:r w:rsidR="00246829">
              <w:t>reported</w:t>
            </w:r>
            <w:r w:rsidR="00D12DAC">
              <w:t xml:space="preserve"> by ACGIH, 2018)</w:t>
            </w:r>
            <w:r w:rsidR="005C7708">
              <w:t>:</w:t>
            </w:r>
          </w:p>
          <w:p w14:paraId="7039022F" w14:textId="0D685E03" w:rsidR="009C6E5C" w:rsidRDefault="009C6E5C" w:rsidP="005E4E69">
            <w:pPr>
              <w:pStyle w:val="Tabletextprimarysource"/>
              <w:numPr>
                <w:ilvl w:val="0"/>
                <w:numId w:val="6"/>
              </w:numPr>
            </w:pPr>
            <w:r>
              <w:t xml:space="preserve">10/48 sawmill workers </w:t>
            </w:r>
            <w:r w:rsidR="007D2330">
              <w:t>self-</w:t>
            </w:r>
            <w:r>
              <w:t>reported eye irritation</w:t>
            </w:r>
          </w:p>
          <w:p w14:paraId="179262E7" w14:textId="49B443BD" w:rsidR="009C6E5C" w:rsidRDefault="009C6E5C" w:rsidP="005E4E69">
            <w:pPr>
              <w:pStyle w:val="Tabletextprimarysource"/>
              <w:numPr>
                <w:ilvl w:val="0"/>
                <w:numId w:val="6"/>
              </w:numPr>
            </w:pPr>
            <w:r>
              <w:t xml:space="preserve">slight decrease in lung diffusion capacity </w:t>
            </w:r>
            <w:r w:rsidR="00FC4C02">
              <w:t xml:space="preserve">in </w:t>
            </w:r>
            <w:r>
              <w:t>12 sawmill workers</w:t>
            </w:r>
            <w:r w:rsidR="005E4E69">
              <w:t xml:space="preserve"> and</w:t>
            </w:r>
            <w:r>
              <w:t xml:space="preserve"> not in 26 other workers both exposed at 50 mg/m</w:t>
            </w:r>
            <w:r>
              <w:rPr>
                <w:vertAlign w:val="superscript"/>
              </w:rPr>
              <w:t>3</w:t>
            </w:r>
            <w:r>
              <w:t xml:space="preserve"> (9 ppm)</w:t>
            </w:r>
          </w:p>
          <w:p w14:paraId="51080BCD" w14:textId="324153BA" w:rsidR="00F035D5" w:rsidRDefault="00F035D5" w:rsidP="005E4E69">
            <w:pPr>
              <w:pStyle w:val="Tabletextprimarysource"/>
              <w:numPr>
                <w:ilvl w:val="0"/>
                <w:numId w:val="6"/>
              </w:numPr>
            </w:pPr>
            <w:r>
              <w:t>wood dust concentrations measured between 0.1–1.1 mg/m</w:t>
            </w:r>
            <w:r>
              <w:rPr>
                <w:vertAlign w:val="superscript"/>
              </w:rPr>
              <w:t>3</w:t>
            </w:r>
          </w:p>
          <w:p w14:paraId="3DBA43F5" w14:textId="1D579CC6" w:rsidR="009C6E5C" w:rsidRDefault="00E45474" w:rsidP="005E4E69">
            <w:pPr>
              <w:pStyle w:val="Tabletextprimarysource"/>
              <w:numPr>
                <w:ilvl w:val="0"/>
                <w:numId w:val="6"/>
              </w:numPr>
            </w:pPr>
            <w:r>
              <w:t xml:space="preserve">DFG </w:t>
            </w:r>
            <w:r w:rsidR="009C6E5C">
              <w:t>considers clinical relevance of these results questionable due to the mildness of the symptoms and small number of subjects; results not used to inform MAK due to mixed exposures to wood dust</w:t>
            </w:r>
          </w:p>
          <w:p w14:paraId="42EEA95C" w14:textId="3B587669" w:rsidR="009C6E5C" w:rsidRDefault="009C6E5C" w:rsidP="009C6E5C">
            <w:pPr>
              <w:pStyle w:val="Tabletextprimarysource"/>
              <w:numPr>
                <w:ilvl w:val="0"/>
                <w:numId w:val="2"/>
              </w:numPr>
            </w:pPr>
            <w:r>
              <w:t xml:space="preserve">Contact dermatitis reported in several cases, especially with </w:t>
            </w:r>
            <w:r w:rsidRPr="009C6E5C">
              <w:t>Δ</w:t>
            </w:r>
            <w:r w:rsidRPr="009C6E5C">
              <w:rPr>
                <w:vertAlign w:val="superscript"/>
              </w:rPr>
              <w:t>3</w:t>
            </w:r>
            <w:r w:rsidRPr="009C6E5C">
              <w:t>-carene</w:t>
            </w:r>
            <w:r>
              <w:t>-rich turpentine</w:t>
            </w:r>
            <w:r w:rsidR="00FC4C02">
              <w:t>.</w:t>
            </w:r>
          </w:p>
          <w:p w14:paraId="35687BC5" w14:textId="5E1148B8" w:rsidR="00D12DAC" w:rsidRDefault="00D12DAC" w:rsidP="00D12DAC">
            <w:pPr>
              <w:pStyle w:val="Tabletextprimarysource"/>
            </w:pPr>
            <w:r>
              <w:t>Animal data:</w:t>
            </w:r>
          </w:p>
          <w:p w14:paraId="4F75A944" w14:textId="77777777" w:rsidR="00D12DAC" w:rsidRDefault="00D12DAC" w:rsidP="00D12DAC">
            <w:pPr>
              <w:pStyle w:val="Tabletextprimarysource"/>
              <w:numPr>
                <w:ilvl w:val="0"/>
                <w:numId w:val="2"/>
              </w:numPr>
            </w:pPr>
            <w:r>
              <w:t>LD</w:t>
            </w:r>
            <w:r>
              <w:rPr>
                <w:vertAlign w:val="subscript"/>
              </w:rPr>
              <w:t>50</w:t>
            </w:r>
            <w:r w:rsidR="00FC4C02">
              <w:t>:</w:t>
            </w:r>
            <w:r>
              <w:t xml:space="preserve"> &gt;5,000 mg/kg (rabbits</w:t>
            </w:r>
            <w:r w:rsidR="00FC4C02">
              <w:t>, d</w:t>
            </w:r>
            <w:r w:rsidR="003B4E37">
              <w:t>ermal</w:t>
            </w:r>
            <w:r>
              <w:t xml:space="preserve">) </w:t>
            </w:r>
            <w:r w:rsidR="00FC4C02">
              <w:t>as constituent terpenes.</w:t>
            </w:r>
          </w:p>
          <w:p w14:paraId="27B44009" w14:textId="6C568D3F" w:rsidR="005E4E69" w:rsidRPr="00DA352E" w:rsidRDefault="005E4E69" w:rsidP="005E4E69">
            <w:pPr>
              <w:pStyle w:val="Tabletextprimarysource"/>
            </w:pPr>
          </w:p>
        </w:tc>
      </w:tr>
      <w:tr w:rsidR="00C978F0" w:rsidRPr="00DA352E" w14:paraId="42465C4B" w14:textId="77777777" w:rsidTr="005632B9">
        <w:trPr>
          <w:gridAfter w:val="1"/>
          <w:wAfter w:w="8" w:type="pct"/>
          <w:cantSplit/>
        </w:trPr>
        <w:tc>
          <w:tcPr>
            <w:tcW w:w="4992" w:type="pct"/>
            <w:shd w:val="clear" w:color="auto" w:fill="F2F2F2" w:themeFill="background1" w:themeFillShade="F2"/>
          </w:tcPr>
          <w:p w14:paraId="05986424"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A57C84">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A57C84">
                  <w:t>NA</w:t>
                </w:r>
              </w:sdtContent>
            </w:sdt>
          </w:p>
        </w:tc>
      </w:tr>
      <w:tr w:rsidR="00C978F0" w:rsidRPr="00DA352E" w14:paraId="2786DC18" w14:textId="77777777" w:rsidTr="005632B9">
        <w:trPr>
          <w:gridAfter w:val="1"/>
          <w:wAfter w:w="8" w:type="pct"/>
          <w:cantSplit/>
        </w:trPr>
        <w:tc>
          <w:tcPr>
            <w:tcW w:w="4992" w:type="pct"/>
          </w:tcPr>
          <w:p w14:paraId="204F9153" w14:textId="4BD7F811" w:rsidR="00C978F0" w:rsidRPr="00DA352E" w:rsidRDefault="00A57C84" w:rsidP="003365A5">
            <w:pPr>
              <w:pStyle w:val="Tabletextprimarysource"/>
            </w:pPr>
            <w:r>
              <w:t>No report</w:t>
            </w:r>
            <w:r w:rsidR="00FC4C02">
              <w:t>.</w:t>
            </w:r>
          </w:p>
        </w:tc>
      </w:tr>
      <w:tr w:rsidR="00DA352E" w:rsidRPr="00DA352E" w14:paraId="1BE9818F" w14:textId="77777777" w:rsidTr="005632B9">
        <w:trPr>
          <w:gridAfter w:val="1"/>
          <w:wAfter w:w="8" w:type="pct"/>
          <w:cantSplit/>
        </w:trPr>
        <w:tc>
          <w:tcPr>
            <w:tcW w:w="4992" w:type="pct"/>
            <w:shd w:val="clear" w:color="auto" w:fill="F2F2F2" w:themeFill="background1" w:themeFillShade="F2"/>
          </w:tcPr>
          <w:p w14:paraId="7BB64E5F"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532F15">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532F15">
                  <w:t>NA</w:t>
                </w:r>
              </w:sdtContent>
            </w:sdt>
          </w:p>
        </w:tc>
      </w:tr>
      <w:tr w:rsidR="00DA352E" w:rsidRPr="00DA352E" w14:paraId="161BE057" w14:textId="77777777" w:rsidTr="005632B9">
        <w:trPr>
          <w:gridAfter w:val="1"/>
          <w:wAfter w:w="8" w:type="pct"/>
          <w:cantSplit/>
        </w:trPr>
        <w:tc>
          <w:tcPr>
            <w:tcW w:w="4992" w:type="pct"/>
          </w:tcPr>
          <w:p w14:paraId="681C05EA" w14:textId="37548E46" w:rsidR="00DA352E" w:rsidRPr="00DA352E" w:rsidRDefault="00532F15" w:rsidP="003365A5">
            <w:pPr>
              <w:pStyle w:val="Tabletextprimarysource"/>
            </w:pPr>
            <w:r>
              <w:t>No report</w:t>
            </w:r>
            <w:r w:rsidR="00FC4C02">
              <w:t>.</w:t>
            </w:r>
          </w:p>
        </w:tc>
      </w:tr>
      <w:tr w:rsidR="00DA352E" w:rsidRPr="00DA352E" w14:paraId="5724B001" w14:textId="77777777" w:rsidTr="005632B9">
        <w:trPr>
          <w:gridAfter w:val="1"/>
          <w:wAfter w:w="8" w:type="pct"/>
          <w:cantSplit/>
        </w:trPr>
        <w:tc>
          <w:tcPr>
            <w:tcW w:w="4992" w:type="pct"/>
            <w:shd w:val="clear" w:color="auto" w:fill="F2F2F2" w:themeFill="background1" w:themeFillShade="F2"/>
          </w:tcPr>
          <w:p w14:paraId="467A2686"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532F15">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532F15">
                  <w:t>NA</w:t>
                </w:r>
              </w:sdtContent>
            </w:sdt>
          </w:p>
        </w:tc>
      </w:tr>
      <w:tr w:rsidR="00DA352E" w:rsidRPr="00DA352E" w14:paraId="3126AE8F" w14:textId="77777777" w:rsidTr="005632B9">
        <w:trPr>
          <w:gridAfter w:val="1"/>
          <w:wAfter w:w="8" w:type="pct"/>
          <w:cantSplit/>
        </w:trPr>
        <w:tc>
          <w:tcPr>
            <w:tcW w:w="4992" w:type="pct"/>
          </w:tcPr>
          <w:p w14:paraId="35810196" w14:textId="41E2F510" w:rsidR="00DA352E" w:rsidRPr="00DA352E" w:rsidRDefault="00532F15" w:rsidP="003365A5">
            <w:pPr>
              <w:pStyle w:val="Tabletextprimarysource"/>
            </w:pPr>
            <w:r>
              <w:t>No report</w:t>
            </w:r>
            <w:r w:rsidR="00FC4C02">
              <w:t>.</w:t>
            </w:r>
          </w:p>
        </w:tc>
      </w:tr>
    </w:tbl>
    <w:p w14:paraId="34038056"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9"/>
        <w:gridCol w:w="422"/>
        <w:gridCol w:w="661"/>
        <w:gridCol w:w="6454"/>
      </w:tblGrid>
      <w:tr w:rsidR="004966BF" w:rsidRPr="00263255" w14:paraId="7BD8A3D4" w14:textId="77777777" w:rsidTr="005632B9">
        <w:trPr>
          <w:cnfStyle w:val="100000000000" w:firstRow="1" w:lastRow="0" w:firstColumn="0" w:lastColumn="0" w:oddVBand="0" w:evenVBand="0" w:oddHBand="0" w:evenHBand="0" w:firstRowFirstColumn="0" w:firstRowLastColumn="0" w:lastRowFirstColumn="0" w:lastRowLastColumn="0"/>
          <w:trHeight w:val="393"/>
          <w:tblHeader/>
        </w:trPr>
        <w:tc>
          <w:tcPr>
            <w:tcW w:w="1489" w:type="dxa"/>
            <w:shd w:val="clear" w:color="auto" w:fill="BFBFBF" w:themeFill="background1" w:themeFillShade="BF"/>
            <w:vAlign w:val="center"/>
          </w:tcPr>
          <w:p w14:paraId="055F3BA9"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318082C2" w14:textId="77777777" w:rsidR="004966BF" w:rsidRPr="00263255" w:rsidRDefault="004966BF" w:rsidP="00263255">
            <w:pPr>
              <w:pStyle w:val="Tableheader"/>
            </w:pPr>
          </w:p>
        </w:tc>
        <w:tc>
          <w:tcPr>
            <w:tcW w:w="661" w:type="dxa"/>
            <w:shd w:val="clear" w:color="auto" w:fill="BFBFBF" w:themeFill="background1" w:themeFillShade="BF"/>
            <w:vAlign w:val="center"/>
          </w:tcPr>
          <w:p w14:paraId="2A252771" w14:textId="77777777" w:rsidR="004966BF" w:rsidRPr="00263255" w:rsidRDefault="004966BF" w:rsidP="00263255">
            <w:pPr>
              <w:pStyle w:val="Tableheader"/>
            </w:pPr>
            <w:r>
              <w:t>Year</w:t>
            </w:r>
          </w:p>
        </w:tc>
        <w:tc>
          <w:tcPr>
            <w:tcW w:w="6454" w:type="dxa"/>
            <w:shd w:val="clear" w:color="auto" w:fill="BFBFBF" w:themeFill="background1" w:themeFillShade="BF"/>
            <w:vAlign w:val="center"/>
          </w:tcPr>
          <w:p w14:paraId="6E66E128" w14:textId="77777777" w:rsidR="004966BF" w:rsidRPr="00263255" w:rsidRDefault="004966BF" w:rsidP="00263255">
            <w:pPr>
              <w:pStyle w:val="Tableheader"/>
            </w:pPr>
            <w:r>
              <w:t>Additional information</w:t>
            </w:r>
          </w:p>
        </w:tc>
      </w:tr>
      <w:tr w:rsidR="004966BF" w:rsidRPr="004C23F4" w14:paraId="4AD158A4" w14:textId="77777777" w:rsidTr="005632B9">
        <w:tc>
          <w:tcPr>
            <w:tcW w:w="1489" w:type="dxa"/>
          </w:tcPr>
          <w:p w14:paraId="4C7CE1CA" w14:textId="77777777" w:rsidR="004966BF" w:rsidRPr="004C23F4" w:rsidRDefault="004966BF" w:rsidP="00224EE2">
            <w:pPr>
              <w:pStyle w:val="Tablefont"/>
            </w:pPr>
            <w:r>
              <w:t>NICNAS</w:t>
            </w:r>
          </w:p>
        </w:tc>
        <w:tc>
          <w:tcPr>
            <w:tcW w:w="422" w:type="dxa"/>
          </w:tcPr>
          <w:p w14:paraId="6DEEDF37" w14:textId="085F70C6" w:rsidR="004966BF" w:rsidRPr="00CE617F" w:rsidRDefault="005632B9"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5D4993">
                  <w:rPr>
                    <w:rStyle w:val="checkbox"/>
                  </w:rPr>
                  <w:t></w:t>
                </w:r>
              </w:sdtContent>
            </w:sdt>
          </w:p>
        </w:tc>
        <w:tc>
          <w:tcPr>
            <w:tcW w:w="661" w:type="dxa"/>
          </w:tcPr>
          <w:p w14:paraId="7FF64334" w14:textId="66C5C0C0" w:rsidR="004966BF" w:rsidRPr="004C23F4" w:rsidRDefault="005D4993" w:rsidP="00717D45">
            <w:pPr>
              <w:pStyle w:val="Tablefont"/>
              <w:rPr>
                <w:rStyle w:val="checkbox"/>
                <w:rFonts w:ascii="Arial" w:hAnsi="Arial" w:cs="Arial"/>
              </w:rPr>
            </w:pPr>
            <w:r>
              <w:rPr>
                <w:rStyle w:val="checkbox"/>
                <w:rFonts w:ascii="Arial" w:hAnsi="Arial" w:cs="Arial"/>
              </w:rPr>
              <w:t>2018</w:t>
            </w:r>
          </w:p>
        </w:tc>
        <w:tc>
          <w:tcPr>
            <w:tcW w:w="6454" w:type="dxa"/>
          </w:tcPr>
          <w:p w14:paraId="34EC8723" w14:textId="581FB281" w:rsidR="005E4E69" w:rsidRDefault="005D4993" w:rsidP="005D4993">
            <w:pPr>
              <w:pStyle w:val="Tablefont"/>
              <w:numPr>
                <w:ilvl w:val="0"/>
                <w:numId w:val="2"/>
              </w:numPr>
              <w:rPr>
                <w:rFonts w:cs="Arial"/>
              </w:rPr>
            </w:pPr>
            <w:r>
              <w:rPr>
                <w:rFonts w:cs="Arial"/>
              </w:rPr>
              <w:t>Critical effects are skin sensitisation</w:t>
            </w:r>
            <w:r w:rsidR="00BF0FF7">
              <w:rPr>
                <w:rFonts w:cs="Arial"/>
              </w:rPr>
              <w:t xml:space="preserve"> </w:t>
            </w:r>
            <w:r>
              <w:rPr>
                <w:rFonts w:cs="Arial"/>
              </w:rPr>
              <w:t xml:space="preserve">and eye and </w:t>
            </w:r>
            <w:r w:rsidR="00FC4C02">
              <w:rPr>
                <w:rFonts w:cs="Arial"/>
              </w:rPr>
              <w:t>URT</w:t>
            </w:r>
            <w:r>
              <w:rPr>
                <w:rFonts w:cs="Arial"/>
              </w:rPr>
              <w:t xml:space="preserve"> irritation</w:t>
            </w:r>
            <w:r w:rsidR="007A5FE4">
              <w:rPr>
                <w:rFonts w:cs="Arial"/>
              </w:rPr>
              <w:t>:</w:t>
            </w:r>
            <w:r>
              <w:rPr>
                <w:rFonts w:cs="Arial"/>
              </w:rPr>
              <w:t xml:space="preserve"> </w:t>
            </w:r>
          </w:p>
          <w:p w14:paraId="397AA4F7" w14:textId="6FEB6773" w:rsidR="005D4993" w:rsidRDefault="005D4993" w:rsidP="005E4E69">
            <w:pPr>
              <w:pStyle w:val="Tablefont"/>
              <w:numPr>
                <w:ilvl w:val="0"/>
                <w:numId w:val="7"/>
              </w:numPr>
              <w:rPr>
                <w:rFonts w:cs="Arial"/>
              </w:rPr>
            </w:pPr>
            <w:r>
              <w:rPr>
                <w:rFonts w:cs="Arial"/>
              </w:rPr>
              <w:t xml:space="preserve">high acute exposures may cause </w:t>
            </w:r>
            <w:r w:rsidR="00FC4C02">
              <w:rPr>
                <w:rFonts w:cs="Arial"/>
              </w:rPr>
              <w:t>CNS</w:t>
            </w:r>
            <w:r>
              <w:rPr>
                <w:rFonts w:cs="Arial"/>
              </w:rPr>
              <w:t xml:space="preserve"> depression</w:t>
            </w:r>
          </w:p>
          <w:p w14:paraId="20F72E28" w14:textId="530FF2C7" w:rsidR="00CA1092" w:rsidRDefault="002F3BD0" w:rsidP="005D4993">
            <w:pPr>
              <w:pStyle w:val="Tablefont"/>
              <w:numPr>
                <w:ilvl w:val="0"/>
                <w:numId w:val="2"/>
              </w:numPr>
              <w:rPr>
                <w:rFonts w:cs="Arial"/>
              </w:rPr>
            </w:pPr>
            <w:r>
              <w:rPr>
                <w:rFonts w:cs="Arial"/>
              </w:rPr>
              <w:t>Several cases of dermal sensitisation</w:t>
            </w:r>
            <w:r w:rsidR="005D4993">
              <w:rPr>
                <w:rFonts w:cs="Arial"/>
              </w:rPr>
              <w:t xml:space="preserve"> reported</w:t>
            </w:r>
            <w:r>
              <w:rPr>
                <w:rFonts w:cs="Arial"/>
              </w:rPr>
              <w:t xml:space="preserve"> in humans; however unknown composition of the substance complicates definitive assessment</w:t>
            </w:r>
            <w:r w:rsidR="007A5FE4">
              <w:rPr>
                <w:rFonts w:cs="Arial"/>
              </w:rPr>
              <w:t>:</w:t>
            </w:r>
          </w:p>
          <w:p w14:paraId="170566BB" w14:textId="36747D36" w:rsidR="005D4993" w:rsidRDefault="005D4993" w:rsidP="005E4E69">
            <w:pPr>
              <w:pStyle w:val="Tabletextprimarysource"/>
              <w:numPr>
                <w:ilvl w:val="0"/>
                <w:numId w:val="6"/>
              </w:numPr>
              <w:rPr>
                <w:rFonts w:cs="Arial"/>
              </w:rPr>
            </w:pPr>
            <w:r w:rsidRPr="005E4E69">
              <w:t>erythema</w:t>
            </w:r>
            <w:r>
              <w:rPr>
                <w:rFonts w:cs="Arial"/>
              </w:rPr>
              <w:t xml:space="preserve"> in 18/25 volunteers at challenge site using 20% solution in petrolatum 48 h after induction with 50% solution</w:t>
            </w:r>
          </w:p>
          <w:p w14:paraId="526F181B" w14:textId="785DBA8A" w:rsidR="00CA1092" w:rsidRDefault="005D4993" w:rsidP="005E4E69">
            <w:pPr>
              <w:pStyle w:val="Tabletextprimarysource"/>
              <w:numPr>
                <w:ilvl w:val="0"/>
                <w:numId w:val="6"/>
              </w:numPr>
              <w:rPr>
                <w:rFonts w:cs="Arial"/>
              </w:rPr>
            </w:pPr>
            <w:r w:rsidRPr="005E4E69">
              <w:t>a</w:t>
            </w:r>
            <w:r w:rsidR="00CA1092" w:rsidRPr="005E4E69">
              <w:t>llergy</w:t>
            </w:r>
            <w:r w:rsidR="00CA1092" w:rsidRPr="00CA1092">
              <w:rPr>
                <w:rFonts w:cs="Arial"/>
              </w:rPr>
              <w:t xml:space="preserve"> in </w:t>
            </w:r>
            <w:r>
              <w:rPr>
                <w:rFonts w:cs="Arial"/>
              </w:rPr>
              <w:t xml:space="preserve">14/24 </w:t>
            </w:r>
            <w:r w:rsidR="00CA1092" w:rsidRPr="00CA1092">
              <w:rPr>
                <w:rFonts w:cs="Arial"/>
              </w:rPr>
              <w:t xml:space="preserve">pottery workers 6 </w:t>
            </w:r>
            <w:r>
              <w:rPr>
                <w:rFonts w:cs="Arial"/>
              </w:rPr>
              <w:t>mo following substitution of</w:t>
            </w:r>
            <w:r w:rsidR="00CA1092" w:rsidRPr="00CA1092">
              <w:rPr>
                <w:rFonts w:cs="Arial"/>
              </w:rPr>
              <w:t xml:space="preserve"> Portuguese</w:t>
            </w:r>
            <w:r>
              <w:rPr>
                <w:rFonts w:cs="Arial"/>
              </w:rPr>
              <w:t xml:space="preserve"> (78</w:t>
            </w:r>
            <w:r w:rsidRPr="00CA1092">
              <w:rPr>
                <w:rFonts w:cs="Arial"/>
              </w:rPr>
              <w:t xml:space="preserve">% </w:t>
            </w:r>
            <w:r>
              <w:rPr>
                <w:rFonts w:cs="Arial"/>
              </w:rPr>
              <w:t>α-pinene, &lt;0.7</w:t>
            </w:r>
            <w:r w:rsidRPr="00CA1092">
              <w:rPr>
                <w:rFonts w:cs="Arial"/>
              </w:rPr>
              <w:t xml:space="preserve">% </w:t>
            </w:r>
            <w:r>
              <w:rPr>
                <w:rFonts w:cs="Arial"/>
              </w:rPr>
              <w:t>Δ</w:t>
            </w:r>
            <w:r>
              <w:rPr>
                <w:rFonts w:cs="Arial"/>
                <w:vertAlign w:val="superscript"/>
              </w:rPr>
              <w:t>3</w:t>
            </w:r>
            <w:r w:rsidR="00E45474">
              <w:rPr>
                <w:rFonts w:cs="Arial"/>
              </w:rPr>
              <w:noBreakHyphen/>
            </w:r>
            <w:r w:rsidRPr="00CA1092">
              <w:rPr>
                <w:rFonts w:cs="Arial"/>
              </w:rPr>
              <w:t>carene)</w:t>
            </w:r>
            <w:r w:rsidR="00CA1092" w:rsidRPr="00CA1092">
              <w:rPr>
                <w:rFonts w:cs="Arial"/>
              </w:rPr>
              <w:t xml:space="preserve"> </w:t>
            </w:r>
            <w:r>
              <w:rPr>
                <w:rFonts w:cs="Arial"/>
              </w:rPr>
              <w:t>for Indonesian turpentine</w:t>
            </w:r>
            <w:r w:rsidR="00CA1092" w:rsidRPr="00CA1092">
              <w:rPr>
                <w:rFonts w:cs="Arial"/>
              </w:rPr>
              <w:t xml:space="preserve"> </w:t>
            </w:r>
            <w:r>
              <w:rPr>
                <w:rFonts w:cs="Arial"/>
              </w:rPr>
              <w:t>(85</w:t>
            </w:r>
            <w:r w:rsidR="00CA1092" w:rsidRPr="00CA1092">
              <w:rPr>
                <w:rFonts w:cs="Arial"/>
              </w:rPr>
              <w:t xml:space="preserve">% </w:t>
            </w:r>
            <w:r>
              <w:rPr>
                <w:rFonts w:cs="Arial"/>
              </w:rPr>
              <w:t>α</w:t>
            </w:r>
            <w:r w:rsidRPr="00CA1092">
              <w:rPr>
                <w:rFonts w:cs="Arial"/>
              </w:rPr>
              <w:t xml:space="preserve"> </w:t>
            </w:r>
            <w:r>
              <w:rPr>
                <w:rFonts w:cs="Arial"/>
              </w:rPr>
              <w:t>-pinene, &gt;15</w:t>
            </w:r>
            <w:r w:rsidR="00CA1092" w:rsidRPr="00CA1092">
              <w:rPr>
                <w:rFonts w:cs="Arial"/>
              </w:rPr>
              <w:t xml:space="preserve">% </w:t>
            </w:r>
            <w:r>
              <w:rPr>
                <w:rFonts w:cs="Arial"/>
              </w:rPr>
              <w:t>Δ</w:t>
            </w:r>
            <w:r>
              <w:rPr>
                <w:rFonts w:cs="Arial"/>
                <w:vertAlign w:val="superscript"/>
              </w:rPr>
              <w:t>3</w:t>
            </w:r>
            <w:r>
              <w:rPr>
                <w:rFonts w:cs="Arial"/>
              </w:rPr>
              <w:t>-carene)</w:t>
            </w:r>
            <w:r w:rsidR="00971C3A">
              <w:rPr>
                <w:rFonts w:cs="Arial"/>
              </w:rPr>
              <w:t>, no details on exposure provided</w:t>
            </w:r>
          </w:p>
          <w:p w14:paraId="3CABB9AA" w14:textId="563DC9FD" w:rsidR="005D4993" w:rsidRDefault="005D4993" w:rsidP="002F3BD0">
            <w:pPr>
              <w:pStyle w:val="Tablefont"/>
              <w:numPr>
                <w:ilvl w:val="0"/>
                <w:numId w:val="3"/>
              </w:numPr>
              <w:rPr>
                <w:rFonts w:cs="Arial"/>
              </w:rPr>
            </w:pPr>
            <w:r>
              <w:rPr>
                <w:rFonts w:cs="Arial"/>
              </w:rPr>
              <w:t xml:space="preserve">Negative mutagenicity </w:t>
            </w:r>
            <w:r>
              <w:rPr>
                <w:rFonts w:cs="Arial"/>
                <w:i/>
              </w:rPr>
              <w:t>in vitro</w:t>
            </w:r>
            <w:r>
              <w:rPr>
                <w:rFonts w:cs="Arial"/>
              </w:rPr>
              <w:t xml:space="preserve"> in bacteria </w:t>
            </w:r>
            <w:r w:rsidR="00446652">
              <w:rPr>
                <w:rFonts w:cs="Arial"/>
              </w:rPr>
              <w:t>and mammalian cells in the presence or absence of metabolic activation</w:t>
            </w:r>
          </w:p>
          <w:p w14:paraId="1E8747F1" w14:textId="3B7EF704" w:rsidR="00446652" w:rsidRDefault="00446652" w:rsidP="002F3BD0">
            <w:pPr>
              <w:pStyle w:val="Tablefont"/>
              <w:numPr>
                <w:ilvl w:val="0"/>
                <w:numId w:val="3"/>
              </w:numPr>
              <w:rPr>
                <w:rFonts w:cs="Arial"/>
              </w:rPr>
            </w:pPr>
            <w:r>
              <w:rPr>
                <w:rFonts w:cs="Arial"/>
              </w:rPr>
              <w:t>Negative results for chromosomal aberration with human lymphocyte cells</w:t>
            </w:r>
          </w:p>
          <w:p w14:paraId="2BD34007" w14:textId="77777777" w:rsidR="00446652" w:rsidRDefault="00446652" w:rsidP="00446652">
            <w:pPr>
              <w:pStyle w:val="Tablefont"/>
              <w:numPr>
                <w:ilvl w:val="0"/>
                <w:numId w:val="3"/>
              </w:numPr>
              <w:rPr>
                <w:rFonts w:cs="Arial"/>
              </w:rPr>
            </w:pPr>
            <w:r>
              <w:rPr>
                <w:rFonts w:cs="Arial"/>
              </w:rPr>
              <w:t xml:space="preserve">Weak association between respiratory cancers and occupational exposure reported in epidemiological study of Finnish woodworkers </w:t>
            </w:r>
          </w:p>
          <w:p w14:paraId="257D1668" w14:textId="4E43E3D3" w:rsidR="004966BF" w:rsidRPr="004C23F4" w:rsidRDefault="00446652" w:rsidP="00446652">
            <w:pPr>
              <w:pStyle w:val="Tablefont"/>
              <w:numPr>
                <w:ilvl w:val="0"/>
                <w:numId w:val="3"/>
              </w:numPr>
              <w:rPr>
                <w:rStyle w:val="checkbox"/>
                <w:rFonts w:ascii="Arial" w:hAnsi="Arial" w:cs="Arial"/>
              </w:rPr>
            </w:pPr>
            <w:r>
              <w:rPr>
                <w:rFonts w:cs="Arial"/>
              </w:rPr>
              <w:t>A</w:t>
            </w:r>
            <w:r w:rsidR="002F3BD0" w:rsidRPr="002F3BD0">
              <w:rPr>
                <w:rFonts w:cs="Arial"/>
              </w:rPr>
              <w:t xml:space="preserve">ssociation between </w:t>
            </w:r>
            <w:r w:rsidRPr="002F3BD0">
              <w:rPr>
                <w:rFonts w:cs="Arial"/>
              </w:rPr>
              <w:t xml:space="preserve">incidence of neuroblastoma in offspring </w:t>
            </w:r>
            <w:r>
              <w:rPr>
                <w:rFonts w:cs="Arial"/>
              </w:rPr>
              <w:t>and paternal exposure</w:t>
            </w:r>
            <w:r w:rsidR="00F04F9B">
              <w:rPr>
                <w:rFonts w:cs="Arial"/>
              </w:rPr>
              <w:t>.</w:t>
            </w:r>
          </w:p>
        </w:tc>
      </w:tr>
      <w:tr w:rsidR="004966BF" w:rsidRPr="004C23F4" w14:paraId="3CA10CBC" w14:textId="77777777" w:rsidTr="005632B9">
        <w:tc>
          <w:tcPr>
            <w:tcW w:w="1489" w:type="dxa"/>
          </w:tcPr>
          <w:p w14:paraId="5311B375" w14:textId="77777777" w:rsidR="004966BF" w:rsidRPr="004C23F4" w:rsidRDefault="004966BF" w:rsidP="00224EE2">
            <w:pPr>
              <w:pStyle w:val="Tablefont"/>
            </w:pPr>
            <w:r>
              <w:lastRenderedPageBreak/>
              <w:t>ECHA</w:t>
            </w:r>
          </w:p>
        </w:tc>
        <w:tc>
          <w:tcPr>
            <w:tcW w:w="422" w:type="dxa"/>
          </w:tcPr>
          <w:p w14:paraId="691E6452" w14:textId="3B08B1C0" w:rsidR="004966BF" w:rsidRPr="00CE617F" w:rsidRDefault="005632B9"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446652">
                  <w:rPr>
                    <w:rStyle w:val="checkbox"/>
                  </w:rPr>
                  <w:t></w:t>
                </w:r>
              </w:sdtContent>
            </w:sdt>
          </w:p>
        </w:tc>
        <w:tc>
          <w:tcPr>
            <w:tcW w:w="661" w:type="dxa"/>
          </w:tcPr>
          <w:p w14:paraId="4DFB8F4E" w14:textId="6C0FB0B3" w:rsidR="004966BF" w:rsidRPr="004C23F4" w:rsidRDefault="00446652" w:rsidP="00717D45">
            <w:pPr>
              <w:pStyle w:val="Tablefont"/>
              <w:rPr>
                <w:rStyle w:val="checkbox"/>
                <w:rFonts w:ascii="Arial" w:hAnsi="Arial" w:cs="Arial"/>
              </w:rPr>
            </w:pPr>
            <w:r>
              <w:rPr>
                <w:rStyle w:val="checkbox"/>
                <w:rFonts w:ascii="Arial" w:hAnsi="Arial" w:cs="Arial"/>
              </w:rPr>
              <w:t>2020</w:t>
            </w:r>
          </w:p>
        </w:tc>
        <w:tc>
          <w:tcPr>
            <w:tcW w:w="6454" w:type="dxa"/>
          </w:tcPr>
          <w:p w14:paraId="2C3451A0" w14:textId="73A112A4" w:rsidR="00446652" w:rsidRDefault="00446652" w:rsidP="00446652">
            <w:pPr>
              <w:pStyle w:val="Tablefont"/>
              <w:numPr>
                <w:ilvl w:val="0"/>
                <w:numId w:val="3"/>
              </w:numPr>
              <w:rPr>
                <w:rFonts w:cs="Arial"/>
              </w:rPr>
            </w:pPr>
            <w:r>
              <w:rPr>
                <w:rFonts w:cs="Arial"/>
              </w:rPr>
              <w:t>Granular casts and hyaline droplets in kidney at 25 ppm reported in sub</w:t>
            </w:r>
            <w:r w:rsidR="00C93AB4">
              <w:rPr>
                <w:rFonts w:cs="Arial"/>
              </w:rPr>
              <w:t>-</w:t>
            </w:r>
            <w:r>
              <w:rPr>
                <w:rFonts w:cs="Arial"/>
              </w:rPr>
              <w:t>chronic inhalation study with dose groups 0, 25, 50, 100, 200 and 400 ppm (rats, 6 h/d, 5 d/wk, 90 d)</w:t>
            </w:r>
            <w:r w:rsidR="00286F37">
              <w:rPr>
                <w:rFonts w:cs="Arial"/>
              </w:rPr>
              <w:t>:</w:t>
            </w:r>
          </w:p>
          <w:p w14:paraId="12FE29A9" w14:textId="1BA3DFB7" w:rsidR="00257803" w:rsidRDefault="00246829" w:rsidP="005E4E69">
            <w:pPr>
              <w:pStyle w:val="Tabletextprimarysource"/>
              <w:numPr>
                <w:ilvl w:val="0"/>
                <w:numId w:val="6"/>
              </w:numPr>
              <w:rPr>
                <w:rFonts w:cs="Arial"/>
              </w:rPr>
            </w:pPr>
            <w:r>
              <w:t>LOAEC of 25 ppm</w:t>
            </w:r>
            <w:r>
              <w:rPr>
                <w:rFonts w:cs="Arial"/>
              </w:rPr>
              <w:t xml:space="preserve"> </w:t>
            </w:r>
            <w:r w:rsidR="00257803">
              <w:rPr>
                <w:rFonts w:cs="Arial"/>
              </w:rPr>
              <w:t>kidney toxicity associated with species-specific metabolism</w:t>
            </w:r>
            <w:r w:rsidR="00F04F9B">
              <w:rPr>
                <w:rFonts w:cs="Arial"/>
              </w:rPr>
              <w:t xml:space="preserve">; </w:t>
            </w:r>
            <w:r w:rsidR="00257803">
              <w:rPr>
                <w:rFonts w:cs="Arial"/>
              </w:rPr>
              <w:t xml:space="preserve">not considered relevant to humans by </w:t>
            </w:r>
            <w:r w:rsidR="00E45474">
              <w:rPr>
                <w:rFonts w:cs="Arial"/>
              </w:rPr>
              <w:t>SCHA</w:t>
            </w:r>
          </w:p>
          <w:p w14:paraId="46B5844B" w14:textId="3ECA33F9" w:rsidR="004966BF" w:rsidRPr="00257803" w:rsidRDefault="00257803" w:rsidP="005E4E69">
            <w:pPr>
              <w:pStyle w:val="Tabletextprimarysource"/>
              <w:numPr>
                <w:ilvl w:val="0"/>
                <w:numId w:val="6"/>
              </w:numPr>
              <w:rPr>
                <w:rStyle w:val="checkbox"/>
                <w:rFonts w:ascii="Arial" w:hAnsi="Arial" w:cs="Arial"/>
              </w:rPr>
            </w:pPr>
            <w:r w:rsidRPr="005E4E69">
              <w:t>NOAEC</w:t>
            </w:r>
            <w:r w:rsidR="00246829">
              <w:rPr>
                <w:rFonts w:cs="Arial"/>
              </w:rPr>
              <w:t xml:space="preserve"> of </w:t>
            </w:r>
            <w:r>
              <w:rPr>
                <w:rFonts w:cs="Arial"/>
              </w:rPr>
              <w:t>200 ppm for decreased b</w:t>
            </w:r>
            <w:r w:rsidR="00286F37">
              <w:rPr>
                <w:rFonts w:cs="Arial"/>
              </w:rPr>
              <w:t xml:space="preserve">ody </w:t>
            </w:r>
            <w:r>
              <w:rPr>
                <w:rFonts w:cs="Arial"/>
              </w:rPr>
              <w:t>w</w:t>
            </w:r>
            <w:r w:rsidR="00286F37">
              <w:rPr>
                <w:rFonts w:cs="Arial"/>
              </w:rPr>
              <w:t>eight</w:t>
            </w:r>
            <w:r>
              <w:rPr>
                <w:rFonts w:cs="Arial"/>
              </w:rPr>
              <w:t xml:space="preserve"> gain considered relevant to human systemic toxicity by </w:t>
            </w:r>
            <w:r w:rsidR="00E45474">
              <w:rPr>
                <w:rFonts w:cs="Arial"/>
              </w:rPr>
              <w:t>ECHA</w:t>
            </w:r>
            <w:r w:rsidR="00F04F9B">
              <w:rPr>
                <w:rFonts w:cs="Arial"/>
              </w:rPr>
              <w:t>.</w:t>
            </w:r>
          </w:p>
        </w:tc>
      </w:tr>
      <w:tr w:rsidR="004966BF" w:rsidRPr="004C23F4" w14:paraId="1EF372A5" w14:textId="77777777" w:rsidTr="005632B9">
        <w:tc>
          <w:tcPr>
            <w:tcW w:w="1489" w:type="dxa"/>
          </w:tcPr>
          <w:p w14:paraId="5237F92A" w14:textId="77777777" w:rsidR="004966BF" w:rsidRDefault="004966BF" w:rsidP="00224EE2">
            <w:pPr>
              <w:pStyle w:val="Tablefont"/>
            </w:pPr>
            <w:r>
              <w:t>US NIOSH</w:t>
            </w:r>
          </w:p>
        </w:tc>
        <w:tc>
          <w:tcPr>
            <w:tcW w:w="422" w:type="dxa"/>
          </w:tcPr>
          <w:p w14:paraId="485E98D3" w14:textId="21C14902" w:rsidR="004966BF" w:rsidRDefault="005632B9"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D12DAC">
                  <w:rPr>
                    <w:rStyle w:val="checkbox"/>
                  </w:rPr>
                  <w:t></w:t>
                </w:r>
              </w:sdtContent>
            </w:sdt>
          </w:p>
        </w:tc>
        <w:tc>
          <w:tcPr>
            <w:tcW w:w="661" w:type="dxa"/>
          </w:tcPr>
          <w:p w14:paraId="7019A4F3" w14:textId="1FC1ABD5" w:rsidR="004966BF" w:rsidRPr="004C23F4" w:rsidRDefault="00D12DAC" w:rsidP="00717D45">
            <w:pPr>
              <w:pStyle w:val="Tablefont"/>
              <w:rPr>
                <w:rStyle w:val="checkbox"/>
                <w:rFonts w:ascii="Arial" w:hAnsi="Arial" w:cs="Arial"/>
              </w:rPr>
            </w:pPr>
            <w:r>
              <w:rPr>
                <w:rStyle w:val="checkbox"/>
                <w:rFonts w:ascii="Arial" w:hAnsi="Arial" w:cs="Arial"/>
              </w:rPr>
              <w:t>1994</w:t>
            </w:r>
          </w:p>
        </w:tc>
        <w:tc>
          <w:tcPr>
            <w:tcW w:w="6454" w:type="dxa"/>
          </w:tcPr>
          <w:p w14:paraId="22D9F75D" w14:textId="05402C53" w:rsidR="004966BF" w:rsidRPr="004C23F4" w:rsidRDefault="00181F35" w:rsidP="00286F37">
            <w:pPr>
              <w:pStyle w:val="Tablefont"/>
              <w:numPr>
                <w:ilvl w:val="0"/>
                <w:numId w:val="8"/>
              </w:numPr>
              <w:rPr>
                <w:rStyle w:val="checkbox"/>
                <w:rFonts w:ascii="Arial" w:hAnsi="Arial" w:cs="Arial"/>
              </w:rPr>
            </w:pPr>
            <w:r w:rsidRPr="00181F35">
              <w:rPr>
                <w:rFonts w:cs="Arial"/>
              </w:rPr>
              <w:t xml:space="preserve">IDLH based on acute toxicity data in humans </w:t>
            </w:r>
            <w:r>
              <w:rPr>
                <w:rFonts w:cs="Arial"/>
              </w:rPr>
              <w:t>and animals; it is also</w:t>
            </w:r>
            <w:r w:rsidRPr="00181F35">
              <w:rPr>
                <w:rFonts w:cs="Arial"/>
              </w:rPr>
              <w:t xml:space="preserve"> 10% of the </w:t>
            </w:r>
            <w:r>
              <w:rPr>
                <w:rFonts w:cs="Arial"/>
              </w:rPr>
              <w:t>LEL</w:t>
            </w:r>
            <w:r w:rsidR="00F04F9B">
              <w:rPr>
                <w:rFonts w:cs="Arial"/>
              </w:rPr>
              <w:t>.</w:t>
            </w:r>
          </w:p>
        </w:tc>
      </w:tr>
    </w:tbl>
    <w:p w14:paraId="7C81DED5" w14:textId="77777777" w:rsidR="007E2A4B" w:rsidRDefault="007E2A4B"/>
    <w:bookmarkEnd w:id="0"/>
    <w:p w14:paraId="1D4E88BE"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2D5AED7A" w14:textId="77777777" w:rsidTr="00181F35">
        <w:trPr>
          <w:trHeight w:val="454"/>
          <w:tblHeader/>
        </w:trPr>
        <w:tc>
          <w:tcPr>
            <w:tcW w:w="6597" w:type="dxa"/>
            <w:vAlign w:val="center"/>
          </w:tcPr>
          <w:p w14:paraId="68E0A222"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0CB8ECA3" w14:textId="02D28572" w:rsidR="002E0D61" w:rsidRDefault="00181F35" w:rsidP="00C3091E">
                <w:pPr>
                  <w:pStyle w:val="Tablefont"/>
                  <w:keepNext/>
                  <w:keepLines/>
                  <w:spacing w:before="40" w:after="40"/>
                </w:pPr>
                <w:r>
                  <w:t>Insufficient data</w:t>
                </w:r>
              </w:p>
            </w:tc>
          </w:sdtContent>
        </w:sdt>
      </w:tr>
      <w:tr w:rsidR="008A36CF" w14:paraId="4A07007A" w14:textId="77777777" w:rsidTr="00181F35">
        <w:trPr>
          <w:trHeight w:val="454"/>
        </w:trPr>
        <w:tc>
          <w:tcPr>
            <w:tcW w:w="6597" w:type="dxa"/>
            <w:vAlign w:val="center"/>
          </w:tcPr>
          <w:p w14:paraId="14552702"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21C6285B" w14:textId="5F1A436F" w:rsidR="008A36CF" w:rsidRDefault="00181F35" w:rsidP="008A36CF">
                <w:pPr>
                  <w:pStyle w:val="Tablefont"/>
                  <w:keepNext/>
                  <w:keepLines/>
                  <w:spacing w:before="40" w:after="40"/>
                </w:pPr>
                <w:r>
                  <w:t>Insufficient data</w:t>
                </w:r>
              </w:p>
            </w:tc>
          </w:sdtContent>
        </w:sdt>
      </w:tr>
      <w:tr w:rsidR="0002067A" w14:paraId="531F8821" w14:textId="77777777" w:rsidTr="0093493E">
        <w:trPr>
          <w:trHeight w:val="454"/>
        </w:trPr>
        <w:sdt>
          <w:sdtPr>
            <w:rPr>
              <w:b/>
            </w:rPr>
            <w:id w:val="1830936485"/>
            <w:placeholder>
              <w:docPart w:val="6A90D01306034B3BBDC53929F9C6AFE6"/>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5F54CBE9" w14:textId="158F73E9" w:rsidR="0002067A" w:rsidRDefault="0002067A" w:rsidP="008A36CF">
                <w:pPr>
                  <w:pStyle w:val="Tablefont"/>
                  <w:keepNext/>
                  <w:keepLines/>
                  <w:spacing w:before="40" w:after="40"/>
                </w:pPr>
                <w:r>
                  <w:rPr>
                    <w:b/>
                  </w:rPr>
                  <w:t>Insufficient data are available to determine if the chemical is a non-threshold based genotoxic carcinogen.</w:t>
                </w:r>
              </w:p>
            </w:tc>
          </w:sdtContent>
        </w:sdt>
      </w:tr>
    </w:tbl>
    <w:bookmarkEnd w:id="1"/>
    <w:p w14:paraId="5D7E2800"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152B84BF" w14:textId="77777777" w:rsidTr="005632B9">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4BD15FBE" w14:textId="77777777" w:rsidR="00687890" w:rsidRPr="004C23F4" w:rsidRDefault="00687890" w:rsidP="00263255">
            <w:pPr>
              <w:pStyle w:val="Tableheader"/>
            </w:pPr>
            <w:bookmarkStart w:id="2" w:name="Notations"/>
            <w:bookmarkStart w:id="3" w:name="_GoBack" w:colFirst="0" w:colLast="2"/>
            <w:r w:rsidRPr="004C23F4">
              <w:t>Source</w:t>
            </w:r>
          </w:p>
        </w:tc>
        <w:tc>
          <w:tcPr>
            <w:tcW w:w="6015" w:type="dxa"/>
            <w:shd w:val="clear" w:color="auto" w:fill="BFBFBF" w:themeFill="background1" w:themeFillShade="BF"/>
            <w:vAlign w:val="center"/>
          </w:tcPr>
          <w:p w14:paraId="3A52CA66" w14:textId="77777777" w:rsidR="00687890" w:rsidRPr="004C23F4" w:rsidRDefault="00687890" w:rsidP="00F4402E">
            <w:pPr>
              <w:pStyle w:val="Tableheader"/>
              <w:tabs>
                <w:tab w:val="right" w:pos="5272"/>
              </w:tabs>
            </w:pPr>
            <w:r w:rsidRPr="004C23F4">
              <w:t>Notations</w:t>
            </w:r>
            <w:r w:rsidR="003A2B94">
              <w:tab/>
            </w:r>
          </w:p>
        </w:tc>
      </w:tr>
      <w:bookmarkEnd w:id="3"/>
      <w:tr w:rsidR="00687890" w:rsidRPr="004C23F4" w14:paraId="7E001BAA" w14:textId="77777777" w:rsidTr="005632B9">
        <w:trPr>
          <w:cantSplit/>
        </w:trPr>
        <w:tc>
          <w:tcPr>
            <w:tcW w:w="3227" w:type="dxa"/>
          </w:tcPr>
          <w:p w14:paraId="4190571F" w14:textId="77777777" w:rsidR="004079B4" w:rsidRPr="004C23F4" w:rsidRDefault="00084513" w:rsidP="00F4402E">
            <w:pPr>
              <w:pStyle w:val="Tablefont"/>
            </w:pPr>
            <w:r w:rsidRPr="004C23F4">
              <w:t>SWA</w:t>
            </w:r>
          </w:p>
        </w:tc>
        <w:tc>
          <w:tcPr>
            <w:tcW w:w="6015" w:type="dxa"/>
          </w:tcPr>
          <w:p w14:paraId="596B21E4" w14:textId="77777777" w:rsidR="00687890" w:rsidRPr="00DD2F9B" w:rsidRDefault="003B7D5C" w:rsidP="00DD2F9B">
            <w:pPr>
              <w:pStyle w:val="Tablefont"/>
            </w:pPr>
            <w:r w:rsidRPr="003B7D5C">
              <w:t>Sen</w:t>
            </w:r>
          </w:p>
        </w:tc>
      </w:tr>
      <w:tr w:rsidR="007925F0" w:rsidRPr="004C23F4" w14:paraId="29DF722C" w14:textId="77777777" w:rsidTr="005632B9">
        <w:trPr>
          <w:cantSplit/>
        </w:trPr>
        <w:tc>
          <w:tcPr>
            <w:tcW w:w="3227" w:type="dxa"/>
          </w:tcPr>
          <w:p w14:paraId="653241EA" w14:textId="77777777" w:rsidR="004079B4" w:rsidRPr="004C23F4" w:rsidRDefault="007925F0" w:rsidP="00F4402E">
            <w:pPr>
              <w:pStyle w:val="Tablefont"/>
            </w:pPr>
            <w:r>
              <w:t>HCIS</w:t>
            </w:r>
          </w:p>
        </w:tc>
        <w:tc>
          <w:tcPr>
            <w:tcW w:w="6015" w:type="dxa"/>
          </w:tcPr>
          <w:p w14:paraId="5417A345" w14:textId="77777777" w:rsidR="007925F0" w:rsidRPr="00DD2F9B" w:rsidRDefault="00450FF8" w:rsidP="00DD2F9B">
            <w:pPr>
              <w:pStyle w:val="Tablefont"/>
            </w:pPr>
            <w:r w:rsidRPr="00450FF8">
              <w:t>Skin sensitisation – category 1</w:t>
            </w:r>
          </w:p>
        </w:tc>
      </w:tr>
      <w:tr w:rsidR="00AF483F" w:rsidRPr="004C23F4" w14:paraId="78C66F0F" w14:textId="77777777" w:rsidTr="005632B9">
        <w:trPr>
          <w:cantSplit/>
        </w:trPr>
        <w:tc>
          <w:tcPr>
            <w:tcW w:w="3227" w:type="dxa"/>
          </w:tcPr>
          <w:p w14:paraId="7C2BCF3B" w14:textId="77777777" w:rsidR="00AF483F" w:rsidRPr="004C23F4" w:rsidRDefault="00AF483F" w:rsidP="00F4402E">
            <w:pPr>
              <w:pStyle w:val="Tablefont"/>
            </w:pPr>
            <w:r>
              <w:t>NICNAS</w:t>
            </w:r>
          </w:p>
        </w:tc>
        <w:tc>
          <w:tcPr>
            <w:tcW w:w="6015" w:type="dxa"/>
          </w:tcPr>
          <w:p w14:paraId="37BA150D" w14:textId="4681682E" w:rsidR="00AF483F" w:rsidRPr="00946E08" w:rsidRDefault="00D12DAC" w:rsidP="00DD2F9B">
            <w:pPr>
              <w:pStyle w:val="Tablefont"/>
              <w:rPr>
                <w:highlight w:val="yellow"/>
              </w:rPr>
            </w:pPr>
            <w:r w:rsidRPr="00D12DAC">
              <w:t>—</w:t>
            </w:r>
          </w:p>
        </w:tc>
      </w:tr>
      <w:tr w:rsidR="00687890" w:rsidRPr="004C23F4" w14:paraId="0751E34A" w14:textId="77777777" w:rsidTr="005632B9">
        <w:trPr>
          <w:cantSplit/>
        </w:trPr>
        <w:tc>
          <w:tcPr>
            <w:tcW w:w="3227" w:type="dxa"/>
          </w:tcPr>
          <w:p w14:paraId="6F9F7C65" w14:textId="77777777" w:rsidR="004079B4" w:rsidRPr="004C23F4" w:rsidRDefault="00687890" w:rsidP="00F4402E">
            <w:pPr>
              <w:pStyle w:val="Tablefont"/>
            </w:pPr>
            <w:r w:rsidRPr="004C23F4">
              <w:t>EU Annex</w:t>
            </w:r>
          </w:p>
        </w:tc>
        <w:tc>
          <w:tcPr>
            <w:tcW w:w="6015" w:type="dxa"/>
          </w:tcPr>
          <w:p w14:paraId="547428E6" w14:textId="0F40C178" w:rsidR="00687890" w:rsidRPr="00DD2F9B" w:rsidRDefault="00A421AA" w:rsidP="00DD2F9B">
            <w:pPr>
              <w:pStyle w:val="Tablefont"/>
            </w:pPr>
            <w:r w:rsidRPr="00A421AA">
              <w:t>Skin sensitisation – category 1</w:t>
            </w:r>
          </w:p>
        </w:tc>
      </w:tr>
      <w:tr w:rsidR="00E41A26" w:rsidRPr="004C23F4" w14:paraId="0A35BD6B" w14:textId="77777777" w:rsidTr="005632B9">
        <w:trPr>
          <w:cantSplit/>
        </w:trPr>
        <w:tc>
          <w:tcPr>
            <w:tcW w:w="3227" w:type="dxa"/>
          </w:tcPr>
          <w:p w14:paraId="6B89384A" w14:textId="77777777" w:rsidR="00E41A26" w:rsidRDefault="00E41A26" w:rsidP="00F4402E">
            <w:pPr>
              <w:pStyle w:val="Tablefont"/>
            </w:pPr>
            <w:r>
              <w:t>ECHA</w:t>
            </w:r>
          </w:p>
        </w:tc>
        <w:tc>
          <w:tcPr>
            <w:tcW w:w="6015" w:type="dxa"/>
          </w:tcPr>
          <w:p w14:paraId="0A4167BF" w14:textId="64E82B7A" w:rsidR="00E41A26" w:rsidRPr="00DD2F9B" w:rsidRDefault="00A421AA" w:rsidP="00DD2F9B">
            <w:pPr>
              <w:pStyle w:val="Tablefont"/>
            </w:pPr>
            <w:r>
              <w:t>NA</w:t>
            </w:r>
          </w:p>
        </w:tc>
      </w:tr>
      <w:tr w:rsidR="002E0D61" w:rsidRPr="004C23F4" w14:paraId="4AEBB7B3" w14:textId="77777777" w:rsidTr="005632B9">
        <w:trPr>
          <w:cantSplit/>
        </w:trPr>
        <w:tc>
          <w:tcPr>
            <w:tcW w:w="3227" w:type="dxa"/>
          </w:tcPr>
          <w:p w14:paraId="4AB059BC" w14:textId="77777777" w:rsidR="004079B4" w:rsidRPr="004C23F4" w:rsidRDefault="002E0D61" w:rsidP="00F4402E">
            <w:pPr>
              <w:pStyle w:val="Tablefont"/>
            </w:pPr>
            <w:r>
              <w:t>ACGIH</w:t>
            </w:r>
          </w:p>
        </w:tc>
        <w:tc>
          <w:tcPr>
            <w:tcW w:w="6015" w:type="dxa"/>
          </w:tcPr>
          <w:p w14:paraId="6A6F4D0C" w14:textId="77777777" w:rsidR="002E0D61" w:rsidRPr="00DD2F9B" w:rsidRDefault="00942A3C" w:rsidP="00DD2F9B">
            <w:pPr>
              <w:pStyle w:val="Tablefont"/>
            </w:pPr>
            <w:r w:rsidRPr="00942A3C">
              <w:t>Carcinogenicity – A4</w:t>
            </w:r>
            <w:r>
              <w:t>, DSEN</w:t>
            </w:r>
          </w:p>
        </w:tc>
      </w:tr>
      <w:tr w:rsidR="002E0D61" w:rsidRPr="004C23F4" w14:paraId="32AAA1E7" w14:textId="77777777" w:rsidTr="005632B9">
        <w:trPr>
          <w:cantSplit/>
        </w:trPr>
        <w:tc>
          <w:tcPr>
            <w:tcW w:w="3227" w:type="dxa"/>
          </w:tcPr>
          <w:p w14:paraId="4FF32EE9" w14:textId="77777777" w:rsidR="004079B4" w:rsidRPr="004C23F4" w:rsidRDefault="002E0D61" w:rsidP="00F4402E">
            <w:pPr>
              <w:pStyle w:val="Tablefont"/>
            </w:pPr>
            <w:r>
              <w:t>DFG</w:t>
            </w:r>
          </w:p>
        </w:tc>
        <w:tc>
          <w:tcPr>
            <w:tcW w:w="6015" w:type="dxa"/>
          </w:tcPr>
          <w:p w14:paraId="3F5B752A" w14:textId="77777777" w:rsidR="002E0D61" w:rsidRPr="00DD2F9B" w:rsidRDefault="00F763E0" w:rsidP="00F763E0">
            <w:r>
              <w:t xml:space="preserve">Carcinogenicity – 3A, </w:t>
            </w:r>
            <w:proofErr w:type="spellStart"/>
            <w:r>
              <w:t>Sh</w:t>
            </w:r>
            <w:proofErr w:type="spellEnd"/>
            <w:r>
              <w:t xml:space="preserve"> (dermal sensitiser)</w:t>
            </w:r>
          </w:p>
        </w:tc>
      </w:tr>
      <w:tr w:rsidR="002E0D61" w:rsidRPr="004C23F4" w14:paraId="7F2F76BB" w14:textId="77777777" w:rsidTr="005632B9">
        <w:trPr>
          <w:cantSplit/>
        </w:trPr>
        <w:tc>
          <w:tcPr>
            <w:tcW w:w="3227" w:type="dxa"/>
          </w:tcPr>
          <w:p w14:paraId="5711E5FF" w14:textId="77777777" w:rsidR="004079B4" w:rsidRPr="004C23F4" w:rsidRDefault="002E0D61" w:rsidP="00F4402E">
            <w:pPr>
              <w:pStyle w:val="Tablefont"/>
            </w:pPr>
            <w:r>
              <w:t>SCOEL</w:t>
            </w:r>
          </w:p>
        </w:tc>
        <w:tc>
          <w:tcPr>
            <w:tcW w:w="6015" w:type="dxa"/>
          </w:tcPr>
          <w:p w14:paraId="64B141A0" w14:textId="77777777" w:rsidR="002E0D61" w:rsidRPr="00DD2F9B" w:rsidRDefault="00532F15" w:rsidP="00DD2F9B">
            <w:pPr>
              <w:pStyle w:val="Tablefont"/>
            </w:pPr>
            <w:r>
              <w:t>NA</w:t>
            </w:r>
          </w:p>
        </w:tc>
      </w:tr>
      <w:tr w:rsidR="002E0D61" w:rsidRPr="004C23F4" w14:paraId="0FE767E9" w14:textId="77777777" w:rsidTr="005632B9">
        <w:trPr>
          <w:cantSplit/>
        </w:trPr>
        <w:tc>
          <w:tcPr>
            <w:tcW w:w="3227" w:type="dxa"/>
          </w:tcPr>
          <w:p w14:paraId="5AEADB71" w14:textId="77777777" w:rsidR="004079B4" w:rsidRDefault="002E0D61" w:rsidP="00F4402E">
            <w:pPr>
              <w:pStyle w:val="Tablefont"/>
            </w:pPr>
            <w:r>
              <w:t>HCOTN</w:t>
            </w:r>
          </w:p>
        </w:tc>
        <w:tc>
          <w:tcPr>
            <w:tcW w:w="6015" w:type="dxa"/>
          </w:tcPr>
          <w:p w14:paraId="7EF17376" w14:textId="77777777" w:rsidR="002E0D61" w:rsidRPr="00DD2F9B" w:rsidRDefault="00532F15" w:rsidP="00DD2F9B">
            <w:pPr>
              <w:pStyle w:val="Tablefont"/>
            </w:pPr>
            <w:r>
              <w:t>NA</w:t>
            </w:r>
          </w:p>
        </w:tc>
      </w:tr>
      <w:tr w:rsidR="00386093" w:rsidRPr="004C23F4" w14:paraId="0FFC376A" w14:textId="77777777" w:rsidTr="005632B9">
        <w:trPr>
          <w:cantSplit/>
        </w:trPr>
        <w:tc>
          <w:tcPr>
            <w:tcW w:w="3227" w:type="dxa"/>
          </w:tcPr>
          <w:p w14:paraId="3B8A1ACE" w14:textId="77777777" w:rsidR="004079B4" w:rsidRDefault="00386093" w:rsidP="00F4402E">
            <w:pPr>
              <w:pStyle w:val="Tablefont"/>
            </w:pPr>
            <w:r>
              <w:t>IARC</w:t>
            </w:r>
          </w:p>
        </w:tc>
        <w:tc>
          <w:tcPr>
            <w:tcW w:w="6015" w:type="dxa"/>
          </w:tcPr>
          <w:p w14:paraId="3C331D6A" w14:textId="77F91496" w:rsidR="00386093" w:rsidRPr="00DD2F9B" w:rsidRDefault="000C331E" w:rsidP="00DD2F9B">
            <w:pPr>
              <w:pStyle w:val="Tablefont"/>
            </w:pPr>
            <w:r>
              <w:t>NA</w:t>
            </w:r>
          </w:p>
        </w:tc>
      </w:tr>
      <w:tr w:rsidR="00386093" w:rsidRPr="004C23F4" w14:paraId="2B30D8A0" w14:textId="77777777" w:rsidTr="005632B9">
        <w:trPr>
          <w:cantSplit/>
        </w:trPr>
        <w:tc>
          <w:tcPr>
            <w:tcW w:w="3227" w:type="dxa"/>
          </w:tcPr>
          <w:p w14:paraId="59E6910F" w14:textId="77777777" w:rsidR="004079B4" w:rsidRDefault="00386093" w:rsidP="00F4402E">
            <w:pPr>
              <w:pStyle w:val="Tablefont"/>
              <w:keepNext/>
            </w:pPr>
            <w:r>
              <w:t>US NIOSH</w:t>
            </w:r>
          </w:p>
        </w:tc>
        <w:tc>
          <w:tcPr>
            <w:tcW w:w="6015" w:type="dxa"/>
          </w:tcPr>
          <w:p w14:paraId="7D57C516" w14:textId="261C8BB3" w:rsidR="00386093" w:rsidRPr="00DD2F9B" w:rsidRDefault="000C331E" w:rsidP="000C331E">
            <w:pPr>
              <w:pStyle w:val="Tablefont"/>
              <w:keepNext/>
            </w:pPr>
            <w:r>
              <w:t>NA</w:t>
            </w:r>
          </w:p>
        </w:tc>
      </w:tr>
    </w:tbl>
    <w:bookmarkEnd w:id="2"/>
    <w:p w14:paraId="0BF340E1"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0E0CA78C" w14:textId="77777777" w:rsidR="00474E33" w:rsidRDefault="00474E33" w:rsidP="00474E33">
      <w:pPr>
        <w:pStyle w:val="Heading3"/>
      </w:pPr>
      <w:r>
        <w:lastRenderedPageBreak/>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6DBD516A" w14:textId="77777777" w:rsidTr="00EA6243">
        <w:trPr>
          <w:cantSplit/>
          <w:tblHeader/>
        </w:trPr>
        <w:tc>
          <w:tcPr>
            <w:tcW w:w="5000" w:type="pct"/>
            <w:shd w:val="clear" w:color="auto" w:fill="BFBFBF" w:themeFill="background1" w:themeFillShade="BF"/>
            <w:vAlign w:val="center"/>
          </w:tcPr>
          <w:p w14:paraId="168454FE"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1725FE99" w14:textId="77777777" w:rsidTr="00EA6243">
        <w:trPr>
          <w:cantSplit/>
          <w:tblHeader/>
        </w:trPr>
        <w:tc>
          <w:tcPr>
            <w:tcW w:w="5000" w:type="pct"/>
            <w:vAlign w:val="center"/>
          </w:tcPr>
          <w:tbl>
            <w:tblPr>
              <w:tblW w:w="9503" w:type="dxa"/>
              <w:tblLook w:val="04A0" w:firstRow="1" w:lastRow="0" w:firstColumn="1" w:lastColumn="0" w:noHBand="0" w:noVBand="1"/>
            </w:tblPr>
            <w:tblGrid>
              <w:gridCol w:w="3816"/>
              <w:gridCol w:w="1136"/>
              <w:gridCol w:w="1136"/>
              <w:gridCol w:w="2722"/>
            </w:tblGrid>
            <w:tr w:rsidR="00D12DAC" w:rsidRPr="00D12DAC" w14:paraId="28087790" w14:textId="77777777" w:rsidTr="00D12DAC">
              <w:trPr>
                <w:trHeight w:val="231"/>
              </w:trPr>
              <w:tc>
                <w:tcPr>
                  <w:tcW w:w="4130" w:type="dxa"/>
                  <w:tcBorders>
                    <w:top w:val="nil"/>
                    <w:left w:val="nil"/>
                    <w:bottom w:val="nil"/>
                    <w:right w:val="nil"/>
                  </w:tcBorders>
                  <w:shd w:val="clear" w:color="000000" w:fill="C5D9F1"/>
                  <w:noWrap/>
                  <w:vAlign w:val="center"/>
                  <w:hideMark/>
                </w:tcPr>
                <w:p w14:paraId="7F27D7BC"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Adverse effects in human case study:</w:t>
                  </w:r>
                </w:p>
              </w:tc>
              <w:tc>
                <w:tcPr>
                  <w:tcW w:w="1216" w:type="dxa"/>
                  <w:tcBorders>
                    <w:top w:val="nil"/>
                    <w:left w:val="nil"/>
                    <w:bottom w:val="nil"/>
                    <w:right w:val="nil"/>
                  </w:tcBorders>
                  <w:shd w:val="clear" w:color="000000" w:fill="FFEB9C"/>
                  <w:noWrap/>
                  <w:vAlign w:val="center"/>
                  <w:hideMark/>
                </w:tcPr>
                <w:p w14:paraId="368C4C25" w14:textId="77777777" w:rsidR="00D12DAC" w:rsidRPr="00D12DAC" w:rsidRDefault="00D12DAC" w:rsidP="00D12DAC">
                  <w:pPr>
                    <w:spacing w:after="0" w:line="240" w:lineRule="auto"/>
                    <w:jc w:val="center"/>
                    <w:rPr>
                      <w:rFonts w:ascii="Segoe UI" w:eastAsia="Times New Roman" w:hAnsi="Segoe UI" w:cs="Segoe UI"/>
                      <w:color w:val="9C6500"/>
                      <w:sz w:val="18"/>
                      <w:szCs w:val="18"/>
                      <w:lang w:eastAsia="en-AU"/>
                    </w:rPr>
                  </w:pPr>
                  <w:r w:rsidRPr="00D12DAC">
                    <w:rPr>
                      <w:rFonts w:ascii="Segoe UI" w:eastAsia="Times New Roman" w:hAnsi="Segoe UI" w:cs="Segoe UI"/>
                      <w:color w:val="9C6500"/>
                      <w:sz w:val="18"/>
                      <w:szCs w:val="18"/>
                      <w:lang w:eastAsia="en-AU"/>
                    </w:rPr>
                    <w:t>yes</w:t>
                  </w:r>
                </w:p>
              </w:tc>
              <w:tc>
                <w:tcPr>
                  <w:tcW w:w="1216" w:type="dxa"/>
                  <w:tcBorders>
                    <w:top w:val="nil"/>
                    <w:left w:val="nil"/>
                    <w:bottom w:val="nil"/>
                    <w:right w:val="nil"/>
                  </w:tcBorders>
                  <w:shd w:val="clear" w:color="000000" w:fill="C5D9F1"/>
                  <w:noWrap/>
                  <w:vAlign w:val="center"/>
                  <w:hideMark/>
                </w:tcPr>
                <w:p w14:paraId="3F52033B" w14:textId="77777777" w:rsidR="00D12DAC" w:rsidRPr="00D12DAC" w:rsidRDefault="00D12DAC" w:rsidP="00D12DAC">
                  <w:pPr>
                    <w:spacing w:after="0" w:line="240" w:lineRule="auto"/>
                    <w:jc w:val="right"/>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4.00</w:t>
                  </w:r>
                </w:p>
              </w:tc>
              <w:tc>
                <w:tcPr>
                  <w:tcW w:w="2941" w:type="dxa"/>
                  <w:tcBorders>
                    <w:top w:val="nil"/>
                    <w:left w:val="nil"/>
                    <w:bottom w:val="nil"/>
                    <w:right w:val="nil"/>
                  </w:tcBorders>
                  <w:shd w:val="clear" w:color="000000" w:fill="C5D9F1"/>
                  <w:noWrap/>
                  <w:vAlign w:val="center"/>
                  <w:hideMark/>
                </w:tcPr>
                <w:p w14:paraId="4852B577"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25A71051" w14:textId="77777777" w:rsidTr="00D12DAC">
              <w:trPr>
                <w:trHeight w:val="231"/>
              </w:trPr>
              <w:tc>
                <w:tcPr>
                  <w:tcW w:w="4130" w:type="dxa"/>
                  <w:tcBorders>
                    <w:top w:val="nil"/>
                    <w:left w:val="nil"/>
                    <w:bottom w:val="nil"/>
                    <w:right w:val="nil"/>
                  </w:tcBorders>
                  <w:shd w:val="clear" w:color="000000" w:fill="C5D9F1"/>
                  <w:noWrap/>
                  <w:vAlign w:val="center"/>
                  <w:hideMark/>
                </w:tcPr>
                <w:p w14:paraId="67DFA747"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Dermal LD</w:t>
                  </w:r>
                  <w:r w:rsidRPr="00D12DAC">
                    <w:rPr>
                      <w:rFonts w:ascii="Segoe UI" w:eastAsia="Times New Roman" w:hAnsi="Segoe UI" w:cs="Segoe UI"/>
                      <w:color w:val="000000"/>
                      <w:sz w:val="18"/>
                      <w:szCs w:val="18"/>
                      <w:vertAlign w:val="subscript"/>
                      <w:lang w:eastAsia="en-AU"/>
                    </w:rPr>
                    <w:t>50</w:t>
                  </w:r>
                  <w:r w:rsidRPr="00D12DAC">
                    <w:rPr>
                      <w:rFonts w:ascii="Segoe UI" w:eastAsia="Times New Roman" w:hAnsi="Segoe UI" w:cs="Segoe UI"/>
                      <w:color w:val="000000"/>
                      <w:sz w:val="18"/>
                      <w:szCs w:val="18"/>
                      <w:lang w:eastAsia="en-AU"/>
                    </w:rPr>
                    <w:t xml:space="preserve"> ≤1000 mg/kg:</w:t>
                  </w:r>
                </w:p>
              </w:tc>
              <w:tc>
                <w:tcPr>
                  <w:tcW w:w="1216" w:type="dxa"/>
                  <w:tcBorders>
                    <w:top w:val="nil"/>
                    <w:left w:val="nil"/>
                    <w:bottom w:val="nil"/>
                    <w:right w:val="nil"/>
                  </w:tcBorders>
                  <w:shd w:val="clear" w:color="000000" w:fill="C5D9F1"/>
                  <w:noWrap/>
                  <w:vAlign w:val="center"/>
                  <w:hideMark/>
                </w:tcPr>
                <w:p w14:paraId="0A213214"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no</w:t>
                  </w:r>
                </w:p>
              </w:tc>
              <w:tc>
                <w:tcPr>
                  <w:tcW w:w="1216" w:type="dxa"/>
                  <w:tcBorders>
                    <w:top w:val="nil"/>
                    <w:left w:val="nil"/>
                    <w:bottom w:val="nil"/>
                    <w:right w:val="nil"/>
                  </w:tcBorders>
                  <w:shd w:val="clear" w:color="000000" w:fill="C5D9F1"/>
                  <w:noWrap/>
                  <w:vAlign w:val="center"/>
                  <w:hideMark/>
                </w:tcPr>
                <w:p w14:paraId="368AD03B"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06632C4C"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033BFCB5" w14:textId="77777777" w:rsidTr="00D12DAC">
              <w:trPr>
                <w:trHeight w:val="231"/>
              </w:trPr>
              <w:tc>
                <w:tcPr>
                  <w:tcW w:w="4130" w:type="dxa"/>
                  <w:tcBorders>
                    <w:top w:val="nil"/>
                    <w:left w:val="nil"/>
                    <w:bottom w:val="nil"/>
                    <w:right w:val="nil"/>
                  </w:tcBorders>
                  <w:shd w:val="clear" w:color="000000" w:fill="C5D9F1"/>
                  <w:noWrap/>
                  <w:vAlign w:val="center"/>
                  <w:hideMark/>
                </w:tcPr>
                <w:p w14:paraId="1529A974"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Dermal repeat-dose NOAEL ≤200 mg/kg:</w:t>
                  </w:r>
                </w:p>
              </w:tc>
              <w:tc>
                <w:tcPr>
                  <w:tcW w:w="1216" w:type="dxa"/>
                  <w:tcBorders>
                    <w:top w:val="nil"/>
                    <w:left w:val="nil"/>
                    <w:bottom w:val="nil"/>
                    <w:right w:val="nil"/>
                  </w:tcBorders>
                  <w:shd w:val="clear" w:color="000000" w:fill="C5D9F1"/>
                  <w:noWrap/>
                  <w:vAlign w:val="center"/>
                  <w:hideMark/>
                </w:tcPr>
                <w:p w14:paraId="7A567931"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62743387"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1EE99D15"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0371E03A" w14:textId="77777777" w:rsidTr="00D12DAC">
              <w:trPr>
                <w:trHeight w:val="231"/>
              </w:trPr>
              <w:tc>
                <w:tcPr>
                  <w:tcW w:w="4130" w:type="dxa"/>
                  <w:tcBorders>
                    <w:top w:val="nil"/>
                    <w:left w:val="nil"/>
                    <w:bottom w:val="nil"/>
                    <w:right w:val="nil"/>
                  </w:tcBorders>
                  <w:shd w:val="clear" w:color="000000" w:fill="C5D9F1"/>
                  <w:noWrap/>
                  <w:vAlign w:val="center"/>
                  <w:hideMark/>
                </w:tcPr>
                <w:p w14:paraId="2F5A6992"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Dermal LD</w:t>
                  </w:r>
                  <w:r w:rsidRPr="00D12DAC">
                    <w:rPr>
                      <w:rFonts w:ascii="Segoe UI" w:eastAsia="Times New Roman" w:hAnsi="Segoe UI" w:cs="Segoe UI"/>
                      <w:color w:val="000000"/>
                      <w:sz w:val="18"/>
                      <w:szCs w:val="18"/>
                      <w:vertAlign w:val="subscript"/>
                      <w:lang w:eastAsia="en-AU"/>
                    </w:rPr>
                    <w:t>50</w:t>
                  </w:r>
                  <w:r w:rsidRPr="00D12DAC">
                    <w:rPr>
                      <w:rFonts w:ascii="Segoe UI" w:eastAsia="Times New Roman" w:hAnsi="Segoe UI" w:cs="Segoe UI"/>
                      <w:color w:val="000000"/>
                      <w:sz w:val="18"/>
                      <w:szCs w:val="18"/>
                      <w:lang w:eastAsia="en-AU"/>
                    </w:rPr>
                    <w:t>/Inhalation LD</w:t>
                  </w:r>
                  <w:r w:rsidRPr="00D12DAC">
                    <w:rPr>
                      <w:rFonts w:ascii="Segoe UI" w:eastAsia="Times New Roman" w:hAnsi="Segoe UI" w:cs="Segoe UI"/>
                      <w:color w:val="000000"/>
                      <w:sz w:val="18"/>
                      <w:szCs w:val="18"/>
                      <w:vertAlign w:val="subscript"/>
                      <w:lang w:eastAsia="en-AU"/>
                    </w:rPr>
                    <w:t>50</w:t>
                  </w:r>
                  <w:r w:rsidRPr="00D12DAC">
                    <w:rPr>
                      <w:rFonts w:ascii="Segoe UI" w:eastAsia="Times New Roman" w:hAnsi="Segoe UI" w:cs="Segoe UI"/>
                      <w:color w:val="000000"/>
                      <w:sz w:val="18"/>
                      <w:szCs w:val="18"/>
                      <w:lang w:eastAsia="en-AU"/>
                    </w:rPr>
                    <w:t xml:space="preserve"> &lt;10:</w:t>
                  </w:r>
                </w:p>
              </w:tc>
              <w:tc>
                <w:tcPr>
                  <w:tcW w:w="1216" w:type="dxa"/>
                  <w:tcBorders>
                    <w:top w:val="nil"/>
                    <w:left w:val="nil"/>
                    <w:bottom w:val="nil"/>
                    <w:right w:val="nil"/>
                  </w:tcBorders>
                  <w:shd w:val="clear" w:color="000000" w:fill="C5D9F1"/>
                  <w:noWrap/>
                  <w:vAlign w:val="center"/>
                  <w:hideMark/>
                </w:tcPr>
                <w:p w14:paraId="3A90DA43"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62120D1C"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698DE407"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74DB8C8F" w14:textId="77777777" w:rsidTr="00D12DAC">
              <w:trPr>
                <w:trHeight w:val="231"/>
              </w:trPr>
              <w:tc>
                <w:tcPr>
                  <w:tcW w:w="4130" w:type="dxa"/>
                  <w:tcBorders>
                    <w:top w:val="nil"/>
                    <w:left w:val="nil"/>
                    <w:bottom w:val="nil"/>
                    <w:right w:val="nil"/>
                  </w:tcBorders>
                  <w:shd w:val="clear" w:color="000000" w:fill="C5D9F1"/>
                  <w:noWrap/>
                  <w:vAlign w:val="center"/>
                  <w:hideMark/>
                </w:tcPr>
                <w:p w14:paraId="42B3B1F7" w14:textId="77777777" w:rsidR="00D12DAC" w:rsidRPr="00D12DAC" w:rsidRDefault="00D12DAC" w:rsidP="00D12DAC">
                  <w:pPr>
                    <w:spacing w:after="0" w:line="240" w:lineRule="auto"/>
                    <w:jc w:val="right"/>
                    <w:rPr>
                      <w:rFonts w:ascii="Segoe UI" w:eastAsia="Times New Roman" w:hAnsi="Segoe UI" w:cs="Segoe UI"/>
                      <w:i/>
                      <w:iCs/>
                      <w:color w:val="000000"/>
                      <w:sz w:val="18"/>
                      <w:szCs w:val="18"/>
                      <w:lang w:eastAsia="en-AU"/>
                    </w:rPr>
                  </w:pPr>
                  <w:r w:rsidRPr="00D12DAC">
                    <w:rPr>
                      <w:rFonts w:ascii="Segoe UI" w:eastAsia="Times New Roman" w:hAnsi="Segoe UI" w:cs="Segoe UI"/>
                      <w:i/>
                      <w:iCs/>
                      <w:color w:val="000000"/>
                      <w:sz w:val="18"/>
                      <w:szCs w:val="18"/>
                      <w:lang w:eastAsia="en-AU"/>
                    </w:rPr>
                    <w:t>In vivo</w:t>
                  </w:r>
                  <w:r w:rsidRPr="00D12DAC">
                    <w:rPr>
                      <w:rFonts w:ascii="Segoe UI" w:eastAsia="Times New Roman" w:hAnsi="Segoe UI" w:cs="Segoe UI"/>
                      <w:color w:val="000000"/>
                      <w:sz w:val="18"/>
                      <w:szCs w:val="18"/>
                      <w:lang w:eastAsia="en-AU"/>
                    </w:rPr>
                    <w:t xml:space="preserve"> dermal absorption rate &gt;10%:</w:t>
                  </w:r>
                </w:p>
              </w:tc>
              <w:tc>
                <w:tcPr>
                  <w:tcW w:w="1216" w:type="dxa"/>
                  <w:tcBorders>
                    <w:top w:val="nil"/>
                    <w:left w:val="nil"/>
                    <w:bottom w:val="nil"/>
                    <w:right w:val="nil"/>
                  </w:tcBorders>
                  <w:shd w:val="clear" w:color="000000" w:fill="C5D9F1"/>
                  <w:noWrap/>
                  <w:vAlign w:val="center"/>
                  <w:hideMark/>
                </w:tcPr>
                <w:p w14:paraId="02BF209C"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7952A5E8"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72B3C00C"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6BA3FDE3" w14:textId="77777777" w:rsidTr="00D12DAC">
              <w:trPr>
                <w:trHeight w:val="231"/>
              </w:trPr>
              <w:tc>
                <w:tcPr>
                  <w:tcW w:w="4130" w:type="dxa"/>
                  <w:tcBorders>
                    <w:top w:val="nil"/>
                    <w:left w:val="nil"/>
                    <w:bottom w:val="nil"/>
                    <w:right w:val="nil"/>
                  </w:tcBorders>
                  <w:shd w:val="clear" w:color="000000" w:fill="C5D9F1"/>
                  <w:noWrap/>
                  <w:vAlign w:val="center"/>
                  <w:hideMark/>
                </w:tcPr>
                <w:p w14:paraId="25AC4210"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Estimated dermal exposure at WES &gt;10%:</w:t>
                  </w:r>
                </w:p>
              </w:tc>
              <w:tc>
                <w:tcPr>
                  <w:tcW w:w="1216" w:type="dxa"/>
                  <w:tcBorders>
                    <w:top w:val="nil"/>
                    <w:left w:val="nil"/>
                    <w:bottom w:val="nil"/>
                    <w:right w:val="nil"/>
                  </w:tcBorders>
                  <w:shd w:val="clear" w:color="000000" w:fill="C5D9F1"/>
                  <w:noWrap/>
                  <w:vAlign w:val="center"/>
                  <w:hideMark/>
                </w:tcPr>
                <w:p w14:paraId="5C6F19E1"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2D40C42D"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28B2BA5B" w14:textId="77777777" w:rsidR="00D12DAC" w:rsidRPr="00D12DAC" w:rsidRDefault="00D12DAC" w:rsidP="00D12DAC">
                  <w:pPr>
                    <w:spacing w:after="0" w:line="240" w:lineRule="auto"/>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r>
            <w:tr w:rsidR="00D12DAC" w:rsidRPr="00D12DAC" w14:paraId="5621A460" w14:textId="77777777" w:rsidTr="00D12DAC">
              <w:trPr>
                <w:trHeight w:val="231"/>
              </w:trPr>
              <w:tc>
                <w:tcPr>
                  <w:tcW w:w="4130" w:type="dxa"/>
                  <w:tcBorders>
                    <w:top w:val="nil"/>
                    <w:left w:val="nil"/>
                    <w:bottom w:val="nil"/>
                    <w:right w:val="nil"/>
                  </w:tcBorders>
                  <w:shd w:val="clear" w:color="000000" w:fill="C5D9F1"/>
                  <w:noWrap/>
                  <w:vAlign w:val="center"/>
                  <w:hideMark/>
                </w:tcPr>
                <w:p w14:paraId="0D4FDC96" w14:textId="77777777" w:rsidR="00D12DAC" w:rsidRPr="00D12DAC" w:rsidRDefault="00D12DAC" w:rsidP="00D12DAC">
                  <w:pPr>
                    <w:spacing w:after="0" w:line="240" w:lineRule="auto"/>
                    <w:jc w:val="right"/>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4BCE285B" w14:textId="77777777" w:rsidR="00D12DAC" w:rsidRPr="00D12DAC" w:rsidRDefault="00D12DAC" w:rsidP="00D12DAC">
                  <w:pPr>
                    <w:spacing w:after="0" w:line="240" w:lineRule="auto"/>
                    <w:jc w:val="center"/>
                    <w:rPr>
                      <w:rFonts w:ascii="Segoe UI" w:eastAsia="Times New Roman" w:hAnsi="Segoe UI" w:cs="Segoe UI"/>
                      <w:color w:val="000000"/>
                      <w:sz w:val="18"/>
                      <w:szCs w:val="18"/>
                      <w:lang w:eastAsia="en-AU"/>
                    </w:rPr>
                  </w:pPr>
                  <w:r w:rsidRPr="00D12DAC">
                    <w:rPr>
                      <w:rFonts w:ascii="Segoe UI" w:eastAsia="Times New Roman" w:hAnsi="Segoe UI" w:cs="Segoe UI"/>
                      <w:color w:val="000000"/>
                      <w:sz w:val="18"/>
                      <w:szCs w:val="18"/>
                      <w:lang w:eastAsia="en-AU"/>
                    </w:rPr>
                    <w:t> </w:t>
                  </w:r>
                </w:p>
              </w:tc>
              <w:tc>
                <w:tcPr>
                  <w:tcW w:w="1216" w:type="dxa"/>
                  <w:tcBorders>
                    <w:top w:val="nil"/>
                    <w:left w:val="nil"/>
                    <w:bottom w:val="nil"/>
                    <w:right w:val="nil"/>
                  </w:tcBorders>
                  <w:shd w:val="clear" w:color="000000" w:fill="C5D9F1"/>
                  <w:noWrap/>
                  <w:vAlign w:val="center"/>
                  <w:hideMark/>
                </w:tcPr>
                <w:p w14:paraId="3EEEF7EF" w14:textId="77777777" w:rsidR="00D12DAC" w:rsidRPr="00D12DAC" w:rsidRDefault="00D12DAC" w:rsidP="00D12DAC">
                  <w:pPr>
                    <w:spacing w:after="0" w:line="240" w:lineRule="auto"/>
                    <w:rPr>
                      <w:rFonts w:ascii="Segoe UI" w:eastAsia="Times New Roman" w:hAnsi="Segoe UI" w:cs="Segoe UI"/>
                      <w:color w:val="C5D9F1"/>
                      <w:sz w:val="18"/>
                      <w:szCs w:val="18"/>
                      <w:lang w:eastAsia="en-AU"/>
                    </w:rPr>
                  </w:pPr>
                  <w:r w:rsidRPr="00D12DAC">
                    <w:rPr>
                      <w:rFonts w:ascii="Segoe UI" w:eastAsia="Times New Roman" w:hAnsi="Segoe UI" w:cs="Segoe UI"/>
                      <w:color w:val="C5D9F1"/>
                      <w:sz w:val="18"/>
                      <w:szCs w:val="18"/>
                      <w:lang w:eastAsia="en-AU"/>
                    </w:rPr>
                    <w:t> </w:t>
                  </w:r>
                </w:p>
              </w:tc>
              <w:tc>
                <w:tcPr>
                  <w:tcW w:w="2941" w:type="dxa"/>
                  <w:tcBorders>
                    <w:top w:val="nil"/>
                    <w:left w:val="nil"/>
                    <w:bottom w:val="nil"/>
                    <w:right w:val="nil"/>
                  </w:tcBorders>
                  <w:shd w:val="clear" w:color="000000" w:fill="C5D9F1"/>
                  <w:noWrap/>
                  <w:vAlign w:val="center"/>
                  <w:hideMark/>
                </w:tcPr>
                <w:p w14:paraId="70AA7399" w14:textId="77777777" w:rsidR="00D12DAC" w:rsidRPr="00D12DAC" w:rsidRDefault="00D12DAC" w:rsidP="00D12DAC">
                  <w:pPr>
                    <w:spacing w:after="0" w:line="240" w:lineRule="auto"/>
                    <w:rPr>
                      <w:rFonts w:ascii="Segoe UI" w:eastAsia="Times New Roman" w:hAnsi="Segoe UI" w:cs="Segoe UI"/>
                      <w:b/>
                      <w:bCs/>
                      <w:color w:val="000000"/>
                      <w:sz w:val="18"/>
                      <w:szCs w:val="18"/>
                      <w:lang w:eastAsia="en-AU"/>
                    </w:rPr>
                  </w:pPr>
                  <w:r w:rsidRPr="00D12DAC">
                    <w:rPr>
                      <w:rFonts w:ascii="Segoe UI" w:eastAsia="Times New Roman" w:hAnsi="Segoe UI" w:cs="Segoe UI"/>
                      <w:b/>
                      <w:bCs/>
                      <w:color w:val="000000"/>
                      <w:sz w:val="18"/>
                      <w:szCs w:val="18"/>
                      <w:lang w:eastAsia="en-AU"/>
                    </w:rPr>
                    <w:t>a skin notation is warranted</w:t>
                  </w:r>
                </w:p>
              </w:tc>
            </w:tr>
          </w:tbl>
          <w:p w14:paraId="12E931BE" w14:textId="77777777" w:rsidR="00932DCE" w:rsidRPr="004C23F4" w:rsidRDefault="00932DCE" w:rsidP="00F9496B">
            <w:pPr>
              <w:pStyle w:val="Tablefont"/>
            </w:pPr>
          </w:p>
        </w:tc>
      </w:tr>
    </w:tbl>
    <w:bookmarkEnd w:id="4"/>
    <w:p w14:paraId="27A4EC61"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6"/>
        <w:gridCol w:w="4760"/>
      </w:tblGrid>
      <w:tr w:rsidR="00EB3D1B" w14:paraId="0070B54B" w14:textId="77777777" w:rsidTr="00610F2E">
        <w:trPr>
          <w:trHeight w:val="454"/>
          <w:tblHeader/>
        </w:trPr>
        <w:tc>
          <w:tcPr>
            <w:tcW w:w="4361" w:type="dxa"/>
            <w:vAlign w:val="center"/>
          </w:tcPr>
          <w:p w14:paraId="7D0D12EF"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799C68E3" w14:textId="094B4C44" w:rsidR="00EB3D1B" w:rsidRDefault="00181F35" w:rsidP="00EB3D1B">
                <w:pPr>
                  <w:pStyle w:val="Tablefont"/>
                </w:pPr>
                <w:r>
                  <w:t>Yes, based on LEL</w:t>
                </w:r>
              </w:p>
            </w:tc>
          </w:sdtContent>
        </w:sdt>
      </w:tr>
    </w:tbl>
    <w:p w14:paraId="7EE7B637"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86"/>
        <w:gridCol w:w="5040"/>
      </w:tblGrid>
      <w:tr w:rsidR="001B79E5" w:rsidRPr="004C23F4" w14:paraId="42A4B477" w14:textId="77777777" w:rsidTr="00EA6243">
        <w:trPr>
          <w:cantSplit/>
          <w:tblHeader/>
        </w:trPr>
        <w:tc>
          <w:tcPr>
            <w:tcW w:w="4077" w:type="dxa"/>
            <w:vAlign w:val="center"/>
          </w:tcPr>
          <w:p w14:paraId="1A46502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67C891C" w14:textId="77777777" w:rsidR="001B79E5" w:rsidRDefault="000D0977" w:rsidP="001B79E5">
                <w:pPr>
                  <w:pStyle w:val="Tablefont"/>
                </w:pPr>
                <w:r>
                  <w:t>136 (approximately)</w:t>
                </w:r>
              </w:p>
            </w:tc>
          </w:sdtContent>
        </w:sdt>
      </w:tr>
      <w:tr w:rsidR="00A31D99" w:rsidRPr="004C23F4" w14:paraId="67954B67" w14:textId="77777777" w:rsidTr="00EA6243">
        <w:trPr>
          <w:cantSplit/>
          <w:tblHeader/>
        </w:trPr>
        <w:tc>
          <w:tcPr>
            <w:tcW w:w="4077" w:type="dxa"/>
            <w:vAlign w:val="center"/>
          </w:tcPr>
          <w:p w14:paraId="43AC0309"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38FD46E3" w14:textId="24172C00" w:rsidR="00A31D99" w:rsidRDefault="00A0643F" w:rsidP="00A174CC">
            <w:pPr>
              <w:pStyle w:val="Tablefont"/>
            </w:pPr>
            <w:r>
              <w:t xml:space="preserve">1 ppm = </w:t>
            </w:r>
            <w:sdt>
              <w:sdtPr>
                <w:id w:val="-371151491"/>
                <w:placeholder>
                  <w:docPart w:val="A7231FB73EFF4B2B92EB3BD21C0CEA01"/>
                </w:placeholder>
              </w:sdtPr>
              <w:sdtEndPr/>
              <w:sdtContent>
                <w:r w:rsidR="00E376DA">
                  <w:t>5.56</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D635D9" w:rsidRPr="00AD2708">
                  <w:t>0.18</w:t>
                </w:r>
              </w:sdtContent>
            </w:sdt>
            <w:r>
              <w:t xml:space="preserve"> ppm</w:t>
            </w:r>
          </w:p>
        </w:tc>
      </w:tr>
      <w:tr w:rsidR="00687890" w:rsidRPr="004C23F4" w14:paraId="646AE6B0" w14:textId="77777777" w:rsidTr="00EA6243">
        <w:trPr>
          <w:cantSplit/>
          <w:tblHeader/>
        </w:trPr>
        <w:tc>
          <w:tcPr>
            <w:tcW w:w="4077" w:type="dxa"/>
            <w:vAlign w:val="center"/>
          </w:tcPr>
          <w:p w14:paraId="657A9F8F"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2C48156E"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1EF3DA29" w14:textId="77777777" w:rsidTr="00EA6243">
        <w:trPr>
          <w:cantSplit/>
        </w:trPr>
        <w:tc>
          <w:tcPr>
            <w:tcW w:w="4077" w:type="dxa"/>
            <w:vAlign w:val="center"/>
          </w:tcPr>
          <w:p w14:paraId="7420E3F2" w14:textId="77777777" w:rsidR="00687890" w:rsidRPr="00263255" w:rsidRDefault="00687890" w:rsidP="00263255">
            <w:pPr>
              <w:pStyle w:val="Tablefont"/>
            </w:pPr>
            <w:r w:rsidRPr="00263255">
              <w:t>This chemical is a biological product:</w:t>
            </w:r>
          </w:p>
        </w:tc>
        <w:sdt>
          <w:sdtPr>
            <w:id w:val="-659616774"/>
            <w14:checkbox>
              <w14:checked w14:val="1"/>
              <w14:checkedState w14:val="00FC" w14:font="Wingdings"/>
              <w14:uncheckedState w14:val="2610" w14:font="MS Gothic"/>
            </w14:checkbox>
          </w:sdtPr>
          <w:sdtEndPr/>
          <w:sdtContent>
            <w:tc>
              <w:tcPr>
                <w:tcW w:w="5165" w:type="dxa"/>
                <w:vAlign w:val="center"/>
              </w:tcPr>
              <w:p w14:paraId="2CD5BE57" w14:textId="18A1AF96" w:rsidR="00687890" w:rsidRPr="004C23F4" w:rsidRDefault="001E67C9" w:rsidP="00717D45">
                <w:pPr>
                  <w:pStyle w:val="Tablefont"/>
                </w:pPr>
                <w:r>
                  <w:sym w:font="Wingdings" w:char="F0FC"/>
                </w:r>
              </w:p>
            </w:tc>
          </w:sdtContent>
        </w:sdt>
      </w:tr>
      <w:tr w:rsidR="00687890" w:rsidRPr="004C23F4" w14:paraId="1F77F177" w14:textId="77777777" w:rsidTr="00EA6243">
        <w:trPr>
          <w:cantSplit/>
        </w:trPr>
        <w:tc>
          <w:tcPr>
            <w:tcW w:w="4077" w:type="dxa"/>
            <w:vAlign w:val="center"/>
          </w:tcPr>
          <w:p w14:paraId="0C05267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CA19FB0"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6B0254DE" w14:textId="77777777" w:rsidTr="00EA6243">
        <w:trPr>
          <w:cantSplit/>
        </w:trPr>
        <w:tc>
          <w:tcPr>
            <w:tcW w:w="4077" w:type="dxa"/>
            <w:vAlign w:val="center"/>
          </w:tcPr>
          <w:p w14:paraId="5777237E"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10997AA2" w14:textId="77777777" w:rsidR="00E06F40" w:rsidRPr="00A006A0" w:rsidRDefault="005632B9"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37EB572"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20A5357" w14:textId="77777777" w:rsidTr="00F053FA">
        <w:trPr>
          <w:tblHeader/>
        </w:trPr>
        <w:tc>
          <w:tcPr>
            <w:tcW w:w="4077" w:type="dxa"/>
            <w:shd w:val="clear" w:color="auto" w:fill="BFBFBF" w:themeFill="background1" w:themeFillShade="BF"/>
            <w:vAlign w:val="center"/>
          </w:tcPr>
          <w:p w14:paraId="3F03A65D"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0A12105C" w14:textId="77777777" w:rsidR="00224EE2" w:rsidRPr="004C23F4" w:rsidRDefault="00224EE2" w:rsidP="00EB3D1B">
            <w:pPr>
              <w:pStyle w:val="Tableheader"/>
              <w:keepNext/>
              <w:keepLines/>
            </w:pPr>
            <w:r>
              <w:t>Standard</w:t>
            </w:r>
          </w:p>
        </w:tc>
      </w:tr>
      <w:tr w:rsidR="007F1005" w:rsidRPr="004C23F4" w14:paraId="61A95D87" w14:textId="77777777" w:rsidTr="00F053FA">
        <w:trPr>
          <w:tblHeader/>
        </w:trPr>
        <w:sdt>
          <w:sdtPr>
            <w:id w:val="-25557549"/>
            <w:showingPlcHdr/>
            <w:text/>
          </w:sdtPr>
          <w:sdtEndPr/>
          <w:sdtContent>
            <w:tc>
              <w:tcPr>
                <w:tcW w:w="4077" w:type="dxa"/>
                <w:vAlign w:val="center"/>
              </w:tcPr>
              <w:p w14:paraId="112C1A1C"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63F24E0E" w14:textId="77777777" w:rsidR="007F1005" w:rsidRPr="004C23F4" w:rsidRDefault="007F1005" w:rsidP="00EB3D1B">
            <w:pPr>
              <w:pStyle w:val="Tablefont"/>
              <w:keepLines/>
            </w:pPr>
          </w:p>
        </w:tc>
      </w:tr>
    </w:tbl>
    <w:bookmarkEnd w:id="5"/>
    <w:p w14:paraId="3975FA35" w14:textId="77777777" w:rsidR="00F87D92" w:rsidRDefault="00F87D92" w:rsidP="00EF7F78">
      <w:pPr>
        <w:pStyle w:val="Heading2"/>
        <w:tabs>
          <w:tab w:val="right" w:pos="8505"/>
        </w:tabs>
      </w:pPr>
      <w:r>
        <w:t>References</w:t>
      </w:r>
      <w:r w:rsidR="00EF7F78">
        <w:tab/>
      </w:r>
    </w:p>
    <w:p w14:paraId="7E0C87E2"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1C5F7FD" w14:textId="6E04BC36" w:rsidR="008E4F1F" w:rsidRDefault="008E4F1F" w:rsidP="008E4F1F">
      <w:r w:rsidRPr="002022B6">
        <w:t>Deutsche Forschungsgemeinschaft (DFG)</w:t>
      </w:r>
      <w:r>
        <w:t xml:space="preserve"> (</w:t>
      </w:r>
      <w:sdt>
        <w:sdtPr>
          <w:id w:val="1836950179"/>
          <w:temporary/>
          <w:showingPlcHdr/>
        </w:sdtPr>
        <w:sdtEndPr/>
        <w:sdtContent>
          <w:r w:rsidRPr="000C331E">
            <w:rPr>
              <w:color w:val="000000" w:themeColor="text1"/>
            </w:rPr>
            <w:t>2002</w:t>
          </w:r>
        </w:sdtContent>
      </w:sdt>
      <w:r>
        <w:t xml:space="preserve">) </w:t>
      </w:r>
      <w:r w:rsidR="000C331E" w:rsidRPr="000C331E">
        <w:t>Turpentine</w:t>
      </w:r>
      <w:r>
        <w:t xml:space="preserve"> – MAK value documentation.</w:t>
      </w:r>
    </w:p>
    <w:p w14:paraId="46B5568F" w14:textId="696EFE8B" w:rsidR="004F4158" w:rsidRDefault="004F4158" w:rsidP="008E4F1F">
      <w:r w:rsidRPr="004F4158">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62281A19" w14:textId="79A63FAF" w:rsidR="00225794" w:rsidRPr="004F4158" w:rsidRDefault="00225794" w:rsidP="00225794">
      <w:r w:rsidRPr="00225794">
        <w:t>European C</w:t>
      </w:r>
      <w:r>
        <w:t xml:space="preserve">hemicals Agency (ECHA) (2020) </w:t>
      </w:r>
      <w:r w:rsidRPr="00225794">
        <w:t>Turpentine, oil – REACH assessment.</w:t>
      </w:r>
    </w:p>
    <w:p w14:paraId="2AF75DE8" w14:textId="116F04C2" w:rsidR="008E4F1F" w:rsidRDefault="008E4F1F" w:rsidP="008E4F1F">
      <w:pPr>
        <w:rPr>
          <w:b/>
        </w:rPr>
      </w:pPr>
      <w:r w:rsidRPr="00225794">
        <w:t>National Industrial Chemicals Notification and Assessment Scheme (NICNAS) (</w:t>
      </w:r>
      <w:r w:rsidR="004F4158" w:rsidRPr="00225794">
        <w:t>2018</w:t>
      </w:r>
      <w:r w:rsidRPr="00225794">
        <w:t xml:space="preserve">) </w:t>
      </w:r>
      <w:r w:rsidR="004F4158" w:rsidRPr="00225794">
        <w:t>Turpentine</w:t>
      </w:r>
      <w:r w:rsidRPr="00225794">
        <w:t xml:space="preserve">: Human health </w:t>
      </w:r>
      <w:sdt>
        <w:sdtPr>
          <w:id w:val="-1295753243"/>
          <w:temporary/>
          <w:showingPlcHdr/>
        </w:sdtPr>
        <w:sdtEndPr/>
        <w:sdtContent>
          <w:r w:rsidRPr="00225794">
            <w:rPr>
              <w:color w:val="000000" w:themeColor="text1"/>
            </w:rPr>
            <w:t>tier II</w:t>
          </w:r>
        </w:sdtContent>
      </w:sdt>
      <w:r w:rsidRPr="00225794">
        <w:t xml:space="preserve"> assessment – IMAP report.</w:t>
      </w:r>
    </w:p>
    <w:p w14:paraId="6EDA4B3F" w14:textId="794918E8" w:rsidR="008E4F1F" w:rsidRDefault="008E4F1F" w:rsidP="008E4F1F">
      <w:pPr>
        <w:rPr>
          <w:b/>
        </w:rPr>
      </w:pPr>
      <w:r w:rsidRPr="00D86E03">
        <w:lastRenderedPageBreak/>
        <w:t>US National Institute for Occupational Safety and Health (NIOSH)</w:t>
      </w:r>
      <w:r>
        <w:t xml:space="preserve"> (</w:t>
      </w:r>
      <w:sdt>
        <w:sdtPr>
          <w:id w:val="-1194999823"/>
          <w:temporary/>
          <w:showingPlcHdr/>
        </w:sdtPr>
        <w:sdtEndPr/>
        <w:sdtContent>
          <w:r w:rsidRPr="008305EA">
            <w:rPr>
              <w:color w:val="000000" w:themeColor="text1"/>
            </w:rPr>
            <w:t>1994</w:t>
          </w:r>
        </w:sdtContent>
      </w:sdt>
      <w:r>
        <w:t xml:space="preserve">) Immediately dangerous to life or health concentrations – </w:t>
      </w:r>
      <w:r w:rsidR="008305EA">
        <w:t>t</w:t>
      </w:r>
      <w:r w:rsidR="008305EA" w:rsidRPr="008305EA">
        <w:t>urpentine</w:t>
      </w:r>
      <w:r>
        <w:t>.</w:t>
      </w:r>
    </w:p>
    <w:p w14:paraId="4785920B"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6A34" w14:textId="77777777" w:rsidR="007D1659" w:rsidRDefault="007D1659" w:rsidP="00F43AD5">
      <w:pPr>
        <w:spacing w:after="0" w:line="240" w:lineRule="auto"/>
      </w:pPr>
      <w:r>
        <w:separator/>
      </w:r>
    </w:p>
  </w:endnote>
  <w:endnote w:type="continuationSeparator" w:id="0">
    <w:p w14:paraId="0E33A6D5" w14:textId="77777777" w:rsidR="007D1659" w:rsidRDefault="007D1659"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4DFD" w14:textId="77777777" w:rsidR="005632B9" w:rsidRDefault="00563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0817679E" w14:textId="79545181" w:rsidR="0093493E" w:rsidRDefault="0093493E" w:rsidP="0034744C">
        <w:pPr>
          <w:pStyle w:val="Footer"/>
          <w:rPr>
            <w:sz w:val="18"/>
            <w:szCs w:val="18"/>
          </w:rPr>
        </w:pPr>
        <w:r>
          <w:rPr>
            <w:b/>
            <w:sz w:val="18"/>
            <w:szCs w:val="18"/>
          </w:rPr>
          <w:t>Turpentine (Wood) (8006-64-2)</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w:t>
        </w:r>
        <w:r>
          <w:rPr>
            <w:sz w:val="18"/>
            <w:szCs w:val="18"/>
          </w:rPr>
          <w:t>20</w:t>
        </w:r>
      </w:p>
      <w:p w14:paraId="04EED7DE" w14:textId="1E24086B" w:rsidR="0093493E" w:rsidRPr="00F43AD5" w:rsidRDefault="0093493E"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11B00">
          <w:rPr>
            <w:noProof/>
            <w:sz w:val="18"/>
            <w:szCs w:val="18"/>
          </w:rPr>
          <w:t>7</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B101" w14:textId="77777777" w:rsidR="005632B9" w:rsidRDefault="0056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ABA6" w14:textId="77777777" w:rsidR="007D1659" w:rsidRDefault="007D1659" w:rsidP="00F43AD5">
      <w:pPr>
        <w:spacing w:after="0" w:line="240" w:lineRule="auto"/>
      </w:pPr>
      <w:r>
        <w:separator/>
      </w:r>
    </w:p>
  </w:footnote>
  <w:footnote w:type="continuationSeparator" w:id="0">
    <w:p w14:paraId="4B003A39" w14:textId="77777777" w:rsidR="007D1659" w:rsidRDefault="007D1659"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5C92" w14:textId="77777777" w:rsidR="005632B9" w:rsidRDefault="0056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819F" w14:textId="5316B7AB" w:rsidR="005632B9" w:rsidRDefault="005632B9" w:rsidP="005632B9">
    <w:pPr>
      <w:pStyle w:val="Header"/>
      <w:jc w:val="right"/>
    </w:pPr>
    <w:r>
      <w:pict w14:anchorId="0C602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607A484C" wp14:editId="00979AB5">
          <wp:extent cx="2957195" cy="60579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p>
  <w:p w14:paraId="572994E4" w14:textId="6493924B" w:rsidR="0093493E" w:rsidRPr="005632B9" w:rsidRDefault="0093493E" w:rsidP="00563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906E" w14:textId="77777777" w:rsidR="005632B9" w:rsidRDefault="005632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2A95" w14:textId="7999F30A" w:rsidR="005632B9" w:rsidRDefault="005632B9" w:rsidP="005632B9">
    <w:pPr>
      <w:pStyle w:val="Header"/>
      <w:jc w:val="right"/>
    </w:pPr>
    <w:r>
      <w:pict w14:anchorId="1CDC4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48CAF40B" wp14:editId="6986F60B">
          <wp:extent cx="2957195" cy="60579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p>
  <w:p w14:paraId="69F92E41" w14:textId="77777777" w:rsidR="0093493E" w:rsidRDefault="0093493E"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1FE0"/>
    <w:multiLevelType w:val="hybridMultilevel"/>
    <w:tmpl w:val="22DEE12C"/>
    <w:lvl w:ilvl="0" w:tplc="791E115A">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F762CF"/>
    <w:multiLevelType w:val="hybridMultilevel"/>
    <w:tmpl w:val="E67E2D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10C7805"/>
    <w:multiLevelType w:val="hybridMultilevel"/>
    <w:tmpl w:val="5BC288C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5AE3DFD"/>
    <w:multiLevelType w:val="hybridMultilevel"/>
    <w:tmpl w:val="8954E6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8B01420"/>
    <w:multiLevelType w:val="multilevel"/>
    <w:tmpl w:val="9EDE2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001B5"/>
    <w:multiLevelType w:val="hybridMultilevel"/>
    <w:tmpl w:val="4BE2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B42B68"/>
    <w:multiLevelType w:val="hybridMultilevel"/>
    <w:tmpl w:val="1876DCBC"/>
    <w:lvl w:ilvl="0" w:tplc="A22C1CA4">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221674"/>
    <w:multiLevelType w:val="hybridMultilevel"/>
    <w:tmpl w:val="47BED2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85F"/>
    <w:rsid w:val="00014C3F"/>
    <w:rsid w:val="00017C82"/>
    <w:rsid w:val="0002067A"/>
    <w:rsid w:val="00020FBB"/>
    <w:rsid w:val="00032B88"/>
    <w:rsid w:val="00037E52"/>
    <w:rsid w:val="00046DF5"/>
    <w:rsid w:val="00052060"/>
    <w:rsid w:val="0005574A"/>
    <w:rsid w:val="00055FE1"/>
    <w:rsid w:val="00056EC2"/>
    <w:rsid w:val="00060B48"/>
    <w:rsid w:val="00067F32"/>
    <w:rsid w:val="00071807"/>
    <w:rsid w:val="000803E1"/>
    <w:rsid w:val="00084513"/>
    <w:rsid w:val="00084859"/>
    <w:rsid w:val="00092D94"/>
    <w:rsid w:val="000A5A4F"/>
    <w:rsid w:val="000B0868"/>
    <w:rsid w:val="000B3E12"/>
    <w:rsid w:val="000B3E78"/>
    <w:rsid w:val="000B7B48"/>
    <w:rsid w:val="000C096D"/>
    <w:rsid w:val="000C139A"/>
    <w:rsid w:val="000C2053"/>
    <w:rsid w:val="000C248C"/>
    <w:rsid w:val="000C331E"/>
    <w:rsid w:val="000D0977"/>
    <w:rsid w:val="000D291C"/>
    <w:rsid w:val="000E5A54"/>
    <w:rsid w:val="000E63D3"/>
    <w:rsid w:val="000E67CF"/>
    <w:rsid w:val="000F12FE"/>
    <w:rsid w:val="000F562C"/>
    <w:rsid w:val="000F74C0"/>
    <w:rsid w:val="0010461E"/>
    <w:rsid w:val="00106FAA"/>
    <w:rsid w:val="00113443"/>
    <w:rsid w:val="001269A7"/>
    <w:rsid w:val="00131092"/>
    <w:rsid w:val="00140E6A"/>
    <w:rsid w:val="00146545"/>
    <w:rsid w:val="00146B75"/>
    <w:rsid w:val="0015266D"/>
    <w:rsid w:val="0015288A"/>
    <w:rsid w:val="0016023F"/>
    <w:rsid w:val="00160F47"/>
    <w:rsid w:val="00177CA1"/>
    <w:rsid w:val="00181F35"/>
    <w:rsid w:val="00183823"/>
    <w:rsid w:val="00183942"/>
    <w:rsid w:val="001915F6"/>
    <w:rsid w:val="001A009E"/>
    <w:rsid w:val="001A1287"/>
    <w:rsid w:val="001A3859"/>
    <w:rsid w:val="001A3C9D"/>
    <w:rsid w:val="001A43F8"/>
    <w:rsid w:val="001B79E5"/>
    <w:rsid w:val="001D56F0"/>
    <w:rsid w:val="001D663B"/>
    <w:rsid w:val="001D7B41"/>
    <w:rsid w:val="001E46DA"/>
    <w:rsid w:val="001E67C9"/>
    <w:rsid w:val="001E7D80"/>
    <w:rsid w:val="001F4B6C"/>
    <w:rsid w:val="001F62CB"/>
    <w:rsid w:val="001F6ED0"/>
    <w:rsid w:val="001F72E6"/>
    <w:rsid w:val="001F73C5"/>
    <w:rsid w:val="002043AA"/>
    <w:rsid w:val="002046A6"/>
    <w:rsid w:val="00204956"/>
    <w:rsid w:val="00213640"/>
    <w:rsid w:val="00221547"/>
    <w:rsid w:val="002216FC"/>
    <w:rsid w:val="00222533"/>
    <w:rsid w:val="00222F30"/>
    <w:rsid w:val="00223693"/>
    <w:rsid w:val="002237CB"/>
    <w:rsid w:val="0022463A"/>
    <w:rsid w:val="00224EE2"/>
    <w:rsid w:val="00225794"/>
    <w:rsid w:val="00227EC7"/>
    <w:rsid w:val="002369B1"/>
    <w:rsid w:val="00237C00"/>
    <w:rsid w:val="00244849"/>
    <w:rsid w:val="00244AD1"/>
    <w:rsid w:val="002463BC"/>
    <w:rsid w:val="002465CE"/>
    <w:rsid w:val="00246829"/>
    <w:rsid w:val="0025734A"/>
    <w:rsid w:val="00257803"/>
    <w:rsid w:val="00263255"/>
    <w:rsid w:val="00276494"/>
    <w:rsid w:val="00277B0C"/>
    <w:rsid w:val="00286F37"/>
    <w:rsid w:val="002B1A2C"/>
    <w:rsid w:val="002B38B2"/>
    <w:rsid w:val="002C34F2"/>
    <w:rsid w:val="002C4FEC"/>
    <w:rsid w:val="002C58FF"/>
    <w:rsid w:val="002C7AFE"/>
    <w:rsid w:val="002D05D2"/>
    <w:rsid w:val="002E0D61"/>
    <w:rsid w:val="002E4C7B"/>
    <w:rsid w:val="002F3BD0"/>
    <w:rsid w:val="0030740C"/>
    <w:rsid w:val="00315833"/>
    <w:rsid w:val="003215EE"/>
    <w:rsid w:val="003224BF"/>
    <w:rsid w:val="003241A8"/>
    <w:rsid w:val="0032427F"/>
    <w:rsid w:val="00324F53"/>
    <w:rsid w:val="003253F0"/>
    <w:rsid w:val="003337DA"/>
    <w:rsid w:val="00334EFB"/>
    <w:rsid w:val="00335CDE"/>
    <w:rsid w:val="003365A5"/>
    <w:rsid w:val="00347192"/>
    <w:rsid w:val="0034744C"/>
    <w:rsid w:val="00351FE0"/>
    <w:rsid w:val="00352615"/>
    <w:rsid w:val="0035412B"/>
    <w:rsid w:val="003567A8"/>
    <w:rsid w:val="00362895"/>
    <w:rsid w:val="003708C8"/>
    <w:rsid w:val="00370DBF"/>
    <w:rsid w:val="00386093"/>
    <w:rsid w:val="003904A4"/>
    <w:rsid w:val="00391841"/>
    <w:rsid w:val="003919DD"/>
    <w:rsid w:val="00391B6D"/>
    <w:rsid w:val="00394922"/>
    <w:rsid w:val="003A0B4F"/>
    <w:rsid w:val="003A0E32"/>
    <w:rsid w:val="003A2B94"/>
    <w:rsid w:val="003A3C90"/>
    <w:rsid w:val="003B387D"/>
    <w:rsid w:val="003B4E37"/>
    <w:rsid w:val="003B7D5C"/>
    <w:rsid w:val="003C05C9"/>
    <w:rsid w:val="003C0D58"/>
    <w:rsid w:val="003D4FA3"/>
    <w:rsid w:val="003E0807"/>
    <w:rsid w:val="003E51FB"/>
    <w:rsid w:val="003E6B39"/>
    <w:rsid w:val="003F07E1"/>
    <w:rsid w:val="003F5296"/>
    <w:rsid w:val="004030BC"/>
    <w:rsid w:val="0040351F"/>
    <w:rsid w:val="00403F7D"/>
    <w:rsid w:val="00406785"/>
    <w:rsid w:val="004079B4"/>
    <w:rsid w:val="00417A56"/>
    <w:rsid w:val="00420957"/>
    <w:rsid w:val="00422A10"/>
    <w:rsid w:val="00425478"/>
    <w:rsid w:val="00425F66"/>
    <w:rsid w:val="00430179"/>
    <w:rsid w:val="004414B5"/>
    <w:rsid w:val="00444482"/>
    <w:rsid w:val="00444B42"/>
    <w:rsid w:val="00445E44"/>
    <w:rsid w:val="00446652"/>
    <w:rsid w:val="004509E2"/>
    <w:rsid w:val="00450FF8"/>
    <w:rsid w:val="004515EE"/>
    <w:rsid w:val="004529F0"/>
    <w:rsid w:val="00460A03"/>
    <w:rsid w:val="0046646E"/>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458C"/>
    <w:rsid w:val="004C58B6"/>
    <w:rsid w:val="004D16A3"/>
    <w:rsid w:val="004D4AA1"/>
    <w:rsid w:val="004D6D68"/>
    <w:rsid w:val="004E5EDD"/>
    <w:rsid w:val="004F4158"/>
    <w:rsid w:val="004F448A"/>
    <w:rsid w:val="004F493D"/>
    <w:rsid w:val="004F65E8"/>
    <w:rsid w:val="0050005E"/>
    <w:rsid w:val="00502B88"/>
    <w:rsid w:val="005142C4"/>
    <w:rsid w:val="0051509C"/>
    <w:rsid w:val="0052553F"/>
    <w:rsid w:val="005272E2"/>
    <w:rsid w:val="0053108F"/>
    <w:rsid w:val="00532B56"/>
    <w:rsid w:val="00532F15"/>
    <w:rsid w:val="005331FC"/>
    <w:rsid w:val="00534B10"/>
    <w:rsid w:val="005446A2"/>
    <w:rsid w:val="00544D2F"/>
    <w:rsid w:val="00551BD8"/>
    <w:rsid w:val="005632B9"/>
    <w:rsid w:val="00581055"/>
    <w:rsid w:val="00591E38"/>
    <w:rsid w:val="005A19C5"/>
    <w:rsid w:val="005A3034"/>
    <w:rsid w:val="005A462D"/>
    <w:rsid w:val="005B253B"/>
    <w:rsid w:val="005B3433"/>
    <w:rsid w:val="005B771D"/>
    <w:rsid w:val="005C5D16"/>
    <w:rsid w:val="005C7708"/>
    <w:rsid w:val="005D3193"/>
    <w:rsid w:val="005D4993"/>
    <w:rsid w:val="005D4A6E"/>
    <w:rsid w:val="005E4E69"/>
    <w:rsid w:val="005E6979"/>
    <w:rsid w:val="005E75CB"/>
    <w:rsid w:val="006013C1"/>
    <w:rsid w:val="0060669E"/>
    <w:rsid w:val="00610F2E"/>
    <w:rsid w:val="00611399"/>
    <w:rsid w:val="0061349C"/>
    <w:rsid w:val="00615DD1"/>
    <w:rsid w:val="00624C4E"/>
    <w:rsid w:val="00625200"/>
    <w:rsid w:val="006363A8"/>
    <w:rsid w:val="0063655B"/>
    <w:rsid w:val="00636DB7"/>
    <w:rsid w:val="00650905"/>
    <w:rsid w:val="006532ED"/>
    <w:rsid w:val="006549F2"/>
    <w:rsid w:val="006567B7"/>
    <w:rsid w:val="00657BFB"/>
    <w:rsid w:val="0066333C"/>
    <w:rsid w:val="006637F5"/>
    <w:rsid w:val="006639B4"/>
    <w:rsid w:val="006650FE"/>
    <w:rsid w:val="00665625"/>
    <w:rsid w:val="0067305D"/>
    <w:rsid w:val="006776EA"/>
    <w:rsid w:val="00677D9B"/>
    <w:rsid w:val="006813AB"/>
    <w:rsid w:val="00683EDC"/>
    <w:rsid w:val="006867F3"/>
    <w:rsid w:val="00687890"/>
    <w:rsid w:val="006901A2"/>
    <w:rsid w:val="00690368"/>
    <w:rsid w:val="0069079C"/>
    <w:rsid w:val="00690B53"/>
    <w:rsid w:val="006918ED"/>
    <w:rsid w:val="00695B72"/>
    <w:rsid w:val="006B160A"/>
    <w:rsid w:val="006B4E6C"/>
    <w:rsid w:val="006B50B6"/>
    <w:rsid w:val="006C17C7"/>
    <w:rsid w:val="006D212F"/>
    <w:rsid w:val="006D79EA"/>
    <w:rsid w:val="006E5D05"/>
    <w:rsid w:val="00701053"/>
    <w:rsid w:val="007011A7"/>
    <w:rsid w:val="00701507"/>
    <w:rsid w:val="00714021"/>
    <w:rsid w:val="00714ED9"/>
    <w:rsid w:val="00716A0F"/>
    <w:rsid w:val="00717D45"/>
    <w:rsid w:val="007208F7"/>
    <w:rsid w:val="007218AF"/>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A5FE4"/>
    <w:rsid w:val="007B1B42"/>
    <w:rsid w:val="007C30EB"/>
    <w:rsid w:val="007D0717"/>
    <w:rsid w:val="007D1659"/>
    <w:rsid w:val="007D2330"/>
    <w:rsid w:val="007E063C"/>
    <w:rsid w:val="007E2A4B"/>
    <w:rsid w:val="007E307D"/>
    <w:rsid w:val="007E6A4E"/>
    <w:rsid w:val="007E6C94"/>
    <w:rsid w:val="007F1005"/>
    <w:rsid w:val="007F25E0"/>
    <w:rsid w:val="007F5328"/>
    <w:rsid w:val="00804F5A"/>
    <w:rsid w:val="00810C6D"/>
    <w:rsid w:val="00812887"/>
    <w:rsid w:val="00815DAD"/>
    <w:rsid w:val="008224E3"/>
    <w:rsid w:val="00824AB5"/>
    <w:rsid w:val="00826F21"/>
    <w:rsid w:val="008305EA"/>
    <w:rsid w:val="00834CC8"/>
    <w:rsid w:val="00835E00"/>
    <w:rsid w:val="00837113"/>
    <w:rsid w:val="008414E4"/>
    <w:rsid w:val="00843E21"/>
    <w:rsid w:val="0084508E"/>
    <w:rsid w:val="008467FD"/>
    <w:rsid w:val="00847028"/>
    <w:rsid w:val="00857A8A"/>
    <w:rsid w:val="008630EE"/>
    <w:rsid w:val="00864D13"/>
    <w:rsid w:val="008673C6"/>
    <w:rsid w:val="00870EB2"/>
    <w:rsid w:val="00871CD5"/>
    <w:rsid w:val="008734E3"/>
    <w:rsid w:val="008745A2"/>
    <w:rsid w:val="008768A8"/>
    <w:rsid w:val="00876CCA"/>
    <w:rsid w:val="00885A4A"/>
    <w:rsid w:val="008869E6"/>
    <w:rsid w:val="0088798F"/>
    <w:rsid w:val="00887E4B"/>
    <w:rsid w:val="008915C8"/>
    <w:rsid w:val="008A36CF"/>
    <w:rsid w:val="008A3BC4"/>
    <w:rsid w:val="008B403C"/>
    <w:rsid w:val="008B7983"/>
    <w:rsid w:val="008C2511"/>
    <w:rsid w:val="008D026D"/>
    <w:rsid w:val="008D23AB"/>
    <w:rsid w:val="008D3283"/>
    <w:rsid w:val="008D4B8B"/>
    <w:rsid w:val="008D5A78"/>
    <w:rsid w:val="008E4F1F"/>
    <w:rsid w:val="008E7B64"/>
    <w:rsid w:val="008F0949"/>
    <w:rsid w:val="008F5DCD"/>
    <w:rsid w:val="00900951"/>
    <w:rsid w:val="00902CB1"/>
    <w:rsid w:val="009118A6"/>
    <w:rsid w:val="00916909"/>
    <w:rsid w:val="00916EC0"/>
    <w:rsid w:val="00920467"/>
    <w:rsid w:val="00921DE7"/>
    <w:rsid w:val="0093041A"/>
    <w:rsid w:val="00930714"/>
    <w:rsid w:val="00931B03"/>
    <w:rsid w:val="009323B9"/>
    <w:rsid w:val="00932DCE"/>
    <w:rsid w:val="0093327E"/>
    <w:rsid w:val="00934028"/>
    <w:rsid w:val="0093493E"/>
    <w:rsid w:val="0093760E"/>
    <w:rsid w:val="00942A3C"/>
    <w:rsid w:val="009447D5"/>
    <w:rsid w:val="00946044"/>
    <w:rsid w:val="0094660B"/>
    <w:rsid w:val="00946A33"/>
    <w:rsid w:val="00946E08"/>
    <w:rsid w:val="0095260E"/>
    <w:rsid w:val="009578DD"/>
    <w:rsid w:val="00961124"/>
    <w:rsid w:val="009621B6"/>
    <w:rsid w:val="00971C3A"/>
    <w:rsid w:val="00974F2D"/>
    <w:rsid w:val="00977148"/>
    <w:rsid w:val="00977524"/>
    <w:rsid w:val="00977E88"/>
    <w:rsid w:val="00984920"/>
    <w:rsid w:val="00990FAC"/>
    <w:rsid w:val="0099303A"/>
    <w:rsid w:val="009971C2"/>
    <w:rsid w:val="009A1254"/>
    <w:rsid w:val="009B2FF2"/>
    <w:rsid w:val="009B380C"/>
    <w:rsid w:val="009B4843"/>
    <w:rsid w:val="009B6543"/>
    <w:rsid w:val="009C199D"/>
    <w:rsid w:val="009C278F"/>
    <w:rsid w:val="009C2B94"/>
    <w:rsid w:val="009C5874"/>
    <w:rsid w:val="009C6E5C"/>
    <w:rsid w:val="009D3B5A"/>
    <w:rsid w:val="009D4429"/>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698D"/>
    <w:rsid w:val="00A27E2D"/>
    <w:rsid w:val="00A31D99"/>
    <w:rsid w:val="00A357BA"/>
    <w:rsid w:val="00A35ADC"/>
    <w:rsid w:val="00A402A3"/>
    <w:rsid w:val="00A421AA"/>
    <w:rsid w:val="00A53681"/>
    <w:rsid w:val="00A57C84"/>
    <w:rsid w:val="00A633D4"/>
    <w:rsid w:val="00A6461A"/>
    <w:rsid w:val="00A84504"/>
    <w:rsid w:val="00A8672F"/>
    <w:rsid w:val="00A93057"/>
    <w:rsid w:val="00A968B0"/>
    <w:rsid w:val="00AA2023"/>
    <w:rsid w:val="00AB2672"/>
    <w:rsid w:val="00AB2817"/>
    <w:rsid w:val="00AB43C4"/>
    <w:rsid w:val="00AC32E7"/>
    <w:rsid w:val="00AC3A9F"/>
    <w:rsid w:val="00AC4898"/>
    <w:rsid w:val="00AC6D2F"/>
    <w:rsid w:val="00AD2708"/>
    <w:rsid w:val="00AE2745"/>
    <w:rsid w:val="00AE2F64"/>
    <w:rsid w:val="00AF42CB"/>
    <w:rsid w:val="00AF483F"/>
    <w:rsid w:val="00AF5E07"/>
    <w:rsid w:val="00AF5F06"/>
    <w:rsid w:val="00AF72BC"/>
    <w:rsid w:val="00B00A25"/>
    <w:rsid w:val="00B01037"/>
    <w:rsid w:val="00B135B6"/>
    <w:rsid w:val="00B1422A"/>
    <w:rsid w:val="00B15FB0"/>
    <w:rsid w:val="00B1765C"/>
    <w:rsid w:val="00B213C4"/>
    <w:rsid w:val="00B30F6A"/>
    <w:rsid w:val="00B40C60"/>
    <w:rsid w:val="00B479A9"/>
    <w:rsid w:val="00B52EDF"/>
    <w:rsid w:val="00B71188"/>
    <w:rsid w:val="00B76A41"/>
    <w:rsid w:val="00B87D4C"/>
    <w:rsid w:val="00B93646"/>
    <w:rsid w:val="00BA0B38"/>
    <w:rsid w:val="00BA1DBB"/>
    <w:rsid w:val="00BA4510"/>
    <w:rsid w:val="00BA529A"/>
    <w:rsid w:val="00BB3A62"/>
    <w:rsid w:val="00BB612A"/>
    <w:rsid w:val="00BD499F"/>
    <w:rsid w:val="00BD56DE"/>
    <w:rsid w:val="00BF0FF7"/>
    <w:rsid w:val="00BF2406"/>
    <w:rsid w:val="00C06E43"/>
    <w:rsid w:val="00C11B00"/>
    <w:rsid w:val="00C15CEE"/>
    <w:rsid w:val="00C16315"/>
    <w:rsid w:val="00C213E0"/>
    <w:rsid w:val="00C3091E"/>
    <w:rsid w:val="00C40FF1"/>
    <w:rsid w:val="00C419E2"/>
    <w:rsid w:val="00C5020E"/>
    <w:rsid w:val="00C51046"/>
    <w:rsid w:val="00C53B13"/>
    <w:rsid w:val="00C57452"/>
    <w:rsid w:val="00C61EDF"/>
    <w:rsid w:val="00C6239D"/>
    <w:rsid w:val="00C62F0B"/>
    <w:rsid w:val="00C6594B"/>
    <w:rsid w:val="00C67FFB"/>
    <w:rsid w:val="00C7155E"/>
    <w:rsid w:val="00C717C2"/>
    <w:rsid w:val="00C71D1E"/>
    <w:rsid w:val="00C71D7D"/>
    <w:rsid w:val="00C74833"/>
    <w:rsid w:val="00C850A0"/>
    <w:rsid w:val="00C85A86"/>
    <w:rsid w:val="00C93AB4"/>
    <w:rsid w:val="00C978F0"/>
    <w:rsid w:val="00CA1092"/>
    <w:rsid w:val="00CA58FE"/>
    <w:rsid w:val="00CB1CB1"/>
    <w:rsid w:val="00CB6BC1"/>
    <w:rsid w:val="00CB6CB8"/>
    <w:rsid w:val="00CB6EFD"/>
    <w:rsid w:val="00CC1A68"/>
    <w:rsid w:val="00CC2123"/>
    <w:rsid w:val="00CC7C99"/>
    <w:rsid w:val="00CD2431"/>
    <w:rsid w:val="00CD2BFD"/>
    <w:rsid w:val="00CE5AD6"/>
    <w:rsid w:val="00CE617F"/>
    <w:rsid w:val="00CE78EF"/>
    <w:rsid w:val="00CF7EC1"/>
    <w:rsid w:val="00D01441"/>
    <w:rsid w:val="00D048F7"/>
    <w:rsid w:val="00D0517E"/>
    <w:rsid w:val="00D059AE"/>
    <w:rsid w:val="00D12DAC"/>
    <w:rsid w:val="00D140FC"/>
    <w:rsid w:val="00D21D8C"/>
    <w:rsid w:val="00D31357"/>
    <w:rsid w:val="00D33220"/>
    <w:rsid w:val="00D334D1"/>
    <w:rsid w:val="00D44C89"/>
    <w:rsid w:val="00D469CE"/>
    <w:rsid w:val="00D516CD"/>
    <w:rsid w:val="00D618E2"/>
    <w:rsid w:val="00D635D9"/>
    <w:rsid w:val="00D668E6"/>
    <w:rsid w:val="00D70670"/>
    <w:rsid w:val="00D721FC"/>
    <w:rsid w:val="00D74D80"/>
    <w:rsid w:val="00D76624"/>
    <w:rsid w:val="00D82EAC"/>
    <w:rsid w:val="00D87570"/>
    <w:rsid w:val="00D91CB9"/>
    <w:rsid w:val="00D95071"/>
    <w:rsid w:val="00D97989"/>
    <w:rsid w:val="00D97D8D"/>
    <w:rsid w:val="00DA352E"/>
    <w:rsid w:val="00DC7694"/>
    <w:rsid w:val="00DD1BF6"/>
    <w:rsid w:val="00DD2F9B"/>
    <w:rsid w:val="00DE2513"/>
    <w:rsid w:val="00DE26E8"/>
    <w:rsid w:val="00DE76FB"/>
    <w:rsid w:val="00DF5EAA"/>
    <w:rsid w:val="00DF6F36"/>
    <w:rsid w:val="00E0084C"/>
    <w:rsid w:val="00E025AB"/>
    <w:rsid w:val="00E02B23"/>
    <w:rsid w:val="00E06F40"/>
    <w:rsid w:val="00E07CE8"/>
    <w:rsid w:val="00E1695C"/>
    <w:rsid w:val="00E26A07"/>
    <w:rsid w:val="00E32595"/>
    <w:rsid w:val="00E34930"/>
    <w:rsid w:val="00E376DA"/>
    <w:rsid w:val="00E37CFD"/>
    <w:rsid w:val="00E41A26"/>
    <w:rsid w:val="00E45474"/>
    <w:rsid w:val="00E46BCB"/>
    <w:rsid w:val="00E51CAF"/>
    <w:rsid w:val="00E60F04"/>
    <w:rsid w:val="00E62AAC"/>
    <w:rsid w:val="00E67C2F"/>
    <w:rsid w:val="00E67EF5"/>
    <w:rsid w:val="00E74392"/>
    <w:rsid w:val="00E804EA"/>
    <w:rsid w:val="00E80A71"/>
    <w:rsid w:val="00E82337"/>
    <w:rsid w:val="00E92499"/>
    <w:rsid w:val="00E949AF"/>
    <w:rsid w:val="00E96077"/>
    <w:rsid w:val="00EA0A06"/>
    <w:rsid w:val="00EA6243"/>
    <w:rsid w:val="00EA74AB"/>
    <w:rsid w:val="00EB3D1B"/>
    <w:rsid w:val="00EC1A92"/>
    <w:rsid w:val="00ED1D89"/>
    <w:rsid w:val="00ED1E21"/>
    <w:rsid w:val="00ED66BC"/>
    <w:rsid w:val="00EF08F6"/>
    <w:rsid w:val="00EF233A"/>
    <w:rsid w:val="00EF303E"/>
    <w:rsid w:val="00EF3A40"/>
    <w:rsid w:val="00EF7F78"/>
    <w:rsid w:val="00F01B08"/>
    <w:rsid w:val="00F01C4D"/>
    <w:rsid w:val="00F035D5"/>
    <w:rsid w:val="00F0418A"/>
    <w:rsid w:val="00F04F9B"/>
    <w:rsid w:val="00F053FA"/>
    <w:rsid w:val="00F10C97"/>
    <w:rsid w:val="00F11C71"/>
    <w:rsid w:val="00F16019"/>
    <w:rsid w:val="00F20E68"/>
    <w:rsid w:val="00F22093"/>
    <w:rsid w:val="00F236DF"/>
    <w:rsid w:val="00F24CA1"/>
    <w:rsid w:val="00F43AD5"/>
    <w:rsid w:val="00F4402E"/>
    <w:rsid w:val="00F56DD0"/>
    <w:rsid w:val="00F60653"/>
    <w:rsid w:val="00F6491C"/>
    <w:rsid w:val="00F67BBB"/>
    <w:rsid w:val="00F763E0"/>
    <w:rsid w:val="00F87D92"/>
    <w:rsid w:val="00F90AA7"/>
    <w:rsid w:val="00F92498"/>
    <w:rsid w:val="00F9496B"/>
    <w:rsid w:val="00F970C9"/>
    <w:rsid w:val="00FA06A8"/>
    <w:rsid w:val="00FA0D1E"/>
    <w:rsid w:val="00FA3DF5"/>
    <w:rsid w:val="00FA741F"/>
    <w:rsid w:val="00FB4E07"/>
    <w:rsid w:val="00FB755A"/>
    <w:rsid w:val="00FC4C02"/>
    <w:rsid w:val="00FC5C16"/>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F30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946E08"/>
    <w:rPr>
      <w:sz w:val="16"/>
      <w:szCs w:val="16"/>
    </w:rPr>
  </w:style>
  <w:style w:type="paragraph" w:styleId="CommentText">
    <w:name w:val="annotation text"/>
    <w:basedOn w:val="Normal"/>
    <w:link w:val="CommentTextChar"/>
    <w:uiPriority w:val="99"/>
    <w:semiHidden/>
    <w:unhideWhenUsed/>
    <w:rsid w:val="00946E08"/>
    <w:pPr>
      <w:spacing w:line="240" w:lineRule="auto"/>
    </w:pPr>
    <w:rPr>
      <w:szCs w:val="20"/>
    </w:rPr>
  </w:style>
  <w:style w:type="character" w:customStyle="1" w:styleId="CommentTextChar">
    <w:name w:val="Comment Text Char"/>
    <w:basedOn w:val="DefaultParagraphFont"/>
    <w:link w:val="CommentText"/>
    <w:uiPriority w:val="99"/>
    <w:semiHidden/>
    <w:rsid w:val="00946E08"/>
    <w:rPr>
      <w:szCs w:val="20"/>
    </w:rPr>
  </w:style>
  <w:style w:type="paragraph" w:styleId="CommentSubject">
    <w:name w:val="annotation subject"/>
    <w:basedOn w:val="CommentText"/>
    <w:next w:val="CommentText"/>
    <w:link w:val="CommentSubjectChar"/>
    <w:uiPriority w:val="99"/>
    <w:semiHidden/>
    <w:unhideWhenUsed/>
    <w:rsid w:val="00946E08"/>
    <w:rPr>
      <w:b/>
      <w:bCs/>
    </w:rPr>
  </w:style>
  <w:style w:type="character" w:customStyle="1" w:styleId="CommentSubjectChar">
    <w:name w:val="Comment Subject Char"/>
    <w:basedOn w:val="CommentTextChar"/>
    <w:link w:val="CommentSubject"/>
    <w:uiPriority w:val="99"/>
    <w:semiHidden/>
    <w:rsid w:val="00946E0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09928">
      <w:bodyDiv w:val="1"/>
      <w:marLeft w:val="0"/>
      <w:marRight w:val="0"/>
      <w:marTop w:val="0"/>
      <w:marBottom w:val="0"/>
      <w:divBdr>
        <w:top w:val="none" w:sz="0" w:space="0" w:color="auto"/>
        <w:left w:val="none" w:sz="0" w:space="0" w:color="auto"/>
        <w:bottom w:val="none" w:sz="0" w:space="0" w:color="auto"/>
        <w:right w:val="none" w:sz="0" w:space="0" w:color="auto"/>
      </w:divBdr>
    </w:div>
    <w:div w:id="1129738796">
      <w:bodyDiv w:val="1"/>
      <w:marLeft w:val="0"/>
      <w:marRight w:val="0"/>
      <w:marTop w:val="0"/>
      <w:marBottom w:val="0"/>
      <w:divBdr>
        <w:top w:val="none" w:sz="0" w:space="0" w:color="auto"/>
        <w:left w:val="none" w:sz="0" w:space="0" w:color="auto"/>
        <w:bottom w:val="none" w:sz="0" w:space="0" w:color="auto"/>
        <w:right w:val="none" w:sz="0" w:space="0" w:color="auto"/>
      </w:divBdr>
    </w:div>
    <w:div w:id="1139612922">
      <w:bodyDiv w:val="1"/>
      <w:marLeft w:val="0"/>
      <w:marRight w:val="0"/>
      <w:marTop w:val="0"/>
      <w:marBottom w:val="0"/>
      <w:divBdr>
        <w:top w:val="none" w:sz="0" w:space="0" w:color="auto"/>
        <w:left w:val="none" w:sz="0" w:space="0" w:color="auto"/>
        <w:bottom w:val="none" w:sz="0" w:space="0" w:color="auto"/>
        <w:right w:val="none" w:sz="0" w:space="0" w:color="auto"/>
      </w:divBdr>
    </w:div>
    <w:div w:id="1331180154">
      <w:bodyDiv w:val="1"/>
      <w:marLeft w:val="0"/>
      <w:marRight w:val="0"/>
      <w:marTop w:val="0"/>
      <w:marBottom w:val="0"/>
      <w:divBdr>
        <w:top w:val="none" w:sz="0" w:space="0" w:color="auto"/>
        <w:left w:val="none" w:sz="0" w:space="0" w:color="auto"/>
        <w:bottom w:val="none" w:sz="0" w:space="0" w:color="auto"/>
        <w:right w:val="none" w:sz="0" w:space="0" w:color="auto"/>
      </w:divBdr>
    </w:div>
    <w:div w:id="1744833286">
      <w:bodyDiv w:val="1"/>
      <w:marLeft w:val="0"/>
      <w:marRight w:val="0"/>
      <w:marTop w:val="0"/>
      <w:marBottom w:val="0"/>
      <w:divBdr>
        <w:top w:val="none" w:sz="0" w:space="0" w:color="auto"/>
        <w:left w:val="none" w:sz="0" w:space="0" w:color="auto"/>
        <w:bottom w:val="none" w:sz="0" w:space="0" w:color="auto"/>
        <w:right w:val="none" w:sz="0" w:space="0" w:color="auto"/>
      </w:divBdr>
    </w:div>
    <w:div w:id="1912688663">
      <w:bodyDiv w:val="1"/>
      <w:marLeft w:val="0"/>
      <w:marRight w:val="0"/>
      <w:marTop w:val="0"/>
      <w:marBottom w:val="0"/>
      <w:divBdr>
        <w:top w:val="none" w:sz="0" w:space="0" w:color="auto"/>
        <w:left w:val="none" w:sz="0" w:space="0" w:color="auto"/>
        <w:bottom w:val="none" w:sz="0" w:space="0" w:color="auto"/>
        <w:right w:val="none" w:sz="0" w:space="0" w:color="auto"/>
      </w:divBdr>
    </w:div>
    <w:div w:id="21291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57FA6F4CDA3A4713A4FC29D4EFCC7BC6"/>
        <w:category>
          <w:name w:val="General"/>
          <w:gallery w:val="placeholder"/>
        </w:category>
        <w:types>
          <w:type w:val="bbPlcHdr"/>
        </w:types>
        <w:behaviors>
          <w:behavior w:val="content"/>
        </w:behaviors>
        <w:guid w:val="{61C26570-C660-46C7-A525-87C05D35E52F}"/>
      </w:docPartPr>
      <w:docPartBody>
        <w:p w:rsidR="009F1C05" w:rsidRDefault="009F1C05" w:rsidP="009F1C05">
          <w:pPr>
            <w:pStyle w:val="57FA6F4CDA3A4713A4FC29D4EFCC7BC6"/>
          </w:pPr>
          <w:r>
            <w:rPr>
              <w:rStyle w:val="PlaceholderText"/>
            </w:rPr>
            <w:t>Has this value changed?</w:t>
          </w:r>
        </w:p>
      </w:docPartBody>
    </w:docPart>
    <w:docPart>
      <w:docPartPr>
        <w:name w:val="6A90D01306034B3BBDC53929F9C6AFE6"/>
        <w:category>
          <w:name w:val="General"/>
          <w:gallery w:val="placeholder"/>
        </w:category>
        <w:types>
          <w:type w:val="bbPlcHdr"/>
        </w:types>
        <w:behaviors>
          <w:behavior w:val="content"/>
        </w:behaviors>
        <w:guid w:val="{32879F87-BE18-46C6-BF45-020729148CB6}"/>
      </w:docPartPr>
      <w:docPartBody>
        <w:p w:rsidR="007C1021" w:rsidRDefault="00435D93" w:rsidP="00435D93">
          <w:pPr>
            <w:pStyle w:val="6A90D01306034B3BBDC53929F9C6AFE6"/>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347D16"/>
    <w:rsid w:val="003E0149"/>
    <w:rsid w:val="00435D93"/>
    <w:rsid w:val="00537F0B"/>
    <w:rsid w:val="007C1021"/>
    <w:rsid w:val="008E48C5"/>
    <w:rsid w:val="009F1C05"/>
    <w:rsid w:val="00A84C97"/>
    <w:rsid w:val="00B8780C"/>
    <w:rsid w:val="00BB2D01"/>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D93"/>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5AF76AC8E8FA406ABF4A48A6D8C65E52">
    <w:name w:val="5AF76AC8E8FA406ABF4A48A6D8C65E52"/>
    <w:rsid w:val="009F1C05"/>
  </w:style>
  <w:style w:type="paragraph" w:customStyle="1" w:styleId="57FA6F4CDA3A4713A4FC29D4EFCC7BC6">
    <w:name w:val="57FA6F4CDA3A4713A4FC29D4EFCC7BC6"/>
    <w:rsid w:val="009F1C05"/>
  </w:style>
  <w:style w:type="paragraph" w:customStyle="1" w:styleId="6A90D01306034B3BBDC53929F9C6AFE6">
    <w:name w:val="6A90D01306034B3BBDC53929F9C6AFE6"/>
    <w:rsid w:val="0043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28EE-8B75-4885-8E44-C41206EFF189}">
  <ds:schemaRef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bf54d604-3e62-4e70-ba33-9e9084b96a6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8AD9C8-A361-4EAA-8817-04A262515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9E87A-4A18-4AC3-A0F9-B08A7DBC395F}">
  <ds:schemaRefs>
    <ds:schemaRef ds:uri="http://schemas.microsoft.com/sharepoint/v3/contenttype/forms"/>
  </ds:schemaRefs>
</ds:datastoreItem>
</file>

<file path=customXml/itemProps4.xml><?xml version="1.0" encoding="utf-8"?>
<ds:datastoreItem xmlns:ds="http://schemas.openxmlformats.org/officeDocument/2006/customXml" ds:itemID="{20497BC1-E8E3-4F8C-B8F4-A9F4466B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2020-04-08T02:44:00Z</dcterms:created>
  <dcterms:modified xsi:type="dcterms:W3CDTF">2020-07-21T01:55:00Z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