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0271923F" w14:textId="77777777" w:rsidR="00BD499F" w:rsidRPr="004C23F4" w:rsidRDefault="005815C9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Urethane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6"/>
        <w:gridCol w:w="5040"/>
      </w:tblGrid>
      <w:tr w:rsidR="00F43AD5" w:rsidRPr="004C23F4" w14:paraId="1B6D3196" w14:textId="77777777" w:rsidTr="00464ACE">
        <w:trPr>
          <w:cantSplit/>
          <w:tblHeader/>
        </w:trPr>
        <w:tc>
          <w:tcPr>
            <w:tcW w:w="3986" w:type="dxa"/>
          </w:tcPr>
          <w:p w14:paraId="5A042A77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40" w:type="dxa"/>
          </w:tcPr>
          <w:p w14:paraId="6CDDFE2F" w14:textId="77777777" w:rsidR="00F43AD5" w:rsidRPr="00717D45" w:rsidRDefault="005815C9" w:rsidP="00B76A41">
            <w:pPr>
              <w:pStyle w:val="Tablefont"/>
            </w:pPr>
            <w:r w:rsidRPr="005815C9">
              <w:t>51-79-6</w:t>
            </w:r>
          </w:p>
        </w:tc>
      </w:tr>
      <w:tr w:rsidR="00F43AD5" w:rsidRPr="004C23F4" w14:paraId="253BC438" w14:textId="77777777" w:rsidTr="00464ACE">
        <w:trPr>
          <w:cantSplit/>
        </w:trPr>
        <w:tc>
          <w:tcPr>
            <w:tcW w:w="3986" w:type="dxa"/>
          </w:tcPr>
          <w:p w14:paraId="4713F92B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40" w:type="dxa"/>
          </w:tcPr>
          <w:p w14:paraId="644AD0DE" w14:textId="77777777" w:rsidR="00F43AD5" w:rsidRPr="00717D45" w:rsidRDefault="00B40C4C" w:rsidP="00B76A41">
            <w:pPr>
              <w:pStyle w:val="Tablefont"/>
            </w:pPr>
            <w:r w:rsidRPr="00B40C4C">
              <w:t>Carbamic acid, ethyl ester</w:t>
            </w:r>
            <w:r w:rsidR="00FB177C">
              <w:t xml:space="preserve">, </w:t>
            </w:r>
            <w:proofErr w:type="spellStart"/>
            <w:r w:rsidR="00FB177C" w:rsidRPr="00FB177C">
              <w:t>leucothane</w:t>
            </w:r>
            <w:proofErr w:type="spellEnd"/>
            <w:r w:rsidR="00FB177C" w:rsidRPr="00FB177C">
              <w:t xml:space="preserve">, </w:t>
            </w:r>
            <w:proofErr w:type="spellStart"/>
            <w:r w:rsidR="00FB177C" w:rsidRPr="00FB177C">
              <w:t>pracarbamin</w:t>
            </w:r>
            <w:proofErr w:type="spellEnd"/>
          </w:p>
        </w:tc>
      </w:tr>
      <w:tr w:rsidR="00F43AD5" w:rsidRPr="004C23F4" w14:paraId="1A2326D9" w14:textId="77777777" w:rsidTr="00464ACE">
        <w:trPr>
          <w:cantSplit/>
        </w:trPr>
        <w:tc>
          <w:tcPr>
            <w:tcW w:w="3986" w:type="dxa"/>
          </w:tcPr>
          <w:p w14:paraId="00E35D95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40" w:type="dxa"/>
          </w:tcPr>
          <w:p w14:paraId="2D89CA50" w14:textId="77777777" w:rsidR="00F43AD5" w:rsidRPr="00717D45" w:rsidRDefault="005A2751" w:rsidP="005A2751">
            <w:pPr>
              <w:pStyle w:val="Tablefont"/>
            </w:pPr>
            <w:r>
              <w:t>C</w:t>
            </w:r>
            <w:r w:rsidRPr="005A2751">
              <w:rPr>
                <w:vertAlign w:val="subscript"/>
              </w:rPr>
              <w:t>3</w:t>
            </w:r>
            <w:r>
              <w:t>H</w:t>
            </w:r>
            <w:r w:rsidRPr="005A2751">
              <w:rPr>
                <w:vertAlign w:val="subscript"/>
              </w:rPr>
              <w:t>7</w:t>
            </w:r>
            <w:r>
              <w:t>NO</w:t>
            </w:r>
            <w:r w:rsidRPr="005A2751">
              <w:rPr>
                <w:vertAlign w:val="subscript"/>
              </w:rPr>
              <w:t>2</w:t>
            </w:r>
          </w:p>
        </w:tc>
      </w:tr>
    </w:tbl>
    <w:p w14:paraId="51961242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1C585A">
            <w:rPr>
              <w:rStyle w:val="WESstatus"/>
            </w:rPr>
            <w:t>(new)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58309B8C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054751BF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1C17CD6D" w14:textId="77777777" w:rsidR="002C7AFE" w:rsidRPr="00EB3D1B" w:rsidRDefault="00037E52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6FC222E9" w14:textId="77777777" w:rsidTr="00037E52">
        <w:trPr>
          <w:cantSplit/>
        </w:trPr>
        <w:tc>
          <w:tcPr>
            <w:tcW w:w="4010" w:type="dxa"/>
            <w:vAlign w:val="center"/>
          </w:tcPr>
          <w:p w14:paraId="5BCC389A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44A4579E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61B0407C" w14:textId="77777777" w:rsidTr="00037E52">
        <w:trPr>
          <w:cantSplit/>
        </w:trPr>
        <w:tc>
          <w:tcPr>
            <w:tcW w:w="4010" w:type="dxa"/>
            <w:vAlign w:val="center"/>
          </w:tcPr>
          <w:p w14:paraId="05C22EAC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058530DD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11A688F7" w14:textId="77777777" w:rsidTr="00037E52">
        <w:trPr>
          <w:cantSplit/>
        </w:trPr>
        <w:tc>
          <w:tcPr>
            <w:tcW w:w="4010" w:type="dxa"/>
          </w:tcPr>
          <w:p w14:paraId="41A6C9B6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36951DD7" w14:textId="77777777" w:rsidR="00037E52" w:rsidRPr="00EB3D1B" w:rsidRDefault="00CD56D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Carc. 1B, Sk.</w:t>
            </w:r>
          </w:p>
        </w:tc>
      </w:tr>
      <w:tr w:rsidR="00037E52" w:rsidRPr="004C23F4" w14:paraId="4D6621AA" w14:textId="77777777" w:rsidTr="00037E52">
        <w:trPr>
          <w:cantSplit/>
        </w:trPr>
        <w:tc>
          <w:tcPr>
            <w:tcW w:w="4010" w:type="dxa"/>
            <w:vAlign w:val="center"/>
          </w:tcPr>
          <w:p w14:paraId="3CE126A0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24939920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744996" w:rsidRPr="004C23F4" w14:paraId="7100657F" w14:textId="77777777" w:rsidTr="00A40082">
        <w:trPr>
          <w:cantSplit/>
        </w:trPr>
        <w:tc>
          <w:tcPr>
            <w:tcW w:w="9026" w:type="dxa"/>
            <w:gridSpan w:val="2"/>
            <w:vAlign w:val="center"/>
          </w:tcPr>
          <w:p w14:paraId="622643B5" w14:textId="77777777" w:rsidR="00744996" w:rsidRPr="00744996" w:rsidRDefault="00744996" w:rsidP="00744996">
            <w:pPr>
              <w:pStyle w:val="Tablerowright"/>
              <w:jc w:val="left"/>
            </w:pPr>
            <w:r>
              <w:t xml:space="preserve">Sampling and analysis: </w:t>
            </w:r>
            <w:r>
              <w:rPr>
                <w:b w:val="0"/>
              </w:rPr>
              <w:t>N/A</w:t>
            </w:r>
          </w:p>
        </w:tc>
      </w:tr>
    </w:tbl>
    <w:p w14:paraId="3742A4CF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12B973CA" w14:textId="1BDC70BD" w:rsidR="006639B4" w:rsidRPr="004C23F4" w:rsidRDefault="00CD56D2" w:rsidP="000C139A">
      <w:pPr>
        <w:rPr>
          <w:rFonts w:cs="Arial"/>
        </w:rPr>
      </w:pPr>
      <w:r w:rsidRPr="00CD56D2">
        <w:rPr>
          <w:rFonts w:cs="Arial"/>
        </w:rPr>
        <w:t xml:space="preserve">Insufficient data </w:t>
      </w:r>
      <w:r>
        <w:rPr>
          <w:rFonts w:cs="Arial"/>
        </w:rPr>
        <w:t>exist</w:t>
      </w:r>
      <w:r w:rsidRPr="00CD56D2">
        <w:rPr>
          <w:rFonts w:cs="Arial"/>
        </w:rPr>
        <w:t xml:space="preserve"> to perform a risk-based assessment</w:t>
      </w:r>
      <w:r w:rsidR="00464ACE">
        <w:rPr>
          <w:rFonts w:cs="Arial"/>
        </w:rPr>
        <w:t xml:space="preserve"> and</w:t>
      </w:r>
      <w:r w:rsidR="00464ACE" w:rsidRPr="00464ACE">
        <w:rPr>
          <w:rFonts w:cs="Arial"/>
        </w:rPr>
        <w:t xml:space="preserve"> it is recommended that a review of additional sources be conducted at the next scheduled review.</w:t>
      </w:r>
    </w:p>
    <w:p w14:paraId="6F9BD702" w14:textId="77777777" w:rsidR="00C7155E" w:rsidRPr="004C23F4" w:rsidRDefault="00F10C97" w:rsidP="003365A5">
      <w:pPr>
        <w:pStyle w:val="Heading2"/>
      </w:pPr>
      <w:r>
        <w:t>Discussion and conclusions</w:t>
      </w:r>
    </w:p>
    <w:p w14:paraId="489464A2" w14:textId="77777777" w:rsidR="00293908" w:rsidRDefault="00293908" w:rsidP="006639B4">
      <w:pPr>
        <w:rPr>
          <w:rFonts w:cs="Arial"/>
        </w:rPr>
      </w:pPr>
      <w:r>
        <w:rPr>
          <w:rFonts w:cs="Arial"/>
        </w:rPr>
        <w:t>Urethane is used as an intermediate in textile resins and pharmaceuticals and as a solubilising agent in the manufacture of pesticides and cosmetics.</w:t>
      </w:r>
      <w:r w:rsidR="0055567E">
        <w:rPr>
          <w:rFonts w:cs="Arial"/>
        </w:rPr>
        <w:t xml:space="preserve"> It is not used in the production of polyurethane foams and coatings, nor is it released upon their decomposition.</w:t>
      </w:r>
    </w:p>
    <w:p w14:paraId="772200DB" w14:textId="77777777" w:rsidR="003F4123" w:rsidRDefault="00293908" w:rsidP="006639B4">
      <w:pPr>
        <w:rPr>
          <w:rFonts w:cs="Arial"/>
        </w:rPr>
      </w:pPr>
      <w:r>
        <w:rPr>
          <w:rFonts w:cs="Arial"/>
        </w:rPr>
        <w:t xml:space="preserve">The critical effects of exposure </w:t>
      </w:r>
      <w:r w:rsidR="0054639D">
        <w:rPr>
          <w:rFonts w:cs="Arial"/>
        </w:rPr>
        <w:t>are</w:t>
      </w:r>
      <w:r>
        <w:rPr>
          <w:rFonts w:cs="Arial"/>
        </w:rPr>
        <w:t xml:space="preserve"> liver, heart and lung carcinogenicity as observed in rodents.</w:t>
      </w:r>
      <w:r w:rsidR="00464ACE">
        <w:rPr>
          <w:rFonts w:cs="Arial"/>
        </w:rPr>
        <w:t xml:space="preserve"> </w:t>
      </w:r>
    </w:p>
    <w:p w14:paraId="7FE56CE5" w14:textId="7C09A45C" w:rsidR="00CD56D2" w:rsidRDefault="00165DC6" w:rsidP="006639B4">
      <w:pPr>
        <w:rPr>
          <w:rFonts w:cs="Arial"/>
        </w:rPr>
      </w:pPr>
      <w:r>
        <w:rPr>
          <w:rFonts w:cs="Arial"/>
        </w:rPr>
        <w:t>No quantitative human exposure dat</w:t>
      </w:r>
      <w:r w:rsidR="0054639D">
        <w:rPr>
          <w:rFonts w:cs="Arial"/>
        </w:rPr>
        <w:t>a</w:t>
      </w:r>
      <w:r>
        <w:rPr>
          <w:rFonts w:cs="Arial"/>
        </w:rPr>
        <w:t xml:space="preserve"> are available. The production</w:t>
      </w:r>
      <w:r w:rsidR="00293908">
        <w:rPr>
          <w:rFonts w:cs="Arial"/>
        </w:rPr>
        <w:t xml:space="preserve"> of genotoxic metabolites </w:t>
      </w:r>
      <w:r>
        <w:rPr>
          <w:rFonts w:cs="Arial"/>
        </w:rPr>
        <w:t>by</w:t>
      </w:r>
      <w:r w:rsidR="00293908">
        <w:rPr>
          <w:rFonts w:cs="Arial"/>
        </w:rPr>
        <w:t xml:space="preserve"> oxidative enzymes in rodents and humans is clearly evidenced </w:t>
      </w:r>
      <w:r w:rsidR="00293908">
        <w:rPr>
          <w:rFonts w:cs="Arial"/>
          <w:i/>
        </w:rPr>
        <w:t>in vitro</w:t>
      </w:r>
      <w:r w:rsidR="00E63CAA">
        <w:rPr>
          <w:rFonts w:cs="Arial"/>
        </w:rPr>
        <w:t xml:space="preserve"> (DFG, 2004; SCOEL, 2012)</w:t>
      </w:r>
      <w:r>
        <w:rPr>
          <w:rFonts w:cs="Arial"/>
        </w:rPr>
        <w:t xml:space="preserve">. A genotoxic mechanism of carcinogenicity is supported by evidence </w:t>
      </w:r>
      <w:r w:rsidR="00464ACE">
        <w:rPr>
          <w:rFonts w:cs="Arial"/>
        </w:rPr>
        <w:t>of</w:t>
      </w:r>
      <w:r>
        <w:rPr>
          <w:rFonts w:cs="Arial"/>
        </w:rPr>
        <w:t xml:space="preserve"> the formation of these metabolites </w:t>
      </w:r>
      <w:r>
        <w:rPr>
          <w:rFonts w:cs="Arial"/>
          <w:i/>
        </w:rPr>
        <w:t>in vivo</w:t>
      </w:r>
      <w:r>
        <w:rPr>
          <w:rFonts w:cs="Arial"/>
        </w:rPr>
        <w:t xml:space="preserve"> in mice and i</w:t>
      </w:r>
      <w:r w:rsidR="00293908">
        <w:rPr>
          <w:rFonts w:cs="Arial"/>
        </w:rPr>
        <w:t xml:space="preserve">ncreased </w:t>
      </w:r>
      <w:r>
        <w:rPr>
          <w:rFonts w:cs="Arial"/>
        </w:rPr>
        <w:t xml:space="preserve">incidence of </w:t>
      </w:r>
      <w:r w:rsidR="00293908">
        <w:rPr>
          <w:rFonts w:cs="Arial"/>
        </w:rPr>
        <w:t>liver, heart and lung cancer</w:t>
      </w:r>
      <w:r>
        <w:rPr>
          <w:rFonts w:cs="Arial"/>
        </w:rPr>
        <w:t xml:space="preserve">s </w:t>
      </w:r>
      <w:r w:rsidR="00293908">
        <w:rPr>
          <w:rFonts w:cs="Arial"/>
        </w:rPr>
        <w:t>in</w:t>
      </w:r>
      <w:r>
        <w:rPr>
          <w:rFonts w:cs="Arial"/>
        </w:rPr>
        <w:t xml:space="preserve"> several carcinogenicity </w:t>
      </w:r>
      <w:r w:rsidR="00293908">
        <w:rPr>
          <w:rFonts w:cs="Arial"/>
        </w:rPr>
        <w:t>studies</w:t>
      </w:r>
      <w:r>
        <w:rPr>
          <w:rFonts w:cs="Arial"/>
        </w:rPr>
        <w:t xml:space="preserve"> with rodents using either the substance or its genotoxic derivatives</w:t>
      </w:r>
      <w:r w:rsidR="0055567E">
        <w:rPr>
          <w:rFonts w:cs="Arial"/>
        </w:rPr>
        <w:t xml:space="preserve"> (DFG, 2004; SCOEL, 2012)</w:t>
      </w:r>
      <w:r>
        <w:rPr>
          <w:rFonts w:cs="Arial"/>
        </w:rPr>
        <w:t xml:space="preserve">. No epidemiological data are available to </w:t>
      </w:r>
      <w:r w:rsidR="003F4123">
        <w:rPr>
          <w:rFonts w:cs="Arial"/>
        </w:rPr>
        <w:t xml:space="preserve">confirm </w:t>
      </w:r>
      <w:r>
        <w:rPr>
          <w:rFonts w:cs="Arial"/>
        </w:rPr>
        <w:t xml:space="preserve">carcinogenicity in humans. However, the metabolism to genotoxic carcinogens observed in rodents is expected to occur </w:t>
      </w:r>
      <w:r w:rsidR="003F4123">
        <w:rPr>
          <w:rFonts w:cs="Arial"/>
        </w:rPr>
        <w:t xml:space="preserve">also </w:t>
      </w:r>
      <w:r>
        <w:rPr>
          <w:rFonts w:cs="Arial"/>
        </w:rPr>
        <w:t>in humans</w:t>
      </w:r>
      <w:r w:rsidR="0055567E">
        <w:rPr>
          <w:rFonts w:cs="Arial"/>
        </w:rPr>
        <w:t xml:space="preserve"> (IARC, 2010)</w:t>
      </w:r>
      <w:r>
        <w:rPr>
          <w:rFonts w:cs="Arial"/>
        </w:rPr>
        <w:t>.</w:t>
      </w:r>
    </w:p>
    <w:p w14:paraId="64F748B4" w14:textId="18F353A9" w:rsidR="003F4123" w:rsidRDefault="00CD56D2" w:rsidP="006639B4">
      <w:pPr>
        <w:rPr>
          <w:rFonts w:cs="Arial"/>
        </w:rPr>
      </w:pPr>
      <w:r>
        <w:rPr>
          <w:rFonts w:cs="Arial"/>
        </w:rPr>
        <w:t xml:space="preserve">The available primary source evaluations uniformly do not recommend a numerical WES equivalent due to the </w:t>
      </w:r>
      <w:r w:rsidR="00EE6192">
        <w:rPr>
          <w:rFonts w:cs="Arial"/>
        </w:rPr>
        <w:t xml:space="preserve">non-threshold-based </w:t>
      </w:r>
      <w:r>
        <w:rPr>
          <w:rFonts w:cs="Arial"/>
        </w:rPr>
        <w:t>genotoxic carcinogenicity demonstrated in rodents</w:t>
      </w:r>
      <w:r w:rsidR="00EE6192">
        <w:rPr>
          <w:rFonts w:cs="Arial"/>
        </w:rPr>
        <w:t>, which is likely to occur in humans</w:t>
      </w:r>
      <w:r w:rsidR="0055567E">
        <w:rPr>
          <w:rFonts w:cs="Arial"/>
        </w:rPr>
        <w:t xml:space="preserve"> (DFG, 2004; </w:t>
      </w:r>
      <w:r w:rsidR="001B10BB">
        <w:rPr>
          <w:rFonts w:cs="Arial"/>
        </w:rPr>
        <w:t xml:space="preserve">HCOTN, 2000; </w:t>
      </w:r>
      <w:r w:rsidR="0055567E">
        <w:rPr>
          <w:rFonts w:cs="Arial"/>
        </w:rPr>
        <w:t>SCOEL, 2012)</w:t>
      </w:r>
      <w:r>
        <w:rPr>
          <w:rFonts w:cs="Arial"/>
        </w:rPr>
        <w:t>. In the absence of a suitable inhalational unit risk factor for carcinogenicity, a numerical WES is not recommended.</w:t>
      </w:r>
    </w:p>
    <w:p w14:paraId="1F8F896D" w14:textId="35F0764D" w:rsidR="00293908" w:rsidRPr="00293908" w:rsidRDefault="009607A2" w:rsidP="006639B4">
      <w:pPr>
        <w:rPr>
          <w:rFonts w:cs="Arial"/>
        </w:rPr>
      </w:pPr>
      <w:r>
        <w:rPr>
          <w:rFonts w:cs="Arial"/>
        </w:rPr>
        <w:t>Based on the significance of the critical endpoint, f</w:t>
      </w:r>
      <w:r w:rsidR="00CD56D2">
        <w:rPr>
          <w:rFonts w:cs="Arial"/>
        </w:rPr>
        <w:t>urther assessment of additional sources is recommended as a priority.</w:t>
      </w:r>
    </w:p>
    <w:p w14:paraId="6097D45E" w14:textId="77777777" w:rsidR="004529F0" w:rsidRPr="004C23F4" w:rsidRDefault="004529F0" w:rsidP="004529F0">
      <w:pPr>
        <w:pStyle w:val="Heading2"/>
      </w:pPr>
      <w:r>
        <w:lastRenderedPageBreak/>
        <w:t>Recommendation for notations</w:t>
      </w:r>
    </w:p>
    <w:p w14:paraId="3BBAF5B6" w14:textId="77777777" w:rsidR="00B31B74" w:rsidRPr="00B31B74" w:rsidRDefault="00B31B74" w:rsidP="00B31B74">
      <w:pPr>
        <w:rPr>
          <w:rFonts w:cs="Arial"/>
        </w:rPr>
      </w:pPr>
      <w:r w:rsidRPr="00B31B74">
        <w:rPr>
          <w:rFonts w:cs="Arial"/>
        </w:rPr>
        <w:t xml:space="preserve">Classified as a category 1B carcinogen according to the Globally Harmonized System of Classification and Labelling of Chemicals (GHS). </w:t>
      </w:r>
    </w:p>
    <w:p w14:paraId="0E711F9C" w14:textId="77777777" w:rsidR="008E4F1F" w:rsidRPr="00B31B74" w:rsidRDefault="008E4F1F" w:rsidP="008E4F1F">
      <w:pPr>
        <w:rPr>
          <w:rFonts w:cs="Arial"/>
        </w:rPr>
      </w:pPr>
      <w:r w:rsidRPr="00B31B74">
        <w:rPr>
          <w:rFonts w:cs="Arial"/>
        </w:rPr>
        <w:t xml:space="preserve">Not classified as a skin </w:t>
      </w:r>
      <w:r w:rsidR="0054639D">
        <w:rPr>
          <w:rFonts w:cs="Arial"/>
        </w:rPr>
        <w:t xml:space="preserve">sensitiser </w:t>
      </w:r>
      <w:r w:rsidRPr="00B31B74">
        <w:rPr>
          <w:rFonts w:cs="Arial"/>
        </w:rPr>
        <w:t>or respiratory sensitiser according to the GHS.</w:t>
      </w:r>
    </w:p>
    <w:p w14:paraId="24D66B01" w14:textId="77777777" w:rsidR="0025734A" w:rsidRPr="00B31B74" w:rsidRDefault="00B31B74">
      <w:pPr>
        <w:rPr>
          <w:rFonts w:cs="Arial"/>
        </w:rPr>
      </w:pPr>
      <w:r w:rsidRPr="00B31B74">
        <w:rPr>
          <w:rFonts w:cs="Arial"/>
        </w:rPr>
        <w:t>A skin notation is recommended due to evidence of dermal absorption and contribution to adverse systemic effects.</w:t>
      </w:r>
    </w:p>
    <w:p w14:paraId="50D3DC34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6AB3A4BC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08C3A514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3379CD64" w14:textId="77777777" w:rsidTr="000C087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54A0AF81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60A40E25" w14:textId="77777777" w:rsidTr="000C0876">
        <w:tc>
          <w:tcPr>
            <w:tcW w:w="5000" w:type="pct"/>
            <w:gridSpan w:val="2"/>
            <w:shd w:val="clear" w:color="auto" w:fill="F2F2F2" w:themeFill="background1" w:themeFillShade="F2"/>
          </w:tcPr>
          <w:p w14:paraId="62C953E3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3220A1">
                  <w:t>NA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proofErr w:type="spellStart"/>
                <w:r w:rsidR="003220A1">
                  <w:t>NA</w:t>
                </w:r>
                <w:proofErr w:type="spellEnd"/>
              </w:sdtContent>
            </w:sdt>
          </w:p>
        </w:tc>
      </w:tr>
      <w:tr w:rsidR="00C978F0" w:rsidRPr="00DA352E" w14:paraId="1E2E1C37" w14:textId="77777777" w:rsidTr="000C0876">
        <w:trPr>
          <w:gridAfter w:val="1"/>
          <w:wAfter w:w="8" w:type="pct"/>
        </w:trPr>
        <w:tc>
          <w:tcPr>
            <w:tcW w:w="4992" w:type="pct"/>
          </w:tcPr>
          <w:p w14:paraId="10BF83C0" w14:textId="77777777" w:rsidR="00C978F0" w:rsidRPr="00DA352E" w:rsidRDefault="003220A1" w:rsidP="003365A5">
            <w:pPr>
              <w:pStyle w:val="Tabletextprimarysource"/>
            </w:pPr>
            <w:r>
              <w:t>No report</w:t>
            </w:r>
            <w:r w:rsidR="00982264">
              <w:t>.</w:t>
            </w:r>
          </w:p>
        </w:tc>
      </w:tr>
      <w:tr w:rsidR="00C978F0" w:rsidRPr="00DA352E" w14:paraId="33424AEC" w14:textId="77777777" w:rsidTr="000C0876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69FD3E0C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3220A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proofErr w:type="spellStart"/>
                <w:r w:rsidR="003220A1">
                  <w:t>NA</w:t>
                </w:r>
                <w:proofErr w:type="spellEnd"/>
              </w:sdtContent>
            </w:sdt>
          </w:p>
        </w:tc>
      </w:tr>
      <w:tr w:rsidR="00C978F0" w:rsidRPr="00DA352E" w14:paraId="053D7F18" w14:textId="77777777" w:rsidTr="000C0876">
        <w:trPr>
          <w:gridAfter w:val="1"/>
          <w:wAfter w:w="8" w:type="pct"/>
        </w:trPr>
        <w:tc>
          <w:tcPr>
            <w:tcW w:w="4992" w:type="pct"/>
          </w:tcPr>
          <w:p w14:paraId="1140FD2E" w14:textId="77777777" w:rsidR="00C978F0" w:rsidRPr="00DA352E" w:rsidRDefault="003220A1" w:rsidP="003365A5">
            <w:pPr>
              <w:pStyle w:val="Tabletextprimarysource"/>
            </w:pPr>
            <w:r>
              <w:t>No report</w:t>
            </w:r>
            <w:r w:rsidR="00982264">
              <w:t>.</w:t>
            </w:r>
          </w:p>
        </w:tc>
      </w:tr>
      <w:tr w:rsidR="00C978F0" w:rsidRPr="00DA352E" w14:paraId="1E9BD6A0" w14:textId="77777777" w:rsidTr="000C0876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234163BC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122B8D">
                  <w:t>20</w:t>
                </w:r>
                <w:r w:rsidR="00E63CAA">
                  <w:t>04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122B8D">
                  <w:t>Not assigned</w:t>
                </w:r>
              </w:sdtContent>
            </w:sdt>
          </w:p>
        </w:tc>
      </w:tr>
      <w:tr w:rsidR="00C978F0" w:rsidRPr="00DA352E" w14:paraId="6E7159C5" w14:textId="77777777" w:rsidTr="000C0876">
        <w:trPr>
          <w:gridAfter w:val="1"/>
          <w:wAfter w:w="8" w:type="pct"/>
        </w:trPr>
        <w:tc>
          <w:tcPr>
            <w:tcW w:w="4992" w:type="pct"/>
          </w:tcPr>
          <w:p w14:paraId="5B857BDC" w14:textId="77777777" w:rsidR="00C87714" w:rsidRDefault="009F5BE8" w:rsidP="003365A5">
            <w:pPr>
              <w:pStyle w:val="Tabletextprimarysource"/>
            </w:pPr>
            <w:r>
              <w:t xml:space="preserve">MAK not assigned due to likely genotoxic mechanism </w:t>
            </w:r>
            <w:r w:rsidR="00326E9C">
              <w:t xml:space="preserve">of carcinogenicity. Considered carcinogenic in humans based on positive carcinogenicity in animals (category 2). Skin notation recommended, </w:t>
            </w:r>
            <w:r w:rsidR="007C3A9B">
              <w:t>based on systemic effects in animals following dermal application</w:t>
            </w:r>
            <w:r w:rsidR="00326E9C">
              <w:t>.</w:t>
            </w:r>
          </w:p>
          <w:p w14:paraId="2AED888E" w14:textId="2605A4DE" w:rsidR="00C87714" w:rsidRDefault="00C87714" w:rsidP="003365A5">
            <w:pPr>
              <w:pStyle w:val="Tabletextprimarysource"/>
            </w:pPr>
            <w:r>
              <w:t>Summary of information:</w:t>
            </w:r>
          </w:p>
          <w:p w14:paraId="759C7D0F" w14:textId="77777777" w:rsidR="00C87714" w:rsidRDefault="00C87714" w:rsidP="00C87714">
            <w:pPr>
              <w:pStyle w:val="Tabletextprimarysource"/>
            </w:pPr>
            <w:r>
              <w:t xml:space="preserve">Metabolism to genotoxic epoxide derivative, which can alkylate macromolecules, demonstrated </w:t>
            </w:r>
            <w:r>
              <w:rPr>
                <w:i/>
              </w:rPr>
              <w:t>in vivo</w:t>
            </w:r>
            <w:r>
              <w:t>.</w:t>
            </w:r>
          </w:p>
          <w:p w14:paraId="0F76A19D" w14:textId="419292B8" w:rsidR="007C3A9B" w:rsidRDefault="007C3A9B" w:rsidP="00C87714">
            <w:pPr>
              <w:pStyle w:val="Tabletextprimarysource"/>
            </w:pPr>
            <w:r>
              <w:t>Human data:</w:t>
            </w:r>
          </w:p>
          <w:p w14:paraId="5522AC92" w14:textId="3C1E8A12" w:rsidR="007C3A9B" w:rsidRPr="00C87714" w:rsidRDefault="00C27F7B" w:rsidP="007C3A9B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Formerly used </w:t>
            </w:r>
            <w:r w:rsidR="004F5CCB">
              <w:t xml:space="preserve">as </w:t>
            </w:r>
            <w:r>
              <w:t xml:space="preserve">a sleep medicine, cancer therapeutic and solubiliser for </w:t>
            </w:r>
            <w:r w:rsidR="00FB4B3D">
              <w:t>analgesics (no further information provided)</w:t>
            </w:r>
            <w:r w:rsidR="00982264">
              <w:t>.</w:t>
            </w:r>
          </w:p>
          <w:p w14:paraId="2E434125" w14:textId="7AA39D4B" w:rsidR="00C87714" w:rsidRDefault="00C87714" w:rsidP="00C87714">
            <w:pPr>
              <w:pStyle w:val="Tabletextprimarysource"/>
            </w:pPr>
            <w:r>
              <w:t>Animal data:</w:t>
            </w:r>
          </w:p>
          <w:p w14:paraId="6526F5B1" w14:textId="4789C298" w:rsidR="009607A2" w:rsidRDefault="00C27F7B" w:rsidP="00C87714">
            <w:pPr>
              <w:pStyle w:val="Tabletextprimarysource"/>
              <w:numPr>
                <w:ilvl w:val="0"/>
                <w:numId w:val="1"/>
              </w:numPr>
            </w:pPr>
            <w:r>
              <w:t>Adenocarcinomas in liver, small intestine, pancreas and lungs and haemangiosarcomas in liver at 250 mg</w:t>
            </w:r>
            <w:r w:rsidR="008D75F3">
              <w:t>/</w:t>
            </w:r>
            <w:r w:rsidR="00611CB7">
              <w:t>kg</w:t>
            </w:r>
            <w:r w:rsidR="00465E7A">
              <w:t>/d</w:t>
            </w:r>
            <w:r w:rsidR="00611CB7">
              <w:t xml:space="preserve"> </w:t>
            </w:r>
            <w:r>
              <w:t>in chronic oral dose study (monkeys, 5 d/</w:t>
            </w:r>
            <w:proofErr w:type="spellStart"/>
            <w:r>
              <w:t>wk</w:t>
            </w:r>
            <w:proofErr w:type="spellEnd"/>
            <w:r>
              <w:t xml:space="preserve">, 5 </w:t>
            </w:r>
            <w:proofErr w:type="spellStart"/>
            <w:r>
              <w:t>yr</w:t>
            </w:r>
            <w:proofErr w:type="spellEnd"/>
            <w:r>
              <w:t>)</w:t>
            </w:r>
            <w:r w:rsidR="00465E7A">
              <w:t>:</w:t>
            </w:r>
            <w:r>
              <w:t xml:space="preserve"> </w:t>
            </w:r>
          </w:p>
          <w:p w14:paraId="22AC6B8F" w14:textId="77777777" w:rsidR="00C27F7B" w:rsidRDefault="00C27F7B" w:rsidP="009607A2">
            <w:pPr>
              <w:pStyle w:val="Tabletextprimarysource"/>
              <w:numPr>
                <w:ilvl w:val="0"/>
                <w:numId w:val="3"/>
              </w:numPr>
            </w:pPr>
            <w:r>
              <w:t>half of the exposed animals were irradiated with x-rays, irradiation had no effect on tumour type or incidence</w:t>
            </w:r>
          </w:p>
          <w:p w14:paraId="4BA701C6" w14:textId="00B026F1" w:rsidR="00C27F7B" w:rsidRDefault="00C27F7B" w:rsidP="00C87714">
            <w:pPr>
              <w:pStyle w:val="Tabletextprimarysource"/>
              <w:numPr>
                <w:ilvl w:val="0"/>
                <w:numId w:val="1"/>
              </w:numPr>
            </w:pPr>
            <w:r>
              <w:t>Dose-dependent incidence of liver, lung and heart cancers in chronic drinking water study with dose groups 0, 2, 5.5 and 18 mg/kg</w:t>
            </w:r>
            <w:r w:rsidR="004F5CCB">
              <w:t>/d</w:t>
            </w:r>
            <w:r>
              <w:t xml:space="preserve"> (mice, 2</w:t>
            </w:r>
            <w:r w:rsidR="004F5CCB">
              <w:t xml:space="preserve"> </w:t>
            </w:r>
            <w:r>
              <w:t>yr)</w:t>
            </w:r>
          </w:p>
          <w:p w14:paraId="60FBE4F1" w14:textId="0AFB107F" w:rsidR="00C87714" w:rsidRDefault="00C87714" w:rsidP="00C87714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Non-mutagenic </w:t>
            </w:r>
            <w:r>
              <w:rPr>
                <w:i/>
              </w:rPr>
              <w:t>in vitro</w:t>
            </w:r>
            <w:r>
              <w:t xml:space="preserve"> in bacteria and mammalian cell lines with or without metabolic activation</w:t>
            </w:r>
            <w:r w:rsidR="00C61045">
              <w:t>; vin</w:t>
            </w:r>
            <w:r w:rsidR="007C3A9B">
              <w:t>yl derivative was however strongly mutagenic under these conditions</w:t>
            </w:r>
            <w:r w:rsidR="00465E7A">
              <w:t>:</w:t>
            </w:r>
          </w:p>
          <w:p w14:paraId="3A8ACD7D" w14:textId="5CB4925B" w:rsidR="007C3A9B" w:rsidRDefault="007C3A9B" w:rsidP="00982264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 xml:space="preserve">standard metabolic activation protocol does not produce appreciable amounts of vinyl metabolite, but its production </w:t>
            </w:r>
            <w:r w:rsidR="004F5CCB">
              <w:t xml:space="preserve">occurs </w:t>
            </w:r>
            <w:r>
              <w:t xml:space="preserve">with human oxidative enzymes </w:t>
            </w:r>
          </w:p>
          <w:p w14:paraId="79FA0960" w14:textId="77777777" w:rsidR="00C87714" w:rsidRDefault="00C87714" w:rsidP="00C87714">
            <w:pPr>
              <w:pStyle w:val="Tabletextprimarysource"/>
              <w:numPr>
                <w:ilvl w:val="0"/>
                <w:numId w:val="1"/>
              </w:numPr>
            </w:pPr>
            <w:r>
              <w:t>Evidence of alkylated DNA and RNA derivatives found in liver following treatment with substance or epoxide metabolite (mice)</w:t>
            </w:r>
          </w:p>
          <w:p w14:paraId="0846A755" w14:textId="77777777" w:rsidR="007C3A9B" w:rsidRDefault="007C3A9B" w:rsidP="00C87714">
            <w:pPr>
              <w:pStyle w:val="Tabletextprimarysource"/>
              <w:numPr>
                <w:ilvl w:val="0"/>
                <w:numId w:val="1"/>
              </w:numPr>
            </w:pPr>
            <w:r>
              <w:t>Positive results for micronucleus formation in bone marrow and peripheral blood reported in several studies following dermal application or IP injection (mice)</w:t>
            </w:r>
          </w:p>
          <w:p w14:paraId="198E1A4F" w14:textId="7A050671" w:rsidR="007C3A9B" w:rsidRDefault="007C3A9B" w:rsidP="00C87714">
            <w:pPr>
              <w:pStyle w:val="Tabletextprimarysource"/>
              <w:numPr>
                <w:ilvl w:val="0"/>
                <w:numId w:val="1"/>
              </w:numPr>
            </w:pPr>
            <w:r>
              <w:t>Chromosomal aberrations detected in embryos following maternal exposure at 1,280 mg/m</w:t>
            </w:r>
            <w:r>
              <w:rPr>
                <w:vertAlign w:val="superscript"/>
              </w:rPr>
              <w:t>3</w:t>
            </w:r>
            <w:r>
              <w:t xml:space="preserve"> (mice, 48 h, GD 9–11)</w:t>
            </w:r>
            <w:r w:rsidR="00982264">
              <w:t>.</w:t>
            </w:r>
          </w:p>
          <w:p w14:paraId="7B94058A" w14:textId="77777777" w:rsidR="009607A2" w:rsidRDefault="009607A2" w:rsidP="003365A5">
            <w:pPr>
              <w:pStyle w:val="Tabletextprimarysource"/>
            </w:pPr>
          </w:p>
          <w:p w14:paraId="78A56BDA" w14:textId="77777777" w:rsidR="00326E9C" w:rsidRDefault="00C87714" w:rsidP="003365A5">
            <w:pPr>
              <w:pStyle w:val="Tabletextprimarysource"/>
            </w:pPr>
            <w:r>
              <w:t>Insufficient data to recommend a sensitiser notation.</w:t>
            </w:r>
          </w:p>
          <w:p w14:paraId="7D27799C" w14:textId="77777777" w:rsidR="009607A2" w:rsidRPr="00DA352E" w:rsidRDefault="009607A2" w:rsidP="003365A5">
            <w:pPr>
              <w:pStyle w:val="Tabletextprimarysource"/>
            </w:pPr>
          </w:p>
        </w:tc>
      </w:tr>
      <w:tr w:rsidR="00C978F0" w:rsidRPr="00DA352E" w14:paraId="11A7BC03" w14:textId="77777777" w:rsidTr="000C0876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0D8DBD66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4C1AC8">
                  <w:t>2012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4C1AC8">
                  <w:t>Not assigned</w:t>
                </w:r>
              </w:sdtContent>
            </w:sdt>
          </w:p>
        </w:tc>
      </w:tr>
      <w:tr w:rsidR="00C978F0" w:rsidRPr="00DA352E" w14:paraId="0076FF54" w14:textId="77777777" w:rsidTr="000C0876">
        <w:trPr>
          <w:gridAfter w:val="1"/>
          <w:wAfter w:w="8" w:type="pct"/>
        </w:trPr>
        <w:tc>
          <w:tcPr>
            <w:tcW w:w="4992" w:type="pct"/>
          </w:tcPr>
          <w:p w14:paraId="6AE47D47" w14:textId="361E310A" w:rsidR="00C978F0" w:rsidRDefault="00C27F7B" w:rsidP="003365A5">
            <w:pPr>
              <w:pStyle w:val="Tabletextprimarysource"/>
            </w:pPr>
            <w:r>
              <w:t>Summary of additional information:</w:t>
            </w:r>
          </w:p>
          <w:p w14:paraId="5AA703DA" w14:textId="77777777" w:rsidR="009607A2" w:rsidRDefault="00C27F7B" w:rsidP="003365A5">
            <w:pPr>
              <w:pStyle w:val="Tabletextprimarysource"/>
            </w:pPr>
            <w:r>
              <w:t>Classified as human carcinogen based on confirmed carcinogenicity in animals</w:t>
            </w:r>
            <w:r w:rsidR="00741CDB">
              <w:t>, supported by similarity in carcinogenic mechanism of action of vinyl chloride</w:t>
            </w:r>
            <w:r>
              <w:t>. Rodent and human metabolic pathways are similar and produce genotoxic carcinogenic metabolites.</w:t>
            </w:r>
            <w:r w:rsidR="006B3F3A">
              <w:t xml:space="preserve"> Not feasible to recommend a health-based TWA or STEL due to genotoxic carcinogenicity. </w:t>
            </w:r>
          </w:p>
          <w:p w14:paraId="544BB429" w14:textId="77777777" w:rsidR="00C27F7B" w:rsidRDefault="006B3F3A" w:rsidP="003365A5">
            <w:pPr>
              <w:pStyle w:val="Tabletextprimarysource"/>
            </w:pPr>
            <w:r>
              <w:t>Skin notation recommended based on carcinogenicity in dermally exposed animals.</w:t>
            </w:r>
          </w:p>
          <w:p w14:paraId="774B6D4C" w14:textId="3F4C0CD9" w:rsidR="00FB4B3D" w:rsidRDefault="00FB4B3D" w:rsidP="009607A2">
            <w:pPr>
              <w:pStyle w:val="Tabletextprimarysource"/>
              <w:keepNext/>
            </w:pPr>
            <w:r>
              <w:lastRenderedPageBreak/>
              <w:t>Human data:</w:t>
            </w:r>
          </w:p>
          <w:p w14:paraId="23ACE5BC" w14:textId="77777777" w:rsidR="00FB4B3D" w:rsidRDefault="00FB4B3D" w:rsidP="00FB4B3D">
            <w:pPr>
              <w:pStyle w:val="Tabletextprimarysource"/>
              <w:numPr>
                <w:ilvl w:val="0"/>
                <w:numId w:val="1"/>
              </w:numPr>
            </w:pPr>
            <w:r>
              <w:t>Nausea, vomiting and diarrh</w:t>
            </w:r>
            <w:r w:rsidR="00982264">
              <w:t>o</w:t>
            </w:r>
            <w:r>
              <w:t>ea</w:t>
            </w:r>
            <w:r w:rsidR="001B10BB">
              <w:t xml:space="preserve"> </w:t>
            </w:r>
            <w:r>
              <w:t>and leukopenia reported in leukemia patients receiving oral doses of 1–6 g/d, total doses: 26–390 g (n=32, 5–109 d)</w:t>
            </w:r>
          </w:p>
          <w:p w14:paraId="3AF63124" w14:textId="77777777" w:rsidR="00FB4B3D" w:rsidRDefault="00FB4B3D" w:rsidP="003365A5">
            <w:pPr>
              <w:pStyle w:val="Tabletextprimarysource"/>
            </w:pPr>
            <w:r>
              <w:t>Animal data:</w:t>
            </w:r>
          </w:p>
          <w:p w14:paraId="11C815BC" w14:textId="42922C15" w:rsidR="009607A2" w:rsidRDefault="00FB4B3D" w:rsidP="00FB4B3D">
            <w:pPr>
              <w:pStyle w:val="Tabletextprimarysource"/>
              <w:numPr>
                <w:ilvl w:val="0"/>
                <w:numId w:val="1"/>
              </w:numPr>
            </w:pPr>
            <w:r>
              <w:t>High acute doses (g/kg) used to induce narcosis in veterinary medicine</w:t>
            </w:r>
            <w:r w:rsidR="00465E7A">
              <w:t>:</w:t>
            </w:r>
            <w:r>
              <w:t xml:space="preserve"> </w:t>
            </w:r>
          </w:p>
          <w:p w14:paraId="43F6971A" w14:textId="165F8C12" w:rsidR="00FB4B3D" w:rsidRDefault="00FB4B3D" w:rsidP="009607A2">
            <w:pPr>
              <w:pStyle w:val="Tabletextprimarysource"/>
              <w:numPr>
                <w:ilvl w:val="0"/>
                <w:numId w:val="4"/>
              </w:numPr>
            </w:pPr>
            <w:r>
              <w:t>minimum narcotic dose in mice</w:t>
            </w:r>
            <w:r w:rsidR="004F5CCB">
              <w:t xml:space="preserve"> of </w:t>
            </w:r>
            <w:r>
              <w:t>2 g/kg</w:t>
            </w:r>
          </w:p>
          <w:p w14:paraId="660F970F" w14:textId="77777777" w:rsidR="00FB4B3D" w:rsidRDefault="00FB4B3D" w:rsidP="00FB4B3D">
            <w:pPr>
              <w:pStyle w:val="Tabletextprimarysource"/>
              <w:numPr>
                <w:ilvl w:val="0"/>
                <w:numId w:val="1"/>
              </w:numPr>
            </w:pPr>
            <w:r>
              <w:t>No data indicative of local irritation available</w:t>
            </w:r>
          </w:p>
          <w:p w14:paraId="7F2319C0" w14:textId="77777777" w:rsidR="00FB4B3D" w:rsidRDefault="00FB4B3D" w:rsidP="00FB4B3D">
            <w:pPr>
              <w:pStyle w:val="Tabletextprimarysource"/>
              <w:numPr>
                <w:ilvl w:val="0"/>
                <w:numId w:val="1"/>
              </w:numPr>
            </w:pPr>
            <w:r>
              <w:t>Decreased spleen and thymus weights and leukopenia at 4 mg/kg/d in repeat IP injection study (mice, 12 d)</w:t>
            </w:r>
          </w:p>
          <w:p w14:paraId="009FCBE5" w14:textId="338BE1B0" w:rsidR="00741CDB" w:rsidRDefault="00741CDB" w:rsidP="00FB4B3D">
            <w:pPr>
              <w:pStyle w:val="Tabletextprimarysource"/>
              <w:numPr>
                <w:ilvl w:val="0"/>
                <w:numId w:val="1"/>
              </w:numPr>
            </w:pPr>
            <w:r>
              <w:t>DNA adduct-forming potency 2–4</w:t>
            </w:r>
            <w:r w:rsidR="00CD5C3C">
              <w:t xml:space="preserve"> </w:t>
            </w:r>
            <w:r>
              <w:t>fold higher than that of vinyl chloride, which has a similar genotoxic mechanism of carcinogenicity</w:t>
            </w:r>
          </w:p>
          <w:p w14:paraId="0D5DCE76" w14:textId="77777777" w:rsidR="00CD56D2" w:rsidRDefault="00CD56D2" w:rsidP="00FB4B3D">
            <w:pPr>
              <w:pStyle w:val="Tabletextprimarysource"/>
              <w:numPr>
                <w:ilvl w:val="0"/>
                <w:numId w:val="1"/>
              </w:numPr>
            </w:pPr>
            <w:r>
              <w:t>Lower incidence of liver, heart and lung tumours in mice deficient in the oxidative enzyme implicated in the genotoxic mechanism of carcinogenicity</w:t>
            </w:r>
          </w:p>
          <w:p w14:paraId="62C6362B" w14:textId="77777777" w:rsidR="00F21852" w:rsidRDefault="00FB4B3D" w:rsidP="00741CDB">
            <w:pPr>
              <w:pStyle w:val="Tabletextprimarysource"/>
              <w:numPr>
                <w:ilvl w:val="0"/>
                <w:numId w:val="1"/>
              </w:numPr>
            </w:pPr>
            <w:r>
              <w:t>Increased mortality at 300 mg/kg/d in drinking water or 5% ethanol reported in subchronic feeding study (mice, rats, 13 wk); le</w:t>
            </w:r>
            <w:r w:rsidR="00741CDB">
              <w:t>ukopenia observed at 20 mg/kg/d</w:t>
            </w:r>
            <w:r w:rsidR="00982264">
              <w:t>.</w:t>
            </w:r>
          </w:p>
          <w:p w14:paraId="691908E4" w14:textId="77777777" w:rsidR="009607A2" w:rsidRPr="00DA352E" w:rsidRDefault="009607A2" w:rsidP="009607A2">
            <w:pPr>
              <w:pStyle w:val="Tabletextprimarysource"/>
            </w:pPr>
          </w:p>
        </w:tc>
      </w:tr>
      <w:tr w:rsidR="00DA352E" w:rsidRPr="00DA352E" w14:paraId="2D009CEA" w14:textId="77777777" w:rsidTr="000C0876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702DED97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786CB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786CB6">
                  <w:t>NA</w:t>
                </w:r>
                <w:proofErr w:type="spellEnd"/>
              </w:sdtContent>
            </w:sdt>
          </w:p>
        </w:tc>
      </w:tr>
      <w:tr w:rsidR="00DA352E" w:rsidRPr="00DA352E" w14:paraId="41B07A44" w14:textId="77777777" w:rsidTr="000C0876">
        <w:trPr>
          <w:gridAfter w:val="1"/>
          <w:wAfter w:w="8" w:type="pct"/>
        </w:trPr>
        <w:tc>
          <w:tcPr>
            <w:tcW w:w="4992" w:type="pct"/>
          </w:tcPr>
          <w:p w14:paraId="0B9080F9" w14:textId="77777777" w:rsidR="00DA352E" w:rsidRPr="00DA352E" w:rsidRDefault="00741CDB" w:rsidP="003365A5">
            <w:pPr>
              <w:pStyle w:val="Tabletextprimarysource"/>
            </w:pPr>
            <w:r>
              <w:t>No report</w:t>
            </w:r>
            <w:r w:rsidR="00982264">
              <w:t>.</w:t>
            </w:r>
          </w:p>
        </w:tc>
      </w:tr>
      <w:tr w:rsidR="00DA352E" w:rsidRPr="00DA352E" w14:paraId="43A93AA1" w14:textId="77777777" w:rsidTr="000C0876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A4F6A2E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DA7FDD">
                  <w:t>2000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DA7FDD">
                  <w:t>Not assigned</w:t>
                </w:r>
              </w:sdtContent>
            </w:sdt>
          </w:p>
        </w:tc>
      </w:tr>
      <w:tr w:rsidR="00DA352E" w:rsidRPr="00DA352E" w14:paraId="22C147C2" w14:textId="77777777" w:rsidTr="000C0876">
        <w:trPr>
          <w:gridAfter w:val="1"/>
          <w:wAfter w:w="8" w:type="pct"/>
          <w:cantSplit/>
        </w:trPr>
        <w:tc>
          <w:tcPr>
            <w:tcW w:w="4992" w:type="pct"/>
          </w:tcPr>
          <w:p w14:paraId="4E3B1D1C" w14:textId="4B4834D4" w:rsidR="00DA352E" w:rsidRDefault="00072300" w:rsidP="003365A5">
            <w:pPr>
              <w:pStyle w:val="Tabletextprimarysource"/>
            </w:pPr>
            <w:r>
              <w:t>Summary of additional information:</w:t>
            </w:r>
          </w:p>
          <w:p w14:paraId="4CD8A738" w14:textId="2EA3B3D7" w:rsidR="00417D7F" w:rsidRPr="009C7389" w:rsidRDefault="00417D7F" w:rsidP="003365A5">
            <w:pPr>
              <w:pStyle w:val="Tabletextprimarysource"/>
            </w:pPr>
            <w:r>
              <w:t>No administrative OEL currently exist</w:t>
            </w:r>
            <w:r w:rsidR="00E63CAA">
              <w:t>s</w:t>
            </w:r>
            <w:r>
              <w:t>,</w:t>
            </w:r>
            <w:r w:rsidR="00E63CAA">
              <w:t xml:space="preserve"> available toxicological database is insufficient to recommend a health-based value. However, a </w:t>
            </w:r>
            <w:r>
              <w:t>health-based calculated occupational cancer risk value (HBC-OCRV)</w:t>
            </w:r>
            <w:r w:rsidR="00E63CAA">
              <w:t xml:space="preserve"> is estimated</w:t>
            </w:r>
            <w:r>
              <w:t xml:space="preserve"> based on dose-response relationship of tumour incidence in mice estimated from results of a chronic feeding study. </w:t>
            </w:r>
            <w:r w:rsidR="009C7389">
              <w:t>Lifetime o</w:t>
            </w:r>
            <w:r>
              <w:t>ral unit carcinogeni</w:t>
            </w:r>
            <w:r w:rsidR="009C7389">
              <w:t>c risk factor</w:t>
            </w:r>
            <w:r w:rsidR="004F5CCB">
              <w:t xml:space="preserve"> is </w:t>
            </w:r>
            <w:r w:rsidR="009C7389">
              <w:t>0.35</w:t>
            </w:r>
            <w:r w:rsidR="004F5CCB">
              <w:t> (</w:t>
            </w:r>
            <w:r w:rsidR="009C7389">
              <w:t>mg/kg/d</w:t>
            </w:r>
            <w:r w:rsidR="004F5CCB" w:rsidRPr="004F5CCB">
              <w:t>)</w:t>
            </w:r>
            <w:r w:rsidR="004F5CCB" w:rsidRPr="00465E7A">
              <w:rPr>
                <w:vertAlign w:val="superscript"/>
              </w:rPr>
              <w:t>-1</w:t>
            </w:r>
            <w:r w:rsidR="009C7389">
              <w:t xml:space="preserve"> in mice. No differences in toxicokinetics are assumed between mice and humans, human inhalational unit risk factor therefore estimated at 0.018 </w:t>
            </w:r>
            <w:r w:rsidR="004F5CCB">
              <w:t>(</w:t>
            </w:r>
            <w:r w:rsidR="009C7389">
              <w:t>mg/m</w:t>
            </w:r>
            <w:r w:rsidR="009C7389">
              <w:rPr>
                <w:vertAlign w:val="superscript"/>
              </w:rPr>
              <w:t>3</w:t>
            </w:r>
            <w:r w:rsidR="004F5CCB">
              <w:t>)</w:t>
            </w:r>
            <w:r w:rsidR="004F5CCB" w:rsidRPr="00465E7A">
              <w:rPr>
                <w:vertAlign w:val="superscript"/>
              </w:rPr>
              <w:t>-1</w:t>
            </w:r>
            <w:r w:rsidR="009C7389">
              <w:t xml:space="preserve"> assuming a respiratory volume of 10 m</w:t>
            </w:r>
            <w:r w:rsidR="009C7389">
              <w:rPr>
                <w:vertAlign w:val="superscript"/>
              </w:rPr>
              <w:t>3</w:t>
            </w:r>
            <w:r w:rsidR="009C7389">
              <w:t xml:space="preserve"> during an 8</w:t>
            </w:r>
            <w:r w:rsidR="009607A2">
              <w:t xml:space="preserve"> </w:t>
            </w:r>
            <w:r w:rsidR="009C7389">
              <w:t>h shift in a 70</w:t>
            </w:r>
            <w:r w:rsidR="009607A2">
              <w:t xml:space="preserve"> </w:t>
            </w:r>
            <w:r w:rsidR="009C7389">
              <w:t>kg individual with a working lifespan of 40 out of 75 yr, working 48 wk/yr, 5 d/wk. An additional cancer risk of 4 x 10</w:t>
            </w:r>
            <w:r w:rsidR="009C7389">
              <w:rPr>
                <w:vertAlign w:val="superscript"/>
              </w:rPr>
              <w:t>-5</w:t>
            </w:r>
            <w:r w:rsidR="009C7389">
              <w:t xml:space="preserve"> is therefore predicted at an exposure of 0.002 mg/m</w:t>
            </w:r>
            <w:r w:rsidR="009C7389">
              <w:rPr>
                <w:vertAlign w:val="superscript"/>
              </w:rPr>
              <w:t>3</w:t>
            </w:r>
            <w:r w:rsidR="009C7389">
              <w:t>.</w:t>
            </w:r>
          </w:p>
          <w:p w14:paraId="2E93E656" w14:textId="1B360D30" w:rsidR="00072300" w:rsidRDefault="00072300" w:rsidP="003365A5">
            <w:pPr>
              <w:pStyle w:val="Tabletextprimarysource"/>
            </w:pPr>
            <w:r>
              <w:t>Human data:</w:t>
            </w:r>
          </w:p>
          <w:p w14:paraId="7AF846A8" w14:textId="7DAD0E55" w:rsidR="00072300" w:rsidRDefault="00B21824" w:rsidP="00072300">
            <w:pPr>
              <w:pStyle w:val="Tabletextprimarysource"/>
              <w:numPr>
                <w:ilvl w:val="0"/>
                <w:numId w:val="1"/>
              </w:numPr>
            </w:pPr>
            <w:r>
              <w:t>None available</w:t>
            </w:r>
            <w:r w:rsidR="00982264">
              <w:t>.</w:t>
            </w:r>
          </w:p>
          <w:p w14:paraId="21BB9DEF" w14:textId="730BD720" w:rsidR="00B21824" w:rsidRDefault="00B21824" w:rsidP="00B21824">
            <w:pPr>
              <w:pStyle w:val="Tabletextprimarysource"/>
            </w:pPr>
            <w:r>
              <w:t>Animal data:</w:t>
            </w:r>
          </w:p>
          <w:p w14:paraId="35A699E4" w14:textId="77777777" w:rsidR="00B21824" w:rsidRDefault="00B21824" w:rsidP="00B21824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Genotoxic </w:t>
            </w:r>
            <w:r>
              <w:rPr>
                <w:i/>
              </w:rPr>
              <w:t>in vitro</w:t>
            </w:r>
            <w:r>
              <w:t xml:space="preserve"> and </w:t>
            </w:r>
            <w:r>
              <w:rPr>
                <w:i/>
              </w:rPr>
              <w:t>in vivo</w:t>
            </w:r>
            <w:r>
              <w:t xml:space="preserve"> based on positive results in several studies</w:t>
            </w:r>
          </w:p>
          <w:p w14:paraId="536A7EEB" w14:textId="77777777" w:rsidR="00B21824" w:rsidRDefault="00B21824" w:rsidP="00B21824">
            <w:pPr>
              <w:pStyle w:val="Tabletextprimarysource"/>
              <w:numPr>
                <w:ilvl w:val="0"/>
                <w:numId w:val="1"/>
              </w:numPr>
            </w:pPr>
            <w:r>
              <w:t>Demonstrated carcinogenicity in mice, rats and hamsters following oral, subcutaneous, IP or inhalational administration producing lung, liver, vascular and heart cancers</w:t>
            </w:r>
          </w:p>
          <w:p w14:paraId="3793D4F7" w14:textId="2EC846FE" w:rsidR="00B21824" w:rsidRDefault="00B21824" w:rsidP="00B21824">
            <w:pPr>
              <w:pStyle w:val="Tabletextprimarysource"/>
              <w:numPr>
                <w:ilvl w:val="0"/>
                <w:numId w:val="1"/>
              </w:numPr>
            </w:pPr>
            <w:r>
              <w:t>Cancer risk assessment in humans based on chronic feeding study with dose groups 0,</w:t>
            </w:r>
            <w:r w:rsidR="003F4123">
              <w:t> </w:t>
            </w:r>
            <w:r>
              <w:t>0.1, 0.5, 2.5 and 12.5 mg/kg/d in drinking water (mice, rats, 2 yr)</w:t>
            </w:r>
            <w:r w:rsidR="00465E7A">
              <w:t>:</w:t>
            </w:r>
          </w:p>
          <w:p w14:paraId="3D5DC82B" w14:textId="77777777" w:rsidR="00B21824" w:rsidRDefault="00B21824" w:rsidP="00982264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>increased incidence of mammary tumours at 2.5 mg/kg/d (female rats)</w:t>
            </w:r>
          </w:p>
          <w:p w14:paraId="51D4FB8D" w14:textId="77777777" w:rsidR="00B21824" w:rsidRDefault="00B21824" w:rsidP="00982264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>increased incidence of lung and mammary tumours at 0.5 mg/kg/d (male and female mice)</w:t>
            </w:r>
          </w:p>
          <w:p w14:paraId="72C33992" w14:textId="77777777" w:rsidR="00B21824" w:rsidRDefault="00B21824" w:rsidP="00982264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>lifespan cancer risk estimated from linear extrapolation of dose-response relationship for tumour incidence in mice</w:t>
            </w:r>
          </w:p>
          <w:p w14:paraId="46847EB7" w14:textId="58596ED3" w:rsidR="00417D7F" w:rsidRDefault="00417D7F" w:rsidP="00982264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>oral unit carcinogenic risk factor under lifetime conditions estimated at 0.35</w:t>
            </w:r>
            <w:r w:rsidR="003F4123" w:rsidDel="003F4123">
              <w:t xml:space="preserve"> </w:t>
            </w:r>
            <w:r w:rsidR="003F4123">
              <w:t>(</w:t>
            </w:r>
            <w:r>
              <w:t>mg/kg/d</w:t>
            </w:r>
            <w:r w:rsidR="003F4123">
              <w:t>)</w:t>
            </w:r>
            <w:r w:rsidR="003F4123" w:rsidRPr="00465E7A">
              <w:rPr>
                <w:vertAlign w:val="superscript"/>
              </w:rPr>
              <w:t>-1</w:t>
            </w:r>
            <w:r>
              <w:t xml:space="preserve"> (mice)</w:t>
            </w:r>
            <w:r w:rsidR="00982264">
              <w:t>.</w:t>
            </w:r>
          </w:p>
          <w:p w14:paraId="63FE02E0" w14:textId="77777777" w:rsidR="009607A2" w:rsidRPr="00DA352E" w:rsidRDefault="009607A2" w:rsidP="009607A2">
            <w:pPr>
              <w:pStyle w:val="Tabletextprimarysource"/>
            </w:pPr>
          </w:p>
        </w:tc>
      </w:tr>
    </w:tbl>
    <w:p w14:paraId="6BEAA508" w14:textId="77777777" w:rsidR="00A20751" w:rsidRPr="004C23F4" w:rsidRDefault="00A20751" w:rsidP="003365A5">
      <w:pPr>
        <w:pStyle w:val="Heading3"/>
      </w:pPr>
      <w:bookmarkStart w:id="0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87"/>
        <w:gridCol w:w="421"/>
        <w:gridCol w:w="661"/>
        <w:gridCol w:w="6457"/>
      </w:tblGrid>
      <w:tr w:rsidR="0055567E" w:rsidRPr="00263255" w14:paraId="5376023A" w14:textId="77777777" w:rsidTr="000C08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87" w:type="dxa"/>
            <w:shd w:val="clear" w:color="auto" w:fill="BFBFBF" w:themeFill="background1" w:themeFillShade="BF"/>
            <w:vAlign w:val="center"/>
          </w:tcPr>
          <w:p w14:paraId="23CA0FA8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19C75B4D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10066674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7" w:type="dxa"/>
            <w:shd w:val="clear" w:color="auto" w:fill="BFBFBF" w:themeFill="background1" w:themeFillShade="BF"/>
            <w:vAlign w:val="center"/>
          </w:tcPr>
          <w:p w14:paraId="60951C92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55567E" w:rsidRPr="004C23F4" w14:paraId="3677F9F3" w14:textId="77777777" w:rsidTr="000C0876">
        <w:trPr>
          <w:cantSplit/>
        </w:trPr>
        <w:tc>
          <w:tcPr>
            <w:tcW w:w="1487" w:type="dxa"/>
          </w:tcPr>
          <w:p w14:paraId="71404834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1" w:type="dxa"/>
          </w:tcPr>
          <w:p w14:paraId="4A1EEAA0" w14:textId="77777777" w:rsidR="004966BF" w:rsidRPr="00CE617F" w:rsidRDefault="000C0876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E63CAA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1F1BE028" w14:textId="77777777" w:rsidR="004966BF" w:rsidRPr="004C23F4" w:rsidRDefault="00356B25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2015</w:t>
            </w:r>
          </w:p>
        </w:tc>
        <w:tc>
          <w:tcPr>
            <w:tcW w:w="6457" w:type="dxa"/>
          </w:tcPr>
          <w:p w14:paraId="0B7324D1" w14:textId="018A13C1" w:rsidR="00E63CAA" w:rsidRDefault="00982264" w:rsidP="009607A2">
            <w:pPr>
              <w:pStyle w:val="Tablefont"/>
              <w:numPr>
                <w:ilvl w:val="0"/>
                <w:numId w:val="1"/>
              </w:numPr>
              <w:spacing w:before="60" w:after="60"/>
              <w:ind w:hanging="357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="00E63CAA">
              <w:rPr>
                <w:rFonts w:cs="Arial"/>
              </w:rPr>
              <w:t>xidative metabolism proceeds through 2 pathways</w:t>
            </w:r>
            <w:r w:rsidR="00465E7A">
              <w:rPr>
                <w:rFonts w:cs="Arial"/>
              </w:rPr>
              <w:t>:</w:t>
            </w:r>
          </w:p>
          <w:p w14:paraId="5B5827F0" w14:textId="77777777" w:rsidR="00E63CAA" w:rsidRDefault="00E63CAA" w:rsidP="009607A2">
            <w:pPr>
              <w:pStyle w:val="Tablefont"/>
              <w:numPr>
                <w:ilvl w:val="1"/>
                <w:numId w:val="1"/>
              </w:numPr>
              <w:spacing w:before="60" w:after="60"/>
              <w:ind w:left="1158" w:hanging="357"/>
              <w:rPr>
                <w:rFonts w:cs="Arial"/>
              </w:rPr>
            </w:pPr>
            <w:r>
              <w:rPr>
                <w:rFonts w:cs="Arial"/>
              </w:rPr>
              <w:t>production of vinyl carbamate and corresponding epoxide, which both react with DNA</w:t>
            </w:r>
          </w:p>
          <w:p w14:paraId="6000FD00" w14:textId="77777777" w:rsidR="00E63CAA" w:rsidRDefault="00E63CAA" w:rsidP="009607A2">
            <w:pPr>
              <w:pStyle w:val="Tablefont"/>
              <w:numPr>
                <w:ilvl w:val="1"/>
                <w:numId w:val="1"/>
              </w:numPr>
              <w:spacing w:before="60" w:after="60"/>
              <w:ind w:left="1158" w:hanging="357"/>
              <w:rPr>
                <w:rFonts w:cs="Arial"/>
              </w:rPr>
            </w:pPr>
            <w:r>
              <w:rPr>
                <w:rFonts w:cs="Arial"/>
              </w:rPr>
              <w:t>production of ethanol and ammonia</w:t>
            </w:r>
          </w:p>
          <w:p w14:paraId="20F6C889" w14:textId="77777777" w:rsidR="009C7389" w:rsidRPr="00E63CAA" w:rsidRDefault="00E63CAA" w:rsidP="009607A2">
            <w:pPr>
              <w:pStyle w:val="Tablefont"/>
              <w:numPr>
                <w:ilvl w:val="0"/>
                <w:numId w:val="1"/>
              </w:numPr>
              <w:spacing w:before="60" w:after="60"/>
              <w:ind w:hanging="357"/>
              <w:rPr>
                <w:rStyle w:val="checkbox"/>
                <w:rFonts w:ascii="Arial" w:hAnsi="Arial" w:cs="Arial"/>
                <w:color w:val="262626"/>
                <w:lang w:eastAsia="en-US"/>
              </w:rPr>
            </w:pPr>
            <w:r>
              <w:rPr>
                <w:rFonts w:cs="Arial"/>
              </w:rPr>
              <w:t xml:space="preserve">Clearly genotoxic </w:t>
            </w:r>
            <w:r>
              <w:rPr>
                <w:rFonts w:cs="Arial"/>
                <w:i/>
              </w:rPr>
              <w:t xml:space="preserve">in vivo </w:t>
            </w:r>
            <w:r>
              <w:rPr>
                <w:rFonts w:cs="Arial"/>
              </w:rPr>
              <w:t xml:space="preserve">and </w:t>
            </w:r>
            <w:r>
              <w:rPr>
                <w:rFonts w:cs="Arial"/>
                <w:i/>
              </w:rPr>
              <w:t xml:space="preserve">in </w:t>
            </w:r>
            <w:r w:rsidRPr="00E63CAA">
              <w:rPr>
                <w:rFonts w:cs="Arial"/>
                <w:i/>
              </w:rPr>
              <w:t>vitro</w:t>
            </w:r>
            <w:r>
              <w:rPr>
                <w:rFonts w:cs="Arial"/>
              </w:rPr>
              <w:t xml:space="preserve"> b</w:t>
            </w:r>
            <w:r w:rsidR="009C7389" w:rsidRPr="00E63CAA">
              <w:rPr>
                <w:rFonts w:cs="Arial"/>
              </w:rPr>
              <w:t>ased</w:t>
            </w:r>
            <w:r w:rsidR="009C7389" w:rsidRPr="009C7389">
              <w:rPr>
                <w:rFonts w:cs="Arial"/>
              </w:rPr>
              <w:t xml:space="preserve"> on several mutagenicity studies</w:t>
            </w:r>
            <w:r w:rsidR="00982264">
              <w:rPr>
                <w:rFonts w:cs="Arial"/>
              </w:rPr>
              <w:t>.</w:t>
            </w:r>
          </w:p>
        </w:tc>
      </w:tr>
      <w:tr w:rsidR="0055567E" w:rsidRPr="004C23F4" w14:paraId="4C856797" w14:textId="77777777" w:rsidTr="000C0876">
        <w:trPr>
          <w:cantSplit/>
        </w:trPr>
        <w:tc>
          <w:tcPr>
            <w:tcW w:w="1487" w:type="dxa"/>
          </w:tcPr>
          <w:p w14:paraId="33BCB260" w14:textId="77777777" w:rsidR="004966BF" w:rsidRPr="004C23F4" w:rsidRDefault="004966BF" w:rsidP="00224EE2">
            <w:pPr>
              <w:pStyle w:val="Tablefont"/>
            </w:pPr>
            <w:r>
              <w:t>IARC</w:t>
            </w:r>
          </w:p>
        </w:tc>
        <w:tc>
          <w:tcPr>
            <w:tcW w:w="421" w:type="dxa"/>
          </w:tcPr>
          <w:p w14:paraId="6913D135" w14:textId="77777777" w:rsidR="004966BF" w:rsidRPr="00CE617F" w:rsidRDefault="000C0876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592279139"/>
                <w:placeholder>
                  <w:docPart w:val="20BC8D26515A4C11AC6304FB75A7CBA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FB4826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84DD145" w14:textId="77777777" w:rsidR="004966BF" w:rsidRPr="004C23F4" w:rsidRDefault="00FB4826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2010</w:t>
            </w:r>
          </w:p>
        </w:tc>
        <w:tc>
          <w:tcPr>
            <w:tcW w:w="6457" w:type="dxa"/>
          </w:tcPr>
          <w:p w14:paraId="1C6216F1" w14:textId="45574CD6" w:rsidR="009607A2" w:rsidRDefault="00E63CAA">
            <w:pPr>
              <w:pStyle w:val="Tablefont"/>
              <w:numPr>
                <w:ilvl w:val="0"/>
                <w:numId w:val="1"/>
              </w:numPr>
              <w:spacing w:before="60" w:after="60"/>
              <w:ind w:hanging="357"/>
              <w:rPr>
                <w:rFonts w:cs="Arial"/>
              </w:rPr>
            </w:pPr>
            <w:r>
              <w:rPr>
                <w:rFonts w:cs="Arial"/>
              </w:rPr>
              <w:t>Metabolised by CYP oxidative enzyme to vinyl carbamate and corresponding epoxide</w:t>
            </w:r>
            <w:r w:rsidR="00465E7A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</w:p>
          <w:p w14:paraId="7A16CAFA" w14:textId="77777777" w:rsidR="00E63CAA" w:rsidRDefault="00E63CAA" w:rsidP="009607A2">
            <w:pPr>
              <w:pStyle w:val="Tablefont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this metabolic pathway is similar in rodents and in humans</w:t>
            </w:r>
          </w:p>
          <w:p w14:paraId="5775D833" w14:textId="77777777" w:rsidR="00FB4826" w:rsidRDefault="00FB4826" w:rsidP="009607A2">
            <w:pPr>
              <w:pStyle w:val="Tablefont"/>
              <w:numPr>
                <w:ilvl w:val="0"/>
                <w:numId w:val="1"/>
              </w:numPr>
              <w:spacing w:before="60" w:after="60"/>
              <w:ind w:hanging="357"/>
              <w:rPr>
                <w:rFonts w:cs="Arial"/>
              </w:rPr>
            </w:pPr>
            <w:r w:rsidRPr="00FB4826">
              <w:rPr>
                <w:rFonts w:cs="Arial"/>
              </w:rPr>
              <w:t>Possible</w:t>
            </w:r>
            <w:r w:rsidR="0055567E">
              <w:rPr>
                <w:rFonts w:cs="Arial"/>
              </w:rPr>
              <w:t xml:space="preserve"> carcinogenic</w:t>
            </w:r>
            <w:r w:rsidRPr="00FB4826">
              <w:rPr>
                <w:rFonts w:cs="Arial"/>
              </w:rPr>
              <w:t xml:space="preserve"> mechanisms </w:t>
            </w:r>
            <w:r w:rsidR="0055567E">
              <w:rPr>
                <w:rFonts w:cs="Arial"/>
              </w:rPr>
              <w:t>include</w:t>
            </w:r>
            <w:r w:rsidRPr="00FB4826">
              <w:rPr>
                <w:rFonts w:cs="Arial"/>
              </w:rPr>
              <w:t xml:space="preserve"> induction of DNA damage by its metabolites and an increase</w:t>
            </w:r>
            <w:r w:rsidR="0055567E">
              <w:rPr>
                <w:rFonts w:cs="Arial"/>
              </w:rPr>
              <w:t>d</w:t>
            </w:r>
            <w:r w:rsidRPr="00FB4826">
              <w:rPr>
                <w:rFonts w:cs="Arial"/>
              </w:rPr>
              <w:t xml:space="preserve"> cell proliferation in target t</w:t>
            </w:r>
            <w:r w:rsidR="0055567E">
              <w:rPr>
                <w:rFonts w:cs="Arial"/>
              </w:rPr>
              <w:t>issues</w:t>
            </w:r>
          </w:p>
          <w:p w14:paraId="5EF3EE46" w14:textId="226BA7AF" w:rsidR="00FB4826" w:rsidRDefault="0055567E" w:rsidP="009607A2">
            <w:pPr>
              <w:pStyle w:val="Tablefont"/>
              <w:numPr>
                <w:ilvl w:val="0"/>
                <w:numId w:val="1"/>
              </w:numPr>
              <w:spacing w:before="60" w:after="60"/>
              <w:ind w:hanging="357"/>
              <w:rPr>
                <w:rFonts w:cs="Arial"/>
              </w:rPr>
            </w:pPr>
            <w:proofErr w:type="gramStart"/>
            <w:r>
              <w:rPr>
                <w:rFonts w:cs="Arial"/>
              </w:rPr>
              <w:t>Sufficient</w:t>
            </w:r>
            <w:proofErr w:type="gramEnd"/>
            <w:r>
              <w:rPr>
                <w:rFonts w:cs="Arial"/>
              </w:rPr>
              <w:t xml:space="preserve"> evidence for carcinogenicity in </w:t>
            </w:r>
            <w:r w:rsidR="00FB4826" w:rsidRPr="00FB4826">
              <w:rPr>
                <w:rFonts w:cs="Arial"/>
              </w:rPr>
              <w:t>animals</w:t>
            </w:r>
            <w:r w:rsidR="00465E7A">
              <w:rPr>
                <w:rFonts w:cs="Arial"/>
              </w:rPr>
              <w:t>:</w:t>
            </w:r>
            <w:r w:rsidR="00FB4826" w:rsidRPr="00FB4826">
              <w:rPr>
                <w:rFonts w:cs="Arial"/>
              </w:rPr>
              <w:t xml:space="preserve"> </w:t>
            </w:r>
          </w:p>
          <w:p w14:paraId="4F08D3C9" w14:textId="77777777" w:rsidR="009607A2" w:rsidRDefault="00FB4826">
            <w:pPr>
              <w:pStyle w:val="Tablefont"/>
              <w:numPr>
                <w:ilvl w:val="1"/>
                <w:numId w:val="1"/>
              </w:numPr>
              <w:spacing w:before="60" w:after="60"/>
              <w:ind w:left="1158" w:hanging="357"/>
              <w:rPr>
                <w:rFonts w:cs="Arial"/>
              </w:rPr>
            </w:pPr>
            <w:r w:rsidRPr="00FB4826">
              <w:rPr>
                <w:rFonts w:cs="Arial"/>
              </w:rPr>
              <w:t>suggests similarities in the metabolic pathways in rodents and humans</w:t>
            </w:r>
            <w:r w:rsidR="0055567E">
              <w:rPr>
                <w:rFonts w:cs="Arial"/>
              </w:rPr>
              <w:t>;</w:t>
            </w:r>
            <w:r w:rsidRPr="00FB4826">
              <w:rPr>
                <w:rFonts w:cs="Arial"/>
              </w:rPr>
              <w:t xml:space="preserve"> </w:t>
            </w:r>
          </w:p>
          <w:p w14:paraId="20B1B67D" w14:textId="77777777" w:rsidR="00FB4826" w:rsidRDefault="00FB4826" w:rsidP="009607A2">
            <w:pPr>
              <w:pStyle w:val="Tablefont"/>
              <w:numPr>
                <w:ilvl w:val="1"/>
                <w:numId w:val="1"/>
              </w:numPr>
              <w:spacing w:before="60" w:after="60"/>
              <w:ind w:left="1158" w:hanging="357"/>
              <w:rPr>
                <w:rFonts w:cs="Arial"/>
              </w:rPr>
            </w:pPr>
            <w:r w:rsidRPr="00FB4826">
              <w:rPr>
                <w:rFonts w:cs="Arial"/>
              </w:rPr>
              <w:t xml:space="preserve">formation of </w:t>
            </w:r>
            <w:r w:rsidR="0055567E" w:rsidRPr="00FB4826">
              <w:rPr>
                <w:rFonts w:cs="Arial"/>
              </w:rPr>
              <w:t xml:space="preserve">DNA-reactive </w:t>
            </w:r>
            <w:r w:rsidRPr="00FB4826">
              <w:rPr>
                <w:rFonts w:cs="Arial"/>
              </w:rPr>
              <w:t xml:space="preserve">carcinogens </w:t>
            </w:r>
            <w:r w:rsidR="0055567E">
              <w:rPr>
                <w:rFonts w:cs="Arial"/>
              </w:rPr>
              <w:t xml:space="preserve">strongly suspected to cause cancer </w:t>
            </w:r>
            <w:r w:rsidRPr="00FB4826">
              <w:rPr>
                <w:rFonts w:cs="Arial"/>
              </w:rPr>
              <w:t xml:space="preserve">in rodents </w:t>
            </w:r>
            <w:r w:rsidR="0055567E">
              <w:rPr>
                <w:rFonts w:cs="Arial"/>
              </w:rPr>
              <w:t>and would likely</w:t>
            </w:r>
            <w:r w:rsidRPr="00FB4826">
              <w:rPr>
                <w:rFonts w:cs="Arial"/>
              </w:rPr>
              <w:t xml:space="preserve"> also occur</w:t>
            </w:r>
            <w:r w:rsidR="0055567E">
              <w:rPr>
                <w:rFonts w:cs="Arial"/>
              </w:rPr>
              <w:t xml:space="preserve"> in human cells</w:t>
            </w:r>
          </w:p>
          <w:p w14:paraId="5CB2A589" w14:textId="77777777" w:rsidR="00FB4826" w:rsidRPr="004C23F4" w:rsidRDefault="0055567E" w:rsidP="009607A2">
            <w:pPr>
              <w:pStyle w:val="Tablefont"/>
              <w:numPr>
                <w:ilvl w:val="0"/>
                <w:numId w:val="1"/>
              </w:numPr>
              <w:spacing w:before="60" w:after="60"/>
              <w:ind w:hanging="357"/>
              <w:rPr>
                <w:rStyle w:val="checkbox"/>
                <w:rFonts w:ascii="Arial" w:hAnsi="Arial" w:cs="Arial"/>
                <w:lang w:eastAsia="en-US"/>
              </w:rPr>
            </w:pPr>
            <w:r>
              <w:rPr>
                <w:rFonts w:cs="Arial"/>
              </w:rPr>
              <w:t xml:space="preserve">Overall evaluation: </w:t>
            </w:r>
            <w:r w:rsidR="00FB4826" w:rsidRPr="00FB4826">
              <w:rPr>
                <w:rFonts w:cs="Arial"/>
              </w:rPr>
              <w:t>probably ca</w:t>
            </w:r>
            <w:r>
              <w:rPr>
                <w:rFonts w:cs="Arial"/>
              </w:rPr>
              <w:t>rcinogenic to humans (Group 2A)</w:t>
            </w:r>
            <w:r w:rsidR="00982264">
              <w:rPr>
                <w:rFonts w:cs="Arial"/>
              </w:rPr>
              <w:t>.</w:t>
            </w:r>
          </w:p>
        </w:tc>
        <w:bookmarkStart w:id="1" w:name="_GoBack"/>
        <w:bookmarkEnd w:id="1"/>
      </w:tr>
      <w:tr w:rsidR="0055567E" w:rsidRPr="004C23F4" w14:paraId="16C9A491" w14:textId="77777777" w:rsidTr="000C0876">
        <w:trPr>
          <w:cantSplit/>
        </w:trPr>
        <w:tc>
          <w:tcPr>
            <w:tcW w:w="1487" w:type="dxa"/>
          </w:tcPr>
          <w:p w14:paraId="34E3D822" w14:textId="77777777" w:rsidR="004966BF" w:rsidRPr="004C23F4" w:rsidRDefault="004966BF" w:rsidP="00224EE2">
            <w:pPr>
              <w:pStyle w:val="Tablefont"/>
            </w:pPr>
            <w:r>
              <w:t>NTP</w:t>
            </w:r>
          </w:p>
        </w:tc>
        <w:tc>
          <w:tcPr>
            <w:tcW w:w="421" w:type="dxa"/>
          </w:tcPr>
          <w:p w14:paraId="23E766BF" w14:textId="77777777" w:rsidR="004966BF" w:rsidRPr="00CE617F" w:rsidRDefault="000C0876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954586092"/>
                <w:placeholder>
                  <w:docPart w:val="0599BE4318CD4CC0836196E577CC2921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55567E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7F5D716B" w14:textId="77777777" w:rsidR="004966BF" w:rsidRPr="004C23F4" w:rsidRDefault="00356B25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2016</w:t>
            </w:r>
          </w:p>
        </w:tc>
        <w:tc>
          <w:tcPr>
            <w:tcW w:w="6457" w:type="dxa"/>
          </w:tcPr>
          <w:p w14:paraId="3ED51360" w14:textId="1B3D6C7C" w:rsidR="009607A2" w:rsidRDefault="0055567E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Fonts w:cs="Arial"/>
              </w:rPr>
            </w:pPr>
            <w:r>
              <w:rPr>
                <w:rFonts w:cs="Arial"/>
              </w:rPr>
              <w:t>Polyurethane polymers</w:t>
            </w:r>
            <w:r w:rsidR="00FB4826" w:rsidRPr="00FB4826">
              <w:rPr>
                <w:rFonts w:cs="Arial"/>
              </w:rPr>
              <w:t xml:space="preserve"> used as foams, elastomers and coatings</w:t>
            </w:r>
            <w:r>
              <w:rPr>
                <w:rFonts w:cs="Arial"/>
              </w:rPr>
              <w:t xml:space="preserve"> sometimes referred to as “urethane”</w:t>
            </w:r>
            <w:r w:rsidR="00465E7A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</w:p>
          <w:p w14:paraId="0F552D4F" w14:textId="77777777" w:rsidR="00FB4826" w:rsidRDefault="0055567E" w:rsidP="009607A2">
            <w:pPr>
              <w:pStyle w:val="Tablefont"/>
              <w:numPr>
                <w:ilvl w:val="0"/>
                <w:numId w:val="6"/>
              </w:num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these polymers are not made from the substance</w:t>
            </w:r>
            <w:r w:rsidR="00FB4826" w:rsidRPr="00FB4826">
              <w:rPr>
                <w:rFonts w:cs="Arial"/>
              </w:rPr>
              <w:t xml:space="preserve"> and do not</w:t>
            </w:r>
            <w:r>
              <w:rPr>
                <w:rFonts w:cs="Arial"/>
              </w:rPr>
              <w:t xml:space="preserve"> generate it upon decomposition</w:t>
            </w:r>
          </w:p>
          <w:p w14:paraId="51B7E499" w14:textId="77777777" w:rsidR="00FB4826" w:rsidRPr="004C23F4" w:rsidRDefault="0055567E" w:rsidP="009607A2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  <w:lang w:eastAsia="en-US"/>
              </w:rPr>
            </w:pPr>
            <w:r>
              <w:rPr>
                <w:rFonts w:cs="Arial"/>
              </w:rPr>
              <w:t>R</w:t>
            </w:r>
            <w:r w:rsidR="00FB4826" w:rsidRPr="00FB4826">
              <w:rPr>
                <w:rFonts w:cs="Arial"/>
              </w:rPr>
              <w:t xml:space="preserve">easonably anticipated to be a human carcinogen based on sufficient evidence of carcinogenicity from </w:t>
            </w:r>
            <w:r>
              <w:rPr>
                <w:rFonts w:cs="Arial"/>
              </w:rPr>
              <w:t xml:space="preserve">numerous </w:t>
            </w:r>
            <w:r w:rsidR="00FB4826" w:rsidRPr="00FB4826">
              <w:rPr>
                <w:rFonts w:cs="Arial"/>
              </w:rPr>
              <w:t xml:space="preserve">studies </w:t>
            </w:r>
            <w:r>
              <w:rPr>
                <w:rFonts w:cs="Arial"/>
              </w:rPr>
              <w:t>with rodents (mice, rats, hamsters)</w:t>
            </w:r>
            <w:r w:rsidR="00982264">
              <w:rPr>
                <w:rFonts w:cs="Arial"/>
              </w:rPr>
              <w:t>.</w:t>
            </w:r>
          </w:p>
        </w:tc>
      </w:tr>
      <w:tr w:rsidR="0055567E" w:rsidRPr="004C23F4" w14:paraId="14480A94" w14:textId="77777777" w:rsidTr="000C0876">
        <w:trPr>
          <w:cantSplit/>
        </w:trPr>
        <w:tc>
          <w:tcPr>
            <w:tcW w:w="1487" w:type="dxa"/>
          </w:tcPr>
          <w:p w14:paraId="50BB0021" w14:textId="77777777" w:rsidR="004966BF" w:rsidRPr="004C23F4" w:rsidRDefault="004966BF" w:rsidP="00224EE2">
            <w:pPr>
              <w:pStyle w:val="Tablefont"/>
            </w:pPr>
            <w:r>
              <w:t>US EPA</w:t>
            </w:r>
          </w:p>
        </w:tc>
        <w:tc>
          <w:tcPr>
            <w:tcW w:w="421" w:type="dxa"/>
          </w:tcPr>
          <w:p w14:paraId="3100C755" w14:textId="77777777" w:rsidR="004966BF" w:rsidRPr="00CE617F" w:rsidRDefault="000C0876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CFFDE270CB50461B826B0194984892C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5934F3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05EBDD73" w14:textId="77777777" w:rsidR="004966BF" w:rsidRPr="004C23F4" w:rsidRDefault="00D345BB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1992</w:t>
            </w:r>
          </w:p>
        </w:tc>
        <w:tc>
          <w:tcPr>
            <w:tcW w:w="6457" w:type="dxa"/>
          </w:tcPr>
          <w:p w14:paraId="449B48E3" w14:textId="1E779456" w:rsidR="004966BF" w:rsidRPr="004C23F4" w:rsidRDefault="00D345BB" w:rsidP="009607A2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  <w:lang w:eastAsia="en-US"/>
              </w:rPr>
            </w:pPr>
            <w:r>
              <w:rPr>
                <w:rStyle w:val="checkbox"/>
                <w:rFonts w:ascii="Arial" w:hAnsi="Arial" w:cs="Arial"/>
              </w:rPr>
              <w:t>Report archived, oral/inhalational unit risk factor and carcinogenicity not assessed</w:t>
            </w:r>
            <w:r w:rsidR="00465E7A">
              <w:rPr>
                <w:rStyle w:val="checkbox"/>
                <w:rFonts w:ascii="Arial" w:hAnsi="Arial" w:cs="Arial"/>
              </w:rPr>
              <w:t>.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</w:p>
        </w:tc>
      </w:tr>
    </w:tbl>
    <w:bookmarkEnd w:id="0"/>
    <w:p w14:paraId="2ACA88A3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9"/>
        <w:gridCol w:w="2417"/>
      </w:tblGrid>
      <w:tr w:rsidR="002E0D61" w14:paraId="643ACA69" w14:textId="77777777" w:rsidTr="00D345BB">
        <w:trPr>
          <w:trHeight w:val="454"/>
          <w:tblHeader/>
        </w:trPr>
        <w:tc>
          <w:tcPr>
            <w:tcW w:w="6609" w:type="dxa"/>
            <w:vAlign w:val="center"/>
          </w:tcPr>
          <w:p w14:paraId="36E8A9E2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17" w:type="dxa"/>
                <w:vAlign w:val="center"/>
              </w:tcPr>
              <w:p w14:paraId="16CA26AF" w14:textId="77777777" w:rsidR="002E0D61" w:rsidRDefault="00D345BB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14:paraId="1948446D" w14:textId="77777777" w:rsidTr="00D345BB">
        <w:trPr>
          <w:trHeight w:val="454"/>
        </w:trPr>
        <w:tc>
          <w:tcPr>
            <w:tcW w:w="6609" w:type="dxa"/>
            <w:vAlign w:val="center"/>
          </w:tcPr>
          <w:p w14:paraId="3E73F8E2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17" w:type="dxa"/>
                <w:vAlign w:val="center"/>
              </w:tcPr>
              <w:p w14:paraId="021FCEAC" w14:textId="77777777" w:rsidR="008A36CF" w:rsidRDefault="00D345BB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14:paraId="4A5B347A" w14:textId="77777777" w:rsidTr="00D345BB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9" w:type="dxa"/>
                <w:vAlign w:val="center"/>
              </w:tcPr>
              <w:p w14:paraId="0475B5F6" w14:textId="77777777" w:rsidR="008A36CF" w:rsidRPr="006901A2" w:rsidRDefault="00D345BB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a non-threshold based genotoxic carcinogen.</w:t>
                </w:r>
              </w:p>
            </w:tc>
          </w:sdtContent>
        </w:sdt>
        <w:tc>
          <w:tcPr>
            <w:tcW w:w="2417" w:type="dxa"/>
            <w:vAlign w:val="center"/>
          </w:tcPr>
          <w:p w14:paraId="32D256DD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  <w:tr w:rsidR="008A36CF" w14:paraId="600F65C3" w14:textId="77777777" w:rsidTr="00D345BB">
        <w:trPr>
          <w:trHeight w:val="454"/>
        </w:trPr>
        <w:tc>
          <w:tcPr>
            <w:tcW w:w="6609" w:type="dxa"/>
            <w:vAlign w:val="center"/>
          </w:tcPr>
          <w:p w14:paraId="27F8FE25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 w:rsidRPr="008A36CF">
              <w:t>Is a cancer slope factor or inhalation unit risk value available?</w:t>
            </w:r>
          </w:p>
        </w:tc>
        <w:sdt>
          <w:sdtPr>
            <w:id w:val="1304347970"/>
            <w:placeholder>
              <w:docPart w:val="047AD93791DC493F8562BB3488160D64"/>
            </w:placeholder>
            <w:comboBox>
              <w:listItem w:value="Choose an item."/>
              <w:listItem w:displayText="Yes" w:value="Yes"/>
              <w:listItem w:displayText="No" w:value="No"/>
              <w:listItem w:displayText="NA" w:value="NA"/>
            </w:comboBox>
          </w:sdtPr>
          <w:sdtEndPr/>
          <w:sdtContent>
            <w:tc>
              <w:tcPr>
                <w:tcW w:w="2417" w:type="dxa"/>
                <w:vAlign w:val="center"/>
              </w:tcPr>
              <w:p w14:paraId="163A9268" w14:textId="77777777" w:rsidR="008A36CF" w:rsidRDefault="00D345BB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</w:tbl>
    <w:bookmarkEnd w:id="2"/>
    <w:p w14:paraId="49BFDCB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55C6A1B9" w14:textId="77777777" w:rsidTr="000C08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6082D0B0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158CCDF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150337D4" w14:textId="77777777" w:rsidTr="000C0876">
        <w:trPr>
          <w:cantSplit/>
        </w:trPr>
        <w:tc>
          <w:tcPr>
            <w:tcW w:w="3227" w:type="dxa"/>
          </w:tcPr>
          <w:p w14:paraId="40370EFF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1B472FD8" w14:textId="77777777" w:rsidR="00687890" w:rsidRPr="00DD2F9B" w:rsidRDefault="005815C9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3EAEF76D" w14:textId="77777777" w:rsidTr="000C0876">
        <w:trPr>
          <w:cantSplit/>
        </w:trPr>
        <w:tc>
          <w:tcPr>
            <w:tcW w:w="3227" w:type="dxa"/>
          </w:tcPr>
          <w:p w14:paraId="378188FF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7F717553" w14:textId="77777777" w:rsidR="007925F0" w:rsidRPr="00DD2F9B" w:rsidRDefault="005815C9" w:rsidP="00DD2F9B">
            <w:pPr>
              <w:pStyle w:val="Tablefont"/>
            </w:pPr>
            <w:r w:rsidRPr="005815C9">
              <w:t>Carcinogenicity – category 1B</w:t>
            </w:r>
          </w:p>
        </w:tc>
      </w:tr>
      <w:tr w:rsidR="00AF483F" w:rsidRPr="004C23F4" w14:paraId="794D6ACC" w14:textId="77777777" w:rsidTr="000C0876">
        <w:trPr>
          <w:cantSplit/>
        </w:trPr>
        <w:tc>
          <w:tcPr>
            <w:tcW w:w="3227" w:type="dxa"/>
          </w:tcPr>
          <w:p w14:paraId="5956D741" w14:textId="77777777" w:rsidR="00AF483F" w:rsidRPr="004C23F4" w:rsidRDefault="00AF483F" w:rsidP="00F4402E">
            <w:pPr>
              <w:pStyle w:val="Tablefont"/>
            </w:pPr>
            <w:r>
              <w:lastRenderedPageBreak/>
              <w:t>NICNAS</w:t>
            </w:r>
          </w:p>
        </w:tc>
        <w:tc>
          <w:tcPr>
            <w:tcW w:w="6015" w:type="dxa"/>
          </w:tcPr>
          <w:p w14:paraId="738CBD77" w14:textId="77777777" w:rsidR="00AF483F" w:rsidRPr="00DD2F9B" w:rsidRDefault="00DA7FDD" w:rsidP="00DD2F9B">
            <w:pPr>
              <w:pStyle w:val="Tablefont"/>
            </w:pPr>
            <w:r w:rsidRPr="00DA7FDD">
              <w:t>Carc. Cat</w:t>
            </w:r>
            <w:r>
              <w:t>.</w:t>
            </w:r>
            <w:r w:rsidRPr="00DA7FDD">
              <w:t xml:space="preserve"> 2</w:t>
            </w:r>
          </w:p>
        </w:tc>
      </w:tr>
      <w:tr w:rsidR="00687890" w:rsidRPr="004C23F4" w14:paraId="3723A068" w14:textId="77777777" w:rsidTr="000C0876">
        <w:trPr>
          <w:cantSplit/>
        </w:trPr>
        <w:tc>
          <w:tcPr>
            <w:tcW w:w="3227" w:type="dxa"/>
          </w:tcPr>
          <w:p w14:paraId="2A071BF5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6DC8459E" w14:textId="77777777" w:rsidR="00687890" w:rsidRPr="00DD2F9B" w:rsidRDefault="003F31CB" w:rsidP="00DD2F9B">
            <w:pPr>
              <w:pStyle w:val="Tablefont"/>
            </w:pPr>
            <w:r w:rsidRPr="003F31CB">
              <w:t>Carcinogenicity – category 1B</w:t>
            </w:r>
          </w:p>
        </w:tc>
      </w:tr>
      <w:tr w:rsidR="00E41A26" w:rsidRPr="004C23F4" w14:paraId="7694030A" w14:textId="77777777" w:rsidTr="000C0876">
        <w:trPr>
          <w:cantSplit/>
        </w:trPr>
        <w:tc>
          <w:tcPr>
            <w:tcW w:w="3227" w:type="dxa"/>
          </w:tcPr>
          <w:p w14:paraId="6CCD7FBC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22AA33DA" w14:textId="77777777" w:rsidR="00E41A26" w:rsidRPr="00DD2F9B" w:rsidRDefault="003F31CB" w:rsidP="00DD2F9B">
            <w:pPr>
              <w:pStyle w:val="Tablefont"/>
            </w:pPr>
            <w:r w:rsidRPr="003F31CB">
              <w:t>Carcinogenicity – category 1B</w:t>
            </w:r>
          </w:p>
        </w:tc>
      </w:tr>
      <w:tr w:rsidR="002E0D61" w:rsidRPr="004C23F4" w14:paraId="1C23A730" w14:textId="77777777" w:rsidTr="000C0876">
        <w:trPr>
          <w:cantSplit/>
        </w:trPr>
        <w:tc>
          <w:tcPr>
            <w:tcW w:w="3227" w:type="dxa"/>
          </w:tcPr>
          <w:p w14:paraId="27459676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33AA0236" w14:textId="77777777" w:rsidR="002E0D61" w:rsidRPr="00DD2F9B" w:rsidRDefault="003F31CB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2442154" w14:textId="77777777" w:rsidTr="000C0876">
        <w:trPr>
          <w:cantSplit/>
        </w:trPr>
        <w:tc>
          <w:tcPr>
            <w:tcW w:w="3227" w:type="dxa"/>
          </w:tcPr>
          <w:p w14:paraId="1ED1A08D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6B08F8F8" w14:textId="77777777" w:rsidR="002E0D61" w:rsidRPr="00DD2F9B" w:rsidRDefault="00802259" w:rsidP="00DD2F9B">
            <w:pPr>
              <w:pStyle w:val="Tablefont"/>
            </w:pPr>
            <w:r w:rsidRPr="00802259">
              <w:t>Carcinogenicity – 2</w:t>
            </w:r>
            <w:r>
              <w:t>, H (skin)</w:t>
            </w:r>
          </w:p>
        </w:tc>
      </w:tr>
      <w:tr w:rsidR="002E0D61" w:rsidRPr="004C23F4" w14:paraId="3D0E77C2" w14:textId="77777777" w:rsidTr="000C0876">
        <w:trPr>
          <w:cantSplit/>
        </w:trPr>
        <w:tc>
          <w:tcPr>
            <w:tcW w:w="3227" w:type="dxa"/>
          </w:tcPr>
          <w:p w14:paraId="1ABF6843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C0F9686" w14:textId="77777777" w:rsidR="002E0D61" w:rsidRPr="00DD2F9B" w:rsidRDefault="001F45B4" w:rsidP="00DD2F9B">
            <w:pPr>
              <w:pStyle w:val="Tablefont"/>
            </w:pPr>
            <w:r>
              <w:t xml:space="preserve">Carcinogenicity A, </w:t>
            </w:r>
            <w:r w:rsidR="006D51D1">
              <w:t>Skin</w:t>
            </w:r>
          </w:p>
        </w:tc>
      </w:tr>
      <w:tr w:rsidR="002E0D61" w:rsidRPr="004C23F4" w14:paraId="689340AF" w14:textId="77777777" w:rsidTr="000C0876">
        <w:trPr>
          <w:cantSplit/>
        </w:trPr>
        <w:tc>
          <w:tcPr>
            <w:tcW w:w="3227" w:type="dxa"/>
          </w:tcPr>
          <w:p w14:paraId="6F15289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19C2FDE7" w14:textId="77777777" w:rsidR="002E0D61" w:rsidRPr="00DD2F9B" w:rsidRDefault="00DA7FDD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8F598AE" w14:textId="77777777" w:rsidTr="000C0876">
        <w:trPr>
          <w:cantSplit/>
        </w:trPr>
        <w:tc>
          <w:tcPr>
            <w:tcW w:w="3227" w:type="dxa"/>
          </w:tcPr>
          <w:p w14:paraId="74257B7F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5CFFB5FD" w14:textId="77777777" w:rsidR="00386093" w:rsidRPr="00DD2F9B" w:rsidRDefault="003F31CB" w:rsidP="00DD2F9B">
            <w:pPr>
              <w:pStyle w:val="Tablefont"/>
            </w:pPr>
            <w:r w:rsidRPr="003F31CB">
              <w:t>Carcinogenicity – Group 2A</w:t>
            </w:r>
          </w:p>
        </w:tc>
      </w:tr>
      <w:tr w:rsidR="00386093" w:rsidRPr="004C23F4" w14:paraId="3A3A2949" w14:textId="77777777" w:rsidTr="000C0876">
        <w:trPr>
          <w:cantSplit/>
        </w:trPr>
        <w:tc>
          <w:tcPr>
            <w:tcW w:w="3227" w:type="dxa"/>
          </w:tcPr>
          <w:p w14:paraId="60EF2905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52058E8A" w14:textId="77777777" w:rsidR="00386093" w:rsidRPr="00DD2F9B" w:rsidRDefault="003F31CB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644EB799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AE65FDE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0854FEB4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32F8A815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02085B01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536" w:type="dxa"/>
              <w:tblLook w:val="04A0" w:firstRow="1" w:lastRow="0" w:firstColumn="1" w:lastColumn="0" w:noHBand="0" w:noVBand="1"/>
            </w:tblPr>
            <w:tblGrid>
              <w:gridCol w:w="3723"/>
              <w:gridCol w:w="474"/>
              <w:gridCol w:w="547"/>
              <w:gridCol w:w="3963"/>
            </w:tblGrid>
            <w:tr w:rsidR="00CD56D2" w:rsidRPr="00CD56D2" w14:paraId="7A636B0B" w14:textId="77777777" w:rsidTr="00CD56D2">
              <w:trPr>
                <w:trHeight w:val="231"/>
              </w:trPr>
              <w:tc>
                <w:tcPr>
                  <w:tcW w:w="3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FBC0766" w14:textId="77777777" w:rsidR="00CD56D2" w:rsidRPr="00CD56D2" w:rsidRDefault="00CD56D2" w:rsidP="00CD56D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D56D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B749CE3" w14:textId="77777777" w:rsidR="00CD56D2" w:rsidRPr="00CD56D2" w:rsidRDefault="00CD56D2" w:rsidP="00CD56D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D56D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3B37939" w14:textId="77777777" w:rsidR="00CD56D2" w:rsidRPr="00CD56D2" w:rsidRDefault="00CD56D2" w:rsidP="00CD56D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CD56D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73E417F" w14:textId="77777777" w:rsidR="00CD56D2" w:rsidRPr="00CD56D2" w:rsidRDefault="00CD56D2" w:rsidP="00CD56D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D56D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CD56D2" w:rsidRPr="00CD56D2" w14:paraId="4A685514" w14:textId="77777777" w:rsidTr="00CD56D2">
              <w:trPr>
                <w:trHeight w:val="231"/>
              </w:trPr>
              <w:tc>
                <w:tcPr>
                  <w:tcW w:w="3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30E70E4" w14:textId="77777777" w:rsidR="00CD56D2" w:rsidRPr="00CD56D2" w:rsidRDefault="00CD56D2" w:rsidP="00CD56D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D56D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CD56D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CD56D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C0DCA3E" w14:textId="77777777" w:rsidR="00CD56D2" w:rsidRPr="00CD56D2" w:rsidRDefault="00CD56D2" w:rsidP="00CD56D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D56D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814B08C" w14:textId="77777777" w:rsidR="00CD56D2" w:rsidRPr="00CD56D2" w:rsidRDefault="00CD56D2" w:rsidP="00CD56D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CD56D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CC5C6CB" w14:textId="77777777" w:rsidR="00CD56D2" w:rsidRPr="00CD56D2" w:rsidRDefault="00CD56D2" w:rsidP="00CD56D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D56D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CD56D2" w:rsidRPr="00CD56D2" w14:paraId="637A60C9" w14:textId="77777777" w:rsidTr="00CD56D2">
              <w:trPr>
                <w:trHeight w:val="231"/>
              </w:trPr>
              <w:tc>
                <w:tcPr>
                  <w:tcW w:w="3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F94B982" w14:textId="77777777" w:rsidR="00CD56D2" w:rsidRPr="00CD56D2" w:rsidRDefault="00CD56D2" w:rsidP="00CD56D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D56D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9D7084" w14:textId="77777777" w:rsidR="00CD56D2" w:rsidRPr="00CD56D2" w:rsidRDefault="00CD56D2" w:rsidP="00CD56D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D56D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DF24BF2" w14:textId="77777777" w:rsidR="00CD56D2" w:rsidRPr="00CD56D2" w:rsidRDefault="00CD56D2" w:rsidP="00CD56D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CD56D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3587482" w14:textId="77777777" w:rsidR="00CD56D2" w:rsidRPr="00CD56D2" w:rsidRDefault="00CD56D2" w:rsidP="00CD56D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D56D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CD56D2" w:rsidRPr="00CD56D2" w14:paraId="5FC7D80E" w14:textId="77777777" w:rsidTr="00CD56D2">
              <w:trPr>
                <w:trHeight w:val="231"/>
              </w:trPr>
              <w:tc>
                <w:tcPr>
                  <w:tcW w:w="3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8DFFCBF" w14:textId="77777777" w:rsidR="00CD56D2" w:rsidRPr="00CD56D2" w:rsidRDefault="00CD56D2" w:rsidP="00CD56D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D56D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CD56D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CD56D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CD56D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CD56D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3F023A5" w14:textId="77777777" w:rsidR="00CD56D2" w:rsidRPr="00CD56D2" w:rsidRDefault="00CD56D2" w:rsidP="00CD56D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D56D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945F3C" w14:textId="77777777" w:rsidR="00CD56D2" w:rsidRPr="00CD56D2" w:rsidRDefault="00CD56D2" w:rsidP="00CD56D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CD56D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D166905" w14:textId="77777777" w:rsidR="00CD56D2" w:rsidRPr="00CD56D2" w:rsidRDefault="00CD56D2" w:rsidP="00CD56D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D56D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CD56D2" w:rsidRPr="00CD56D2" w14:paraId="64271E8E" w14:textId="77777777" w:rsidTr="00CD56D2">
              <w:trPr>
                <w:trHeight w:val="231"/>
              </w:trPr>
              <w:tc>
                <w:tcPr>
                  <w:tcW w:w="3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0B87904" w14:textId="77777777" w:rsidR="00CD56D2" w:rsidRPr="00CD56D2" w:rsidRDefault="00CD56D2" w:rsidP="00CD56D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CD56D2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CD56D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0073F76" w14:textId="77777777" w:rsidR="00CD56D2" w:rsidRPr="00CD56D2" w:rsidRDefault="00CD56D2" w:rsidP="00CD56D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D56D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11A3D68" w14:textId="77777777" w:rsidR="00CD56D2" w:rsidRPr="00CD56D2" w:rsidRDefault="00CD56D2" w:rsidP="00CD56D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CD56D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6B26059" w14:textId="77777777" w:rsidR="00CD56D2" w:rsidRPr="00CD56D2" w:rsidRDefault="00CD56D2" w:rsidP="00CD56D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D56D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CD56D2" w:rsidRPr="00CD56D2" w14:paraId="3224031B" w14:textId="77777777" w:rsidTr="00CD56D2">
              <w:trPr>
                <w:trHeight w:val="231"/>
              </w:trPr>
              <w:tc>
                <w:tcPr>
                  <w:tcW w:w="3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BCC2C4A" w14:textId="77777777" w:rsidR="00CD56D2" w:rsidRPr="00CD56D2" w:rsidRDefault="00CD56D2" w:rsidP="00CD56D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D56D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72CBF2A3" w14:textId="77777777" w:rsidR="00CD56D2" w:rsidRPr="00CD56D2" w:rsidRDefault="00CD56D2" w:rsidP="00CD56D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CD56D2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5285CAA" w14:textId="77777777" w:rsidR="00CD56D2" w:rsidRPr="00CD56D2" w:rsidRDefault="00CD56D2" w:rsidP="00CD56D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CD56D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2.00</w:t>
                  </w:r>
                </w:p>
              </w:tc>
              <w:tc>
                <w:tcPr>
                  <w:tcW w:w="3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877AC91" w14:textId="77777777" w:rsidR="00CD56D2" w:rsidRPr="00CD56D2" w:rsidRDefault="00CD56D2" w:rsidP="00CD56D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D56D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CD56D2" w:rsidRPr="00CD56D2" w14:paraId="631766F4" w14:textId="77777777" w:rsidTr="00CD56D2">
              <w:trPr>
                <w:trHeight w:val="231"/>
              </w:trPr>
              <w:tc>
                <w:tcPr>
                  <w:tcW w:w="3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A97E0C7" w14:textId="77777777" w:rsidR="00CD56D2" w:rsidRPr="00CD56D2" w:rsidRDefault="00CD56D2" w:rsidP="00CD56D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D56D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F96EE17" w14:textId="77777777" w:rsidR="00CD56D2" w:rsidRPr="00CD56D2" w:rsidRDefault="00CD56D2" w:rsidP="00CD56D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D56D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C3899E1" w14:textId="77777777" w:rsidR="00CD56D2" w:rsidRPr="00CD56D2" w:rsidRDefault="00CD56D2" w:rsidP="00CD56D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CD56D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2</w:t>
                  </w:r>
                </w:p>
              </w:tc>
              <w:tc>
                <w:tcPr>
                  <w:tcW w:w="3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2744F6A" w14:textId="77777777" w:rsidR="00CD56D2" w:rsidRPr="00CD56D2" w:rsidRDefault="00CD56D2" w:rsidP="00CD56D2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CD56D2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insufficient data to assign a skin notation</w:t>
                  </w:r>
                </w:p>
              </w:tc>
            </w:tr>
          </w:tbl>
          <w:p w14:paraId="13D5897E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1597D9A2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0"/>
        <w:gridCol w:w="4766"/>
      </w:tblGrid>
      <w:tr w:rsidR="00EB3D1B" w14:paraId="53309F02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7D84CC08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6A9437E1" w14:textId="77777777" w:rsidR="00EB3D1B" w:rsidRDefault="00CD56D2" w:rsidP="00EB3D1B">
                <w:pPr>
                  <w:pStyle w:val="Tablefont"/>
                </w:pPr>
                <w:r>
                  <w:t>No, the chemical is a genotoxic carcinogen</w:t>
                </w:r>
              </w:p>
            </w:tc>
          </w:sdtContent>
        </w:sdt>
      </w:tr>
    </w:tbl>
    <w:p w14:paraId="0B50FBA0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2E95944D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CD1F22E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5D44AC5F" w14:textId="77777777" w:rsidR="001B79E5" w:rsidRDefault="006D51D1" w:rsidP="001B79E5">
                <w:pPr>
                  <w:pStyle w:val="Tablefont"/>
                </w:pPr>
                <w:r>
                  <w:t>89.09</w:t>
                </w:r>
              </w:p>
            </w:tc>
          </w:sdtContent>
        </w:sdt>
      </w:tr>
      <w:tr w:rsidR="00A31D99" w:rsidRPr="004C23F4" w14:paraId="475D8CA1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B671501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7C9DA8B1" w14:textId="29AC5E51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6873AB">
                  <w:t>3.64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</w:t>
            </w:r>
            <w:r w:rsidRPr="006873AB">
              <w:t xml:space="preserve">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6873AB" w:rsidRPr="006873AB">
                  <w:t>0.27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5CC1CAFB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AE8DFEA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2E315A3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12949D80" w14:textId="77777777" w:rsidTr="00EA6243">
        <w:trPr>
          <w:cantSplit/>
        </w:trPr>
        <w:tc>
          <w:tcPr>
            <w:tcW w:w="4077" w:type="dxa"/>
            <w:vAlign w:val="center"/>
          </w:tcPr>
          <w:p w14:paraId="1194E4F1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81FAF4B" w14:textId="77777777" w:rsidR="00687890" w:rsidRPr="004C23F4" w:rsidRDefault="009C7389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66031BF7" w14:textId="77777777" w:rsidTr="00EA6243">
        <w:trPr>
          <w:cantSplit/>
        </w:trPr>
        <w:tc>
          <w:tcPr>
            <w:tcW w:w="4077" w:type="dxa"/>
            <w:vAlign w:val="center"/>
          </w:tcPr>
          <w:p w14:paraId="6A6AF563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454D885" w14:textId="77777777" w:rsidR="00687890" w:rsidRPr="004C23F4" w:rsidRDefault="009C7389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E06F40" w:rsidRPr="004C23F4" w14:paraId="66596A71" w14:textId="77777777" w:rsidTr="00EA6243">
        <w:trPr>
          <w:cantSplit/>
        </w:trPr>
        <w:tc>
          <w:tcPr>
            <w:tcW w:w="4077" w:type="dxa"/>
            <w:vAlign w:val="center"/>
          </w:tcPr>
          <w:p w14:paraId="2054AEAB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6BBDAB16" w14:textId="77777777" w:rsidR="00E06F40" w:rsidRPr="00A006A0" w:rsidRDefault="000C0876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0F557035" w14:textId="77777777" w:rsidR="007F1005" w:rsidRPr="004C23F4" w:rsidRDefault="007F1005" w:rsidP="00EB3D1B">
      <w:pPr>
        <w:pStyle w:val="Heading2"/>
        <w:keepLines/>
      </w:pPr>
      <w:r w:rsidRPr="004C23F4">
        <w:lastRenderedPageBreak/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9B9D709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5BBE5E18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12CAB71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7ED2656D" w14:textId="77777777" w:rsidTr="00F053FA">
        <w:trPr>
          <w:tblHeader/>
        </w:trPr>
        <w:sdt>
          <w:sdtPr>
            <w:id w:val="-25557549"/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097B249A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5437E17D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688A11D0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13DA4549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7A0CA80" w14:textId="77777777" w:rsidR="008E4F1F" w:rsidRPr="00356B25" w:rsidRDefault="008E4F1F" w:rsidP="008E4F1F">
      <w:pPr>
        <w:rPr>
          <w:b/>
          <w:bCs/>
        </w:rPr>
      </w:pPr>
      <w:r w:rsidRPr="00356B25">
        <w:t xml:space="preserve">Deutsche </w:t>
      </w:r>
      <w:proofErr w:type="spellStart"/>
      <w:r w:rsidRPr="00356B25">
        <w:t>Forschungsgemeinschaft</w:t>
      </w:r>
      <w:proofErr w:type="spellEnd"/>
      <w:r w:rsidRPr="00356B25">
        <w:t xml:space="preserve"> (DFG) (</w:t>
      </w:r>
      <w:r w:rsidR="00356B25" w:rsidRPr="00356B25">
        <w:t>2004</w:t>
      </w:r>
      <w:r w:rsidRPr="00356B25">
        <w:t xml:space="preserve">) </w:t>
      </w:r>
      <w:proofErr w:type="spellStart"/>
      <w:r w:rsidR="00356B25" w:rsidRPr="00356B25">
        <w:rPr>
          <w:bCs/>
        </w:rPr>
        <w:t>Ethylcarbamat</w:t>
      </w:r>
      <w:proofErr w:type="spellEnd"/>
      <w:r w:rsidR="00356B25" w:rsidRPr="00356B25">
        <w:rPr>
          <w:bCs/>
        </w:rPr>
        <w:t xml:space="preserve"> (Urethan)</w:t>
      </w:r>
      <w:r w:rsidR="00356B25" w:rsidRPr="00356B25">
        <w:rPr>
          <w:b/>
          <w:bCs/>
        </w:rPr>
        <w:t xml:space="preserve"> </w:t>
      </w:r>
      <w:r w:rsidRPr="00356B25">
        <w:t>– MAK value documentation</w:t>
      </w:r>
      <w:r w:rsidR="00356B25" w:rsidRPr="00356B25">
        <w:t>, German language edition</w:t>
      </w:r>
      <w:r w:rsidRPr="00356B25">
        <w:t>.</w:t>
      </w:r>
    </w:p>
    <w:p w14:paraId="2E856732" w14:textId="77777777" w:rsidR="00C56BEA" w:rsidRDefault="00C56BEA" w:rsidP="008E4F1F">
      <w:r w:rsidRPr="00C56BEA">
        <w:t>European Chemicals Agency Regulation (ECHA) No 1907/2006 of the European Parliament and of the Council of 18 December 2006 concerning the Registration, Evaluation, Authorisation and Restriction of Chemicals (REACH).</w:t>
      </w:r>
    </w:p>
    <w:p w14:paraId="4ED4A2B5" w14:textId="77777777" w:rsidR="008E4F1F" w:rsidRDefault="008E4F1F" w:rsidP="008E4F1F">
      <w:pPr>
        <w:rPr>
          <w:b/>
        </w:rPr>
      </w:pPr>
      <w:r w:rsidRPr="002022B6">
        <w:t>EU Scientific Committee on Occupational Exposure Limits (SCOEL)</w:t>
      </w:r>
      <w:r>
        <w:t xml:space="preserve"> (</w:t>
      </w:r>
      <w:r w:rsidR="00F44D1B">
        <w:t>2012</w:t>
      </w:r>
      <w:r>
        <w:t xml:space="preserve">) Recommendation from the Scientific Committee on Occupational Exposure Limits for </w:t>
      </w:r>
      <w:r w:rsidR="00F44D1B" w:rsidRPr="00F44D1B">
        <w:t>Ethyl Carbamate [Urethane]</w:t>
      </w:r>
      <w:r>
        <w:t>. SCOEL/</w:t>
      </w:r>
      <w:r w:rsidR="005F47D8">
        <w:t>SUM/172</w:t>
      </w:r>
      <w:r>
        <w:t>.</w:t>
      </w:r>
    </w:p>
    <w:p w14:paraId="4E72E6C6" w14:textId="77777777" w:rsidR="008E4F1F" w:rsidRDefault="008E4F1F" w:rsidP="008E4F1F">
      <w:pPr>
        <w:rPr>
          <w:b/>
        </w:rPr>
      </w:pPr>
      <w:r w:rsidRPr="002022B6">
        <w:t>Health Council of the Netherlands</w:t>
      </w:r>
      <w:r>
        <w:t xml:space="preserve"> (HCOTN) (</w:t>
      </w:r>
      <w:r w:rsidR="00695404">
        <w:t>2000</w:t>
      </w:r>
      <w:r>
        <w:t xml:space="preserve">) </w:t>
      </w:r>
      <w:r w:rsidR="00695404" w:rsidRPr="00695404">
        <w:t>Urethane (ethyl carbamate)</w:t>
      </w:r>
      <w:r w:rsidRPr="005F7416">
        <w:t xml:space="preserve">. </w:t>
      </w:r>
      <w:r w:rsidR="00695404" w:rsidRPr="00695404">
        <w:t>Health based calculated occupational cancer risk values</w:t>
      </w:r>
      <w:r w:rsidRPr="005F7416">
        <w:t xml:space="preserve">. The Hague: Health Council of the Netherlands; publication no. </w:t>
      </w:r>
      <w:r w:rsidR="00695404">
        <w:t>2000/12OSH</w:t>
      </w:r>
      <w:r>
        <w:t>.</w:t>
      </w:r>
    </w:p>
    <w:p w14:paraId="290C1EC9" w14:textId="77777777" w:rsidR="008E4F1F" w:rsidRDefault="008E4F1F" w:rsidP="006764B1">
      <w:pPr>
        <w:rPr>
          <w:b/>
        </w:rPr>
      </w:pPr>
      <w:r w:rsidRPr="002022B6">
        <w:t>International Agency for Research on Cancer</w:t>
      </w:r>
      <w:r>
        <w:t xml:space="preserve"> (IARC) (</w:t>
      </w:r>
      <w:r w:rsidR="006764B1">
        <w:t>2010</w:t>
      </w:r>
      <w:r>
        <w:t xml:space="preserve">) </w:t>
      </w:r>
      <w:r w:rsidR="006764B1">
        <w:t>Volume 96, Alcohol Consumption and Ethyl Carbamate</w:t>
      </w:r>
      <w:r>
        <w:t>. IARC Monographs on the evaluation of the carcinogenic risk to humans.</w:t>
      </w:r>
    </w:p>
    <w:p w14:paraId="5105CB3A" w14:textId="77777777" w:rsidR="008E4F1F" w:rsidRDefault="008E4F1F" w:rsidP="008E4F1F">
      <w:pPr>
        <w:rPr>
          <w:b/>
        </w:rPr>
      </w:pPr>
      <w:r w:rsidRPr="002022B6">
        <w:t>National Industrial Chemicals Notification and Assessment Scheme (NICNAS)</w:t>
      </w:r>
      <w:r>
        <w:t xml:space="preserve"> (</w:t>
      </w:r>
      <w:r w:rsidR="006764B1">
        <w:t>2015</w:t>
      </w:r>
      <w:r>
        <w:t xml:space="preserve">) </w:t>
      </w:r>
      <w:r w:rsidR="006764B1" w:rsidRPr="006764B1">
        <w:t>Carbamic acid, ethyl ester</w:t>
      </w:r>
      <w:r w:rsidRPr="0071660C">
        <w:t xml:space="preserve">: Human health </w:t>
      </w:r>
      <w:sdt>
        <w:sdtPr>
          <w:id w:val="-1295753243"/>
          <w:temporary/>
          <w:showingPlcHdr/>
        </w:sdtPr>
        <w:sdtEndPr/>
        <w:sdtContent>
          <w:r w:rsidRPr="006764B1">
            <w:rPr>
              <w:color w:val="000000" w:themeColor="text1"/>
            </w:rPr>
            <w:t>tier II</w:t>
          </w:r>
        </w:sdtContent>
      </w:sdt>
      <w:r>
        <w:t xml:space="preserve"> </w:t>
      </w:r>
      <w:r w:rsidRPr="0071660C">
        <w:t>assessment</w:t>
      </w:r>
      <w:r>
        <w:t xml:space="preserve"> – IMAP report.</w:t>
      </w:r>
    </w:p>
    <w:p w14:paraId="6652517A" w14:textId="77777777" w:rsidR="00982264" w:rsidRDefault="00356B25" w:rsidP="00982264">
      <w:r w:rsidRPr="00356B25">
        <w:t>National Toxicology Program (NTP) (</w:t>
      </w:r>
      <w:r>
        <w:t>2016</w:t>
      </w:r>
      <w:r w:rsidRPr="00356B25">
        <w:t>) NTP-</w:t>
      </w:r>
      <w:proofErr w:type="spellStart"/>
      <w:r w:rsidRPr="00356B25">
        <w:t>RoC</w:t>
      </w:r>
      <w:proofErr w:type="spellEnd"/>
      <w:r w:rsidRPr="00356B25">
        <w:t xml:space="preserve">: </w:t>
      </w:r>
      <w:r>
        <w:t>urethane</w:t>
      </w:r>
      <w:r w:rsidRPr="00356B25">
        <w:t>.</w:t>
      </w:r>
      <w:r w:rsidR="00982264" w:rsidRPr="00982264">
        <w:t xml:space="preserve"> </w:t>
      </w:r>
    </w:p>
    <w:p w14:paraId="7F0C9440" w14:textId="77777777" w:rsidR="00982264" w:rsidRPr="00C56BEA" w:rsidRDefault="00982264" w:rsidP="00982264">
      <w:r w:rsidRPr="00C56BEA">
        <w:t>Tenth Adaptation to Technical Progress Commission Regulation (EU)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p w14:paraId="20A060C6" w14:textId="77777777" w:rsidR="008E4F1F" w:rsidRPr="00351FE0" w:rsidRDefault="008E4F1F" w:rsidP="00084859"/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FC686" w16cex:dateUtc="2020-05-20T07:08:00Z"/>
  <w16cex:commentExtensible w16cex:durableId="226FC8B4" w16cex:dateUtc="2020-05-20T07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09596" w14:textId="77777777" w:rsidR="00AD7008" w:rsidRDefault="00AD7008" w:rsidP="00F43AD5">
      <w:pPr>
        <w:spacing w:after="0" w:line="240" w:lineRule="auto"/>
      </w:pPr>
      <w:r>
        <w:separator/>
      </w:r>
    </w:p>
  </w:endnote>
  <w:endnote w:type="continuationSeparator" w:id="0">
    <w:p w14:paraId="1ACA447D" w14:textId="77777777" w:rsidR="00AD7008" w:rsidRDefault="00AD7008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2CF9B" w14:textId="77777777" w:rsidR="000C0876" w:rsidRDefault="000C08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14C1394" w14:textId="77777777" w:rsidR="00356B25" w:rsidRDefault="00356B25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Urethane (51-79-6)</w:t>
        </w:r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</w:t>
        </w:r>
        <w:r w:rsidR="00982264">
          <w:rPr>
            <w:sz w:val="18"/>
            <w:szCs w:val="18"/>
          </w:rPr>
          <w:t>20</w:t>
        </w:r>
      </w:p>
      <w:p w14:paraId="1E97EADC" w14:textId="77777777" w:rsidR="00356B25" w:rsidRPr="00F43AD5" w:rsidRDefault="00356B25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EE6192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68C28" w14:textId="77777777" w:rsidR="000C0876" w:rsidRDefault="000C0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51849" w14:textId="77777777" w:rsidR="00AD7008" w:rsidRDefault="00AD7008" w:rsidP="00F43AD5">
      <w:pPr>
        <w:spacing w:after="0" w:line="240" w:lineRule="auto"/>
      </w:pPr>
      <w:r>
        <w:separator/>
      </w:r>
    </w:p>
  </w:footnote>
  <w:footnote w:type="continuationSeparator" w:id="0">
    <w:p w14:paraId="5E389095" w14:textId="77777777" w:rsidR="00AD7008" w:rsidRDefault="00AD7008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7B40B" w14:textId="77777777" w:rsidR="000C0876" w:rsidRDefault="000C08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F1F1E" w14:textId="48FE354C" w:rsidR="000C0876" w:rsidRDefault="000C0876" w:rsidP="000C0876">
    <w:pPr>
      <w:pStyle w:val="Header"/>
      <w:jc w:val="right"/>
    </w:pPr>
    <w:r>
      <w:pict w14:anchorId="4F148E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8193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62BE3C60" wp14:editId="613F005F">
          <wp:extent cx="2957195" cy="60579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7195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C9A093" w14:textId="78A0E23F" w:rsidR="00356B25" w:rsidRPr="000C0876" w:rsidRDefault="00356B25" w:rsidP="000C08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891E6" w14:textId="77777777" w:rsidR="000C0876" w:rsidRDefault="000C087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0417D" w14:textId="1FF20802" w:rsidR="000C0876" w:rsidRDefault="000C0876" w:rsidP="000C0876">
    <w:pPr>
      <w:pStyle w:val="Header"/>
      <w:jc w:val="right"/>
    </w:pPr>
    <w:r>
      <w:pict w14:anchorId="7A010D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8194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157F1689" wp14:editId="2C144043">
          <wp:extent cx="2957195" cy="60579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7195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2BA50B" w14:textId="77777777" w:rsidR="00356B25" w:rsidRDefault="00356B25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D79AC"/>
    <w:multiLevelType w:val="hybridMultilevel"/>
    <w:tmpl w:val="31BEA440"/>
    <w:lvl w:ilvl="0" w:tplc="3304889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B45E0"/>
    <w:multiLevelType w:val="hybridMultilevel"/>
    <w:tmpl w:val="B7BAD6E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0323CB"/>
    <w:multiLevelType w:val="hybridMultilevel"/>
    <w:tmpl w:val="C998431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5C3CB4"/>
    <w:multiLevelType w:val="hybridMultilevel"/>
    <w:tmpl w:val="FEB071AC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19C5D45"/>
    <w:multiLevelType w:val="hybridMultilevel"/>
    <w:tmpl w:val="F7AABE8A"/>
    <w:lvl w:ilvl="0" w:tplc="0C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" w15:restartNumberingAfterBreak="0">
    <w:nsid w:val="683D2847"/>
    <w:multiLevelType w:val="hybridMultilevel"/>
    <w:tmpl w:val="DA8A6852"/>
    <w:lvl w:ilvl="0" w:tplc="921A6C8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37E52"/>
    <w:rsid w:val="00046DF5"/>
    <w:rsid w:val="00052060"/>
    <w:rsid w:val="0005574A"/>
    <w:rsid w:val="00055FE1"/>
    <w:rsid w:val="00056EC2"/>
    <w:rsid w:val="00060B48"/>
    <w:rsid w:val="000616B8"/>
    <w:rsid w:val="00067F32"/>
    <w:rsid w:val="00071807"/>
    <w:rsid w:val="00072300"/>
    <w:rsid w:val="000803E1"/>
    <w:rsid w:val="00084513"/>
    <w:rsid w:val="00084859"/>
    <w:rsid w:val="00092D94"/>
    <w:rsid w:val="000B0868"/>
    <w:rsid w:val="000B3E12"/>
    <w:rsid w:val="000B3E78"/>
    <w:rsid w:val="000B7B48"/>
    <w:rsid w:val="000C0876"/>
    <w:rsid w:val="000C096D"/>
    <w:rsid w:val="000C139A"/>
    <w:rsid w:val="000C2053"/>
    <w:rsid w:val="000C248C"/>
    <w:rsid w:val="000D291C"/>
    <w:rsid w:val="000E5A54"/>
    <w:rsid w:val="000E63D3"/>
    <w:rsid w:val="000E67CF"/>
    <w:rsid w:val="000F1170"/>
    <w:rsid w:val="0010461E"/>
    <w:rsid w:val="00106FAA"/>
    <w:rsid w:val="00113443"/>
    <w:rsid w:val="00122B8D"/>
    <w:rsid w:val="001269A7"/>
    <w:rsid w:val="00131092"/>
    <w:rsid w:val="00140E6A"/>
    <w:rsid w:val="00146545"/>
    <w:rsid w:val="00146B75"/>
    <w:rsid w:val="0015266D"/>
    <w:rsid w:val="0015288A"/>
    <w:rsid w:val="00160F47"/>
    <w:rsid w:val="001617EC"/>
    <w:rsid w:val="00165DC6"/>
    <w:rsid w:val="001773E7"/>
    <w:rsid w:val="00177CA1"/>
    <w:rsid w:val="00183823"/>
    <w:rsid w:val="00183942"/>
    <w:rsid w:val="001915F6"/>
    <w:rsid w:val="001A009E"/>
    <w:rsid w:val="001A1287"/>
    <w:rsid w:val="001A3859"/>
    <w:rsid w:val="001A3C9D"/>
    <w:rsid w:val="001A43F8"/>
    <w:rsid w:val="001B10BB"/>
    <w:rsid w:val="001B79E5"/>
    <w:rsid w:val="001C585A"/>
    <w:rsid w:val="001D56F0"/>
    <w:rsid w:val="001D663B"/>
    <w:rsid w:val="001D7B41"/>
    <w:rsid w:val="001E46DA"/>
    <w:rsid w:val="001E7D80"/>
    <w:rsid w:val="001F45B4"/>
    <w:rsid w:val="001F4B6C"/>
    <w:rsid w:val="001F62CB"/>
    <w:rsid w:val="001F6ED0"/>
    <w:rsid w:val="001F72E6"/>
    <w:rsid w:val="001F73C5"/>
    <w:rsid w:val="002046A6"/>
    <w:rsid w:val="00204956"/>
    <w:rsid w:val="00212A91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263C"/>
    <w:rsid w:val="00263255"/>
    <w:rsid w:val="00276494"/>
    <w:rsid w:val="00277B0C"/>
    <w:rsid w:val="00293908"/>
    <w:rsid w:val="002B1A2C"/>
    <w:rsid w:val="002B783F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0A1"/>
    <w:rsid w:val="003224BF"/>
    <w:rsid w:val="003241A8"/>
    <w:rsid w:val="003253F0"/>
    <w:rsid w:val="00326E9C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56B25"/>
    <w:rsid w:val="00362895"/>
    <w:rsid w:val="00370DBF"/>
    <w:rsid w:val="00371A9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3F31CB"/>
    <w:rsid w:val="003F4123"/>
    <w:rsid w:val="004030BC"/>
    <w:rsid w:val="00403F7D"/>
    <w:rsid w:val="00406785"/>
    <w:rsid w:val="004079B4"/>
    <w:rsid w:val="00417A56"/>
    <w:rsid w:val="00417D7F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57CBD"/>
    <w:rsid w:val="00460A03"/>
    <w:rsid w:val="00464ACE"/>
    <w:rsid w:val="00465E7A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088E"/>
    <w:rsid w:val="004C1AC8"/>
    <w:rsid w:val="004C1E3F"/>
    <w:rsid w:val="004C23F4"/>
    <w:rsid w:val="004C3475"/>
    <w:rsid w:val="004C58B6"/>
    <w:rsid w:val="004D16A3"/>
    <w:rsid w:val="004D4AA1"/>
    <w:rsid w:val="004D5CDC"/>
    <w:rsid w:val="004D6D68"/>
    <w:rsid w:val="004E5EDD"/>
    <w:rsid w:val="004F448A"/>
    <w:rsid w:val="004F493D"/>
    <w:rsid w:val="004F5CCB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4639D"/>
    <w:rsid w:val="00551BD8"/>
    <w:rsid w:val="0055567E"/>
    <w:rsid w:val="00571B51"/>
    <w:rsid w:val="00581055"/>
    <w:rsid w:val="005815C9"/>
    <w:rsid w:val="00591E38"/>
    <w:rsid w:val="005934F3"/>
    <w:rsid w:val="005A19C5"/>
    <w:rsid w:val="005A2751"/>
    <w:rsid w:val="005A3034"/>
    <w:rsid w:val="005A462D"/>
    <w:rsid w:val="005B253B"/>
    <w:rsid w:val="005B771D"/>
    <w:rsid w:val="005C5D16"/>
    <w:rsid w:val="005D3193"/>
    <w:rsid w:val="005D33B8"/>
    <w:rsid w:val="005D4A6E"/>
    <w:rsid w:val="005E6979"/>
    <w:rsid w:val="005E75CB"/>
    <w:rsid w:val="005F47D8"/>
    <w:rsid w:val="006013C1"/>
    <w:rsid w:val="0060634D"/>
    <w:rsid w:val="0060669E"/>
    <w:rsid w:val="006070A8"/>
    <w:rsid w:val="00610F2E"/>
    <w:rsid w:val="00611399"/>
    <w:rsid w:val="00611CB7"/>
    <w:rsid w:val="00624C4E"/>
    <w:rsid w:val="00625200"/>
    <w:rsid w:val="00633169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64B1"/>
    <w:rsid w:val="00677D9B"/>
    <w:rsid w:val="006867F3"/>
    <w:rsid w:val="006873AB"/>
    <w:rsid w:val="00687890"/>
    <w:rsid w:val="006901A2"/>
    <w:rsid w:val="00690368"/>
    <w:rsid w:val="0069079C"/>
    <w:rsid w:val="00690B53"/>
    <w:rsid w:val="00695404"/>
    <w:rsid w:val="00695B72"/>
    <w:rsid w:val="006B160A"/>
    <w:rsid w:val="006B3F3A"/>
    <w:rsid w:val="006B4E6C"/>
    <w:rsid w:val="006B50B6"/>
    <w:rsid w:val="006D51D1"/>
    <w:rsid w:val="006D79EA"/>
    <w:rsid w:val="006E5D05"/>
    <w:rsid w:val="00701053"/>
    <w:rsid w:val="00701507"/>
    <w:rsid w:val="00705EF2"/>
    <w:rsid w:val="00714021"/>
    <w:rsid w:val="00716A0F"/>
    <w:rsid w:val="00717D45"/>
    <w:rsid w:val="007208F7"/>
    <w:rsid w:val="007218AF"/>
    <w:rsid w:val="007365D1"/>
    <w:rsid w:val="00740E0E"/>
    <w:rsid w:val="00741CDB"/>
    <w:rsid w:val="00744996"/>
    <w:rsid w:val="00750212"/>
    <w:rsid w:val="00754779"/>
    <w:rsid w:val="0075716D"/>
    <w:rsid w:val="00765F14"/>
    <w:rsid w:val="00770E31"/>
    <w:rsid w:val="007770F1"/>
    <w:rsid w:val="00783FB1"/>
    <w:rsid w:val="00785CDD"/>
    <w:rsid w:val="00786CB6"/>
    <w:rsid w:val="00791847"/>
    <w:rsid w:val="007925F0"/>
    <w:rsid w:val="007939B3"/>
    <w:rsid w:val="0079509C"/>
    <w:rsid w:val="00796708"/>
    <w:rsid w:val="007B1B42"/>
    <w:rsid w:val="007C30EB"/>
    <w:rsid w:val="007C3A9B"/>
    <w:rsid w:val="007C5760"/>
    <w:rsid w:val="007E063C"/>
    <w:rsid w:val="007E2A4B"/>
    <w:rsid w:val="007E307D"/>
    <w:rsid w:val="007E6A4E"/>
    <w:rsid w:val="007E6C94"/>
    <w:rsid w:val="007F1005"/>
    <w:rsid w:val="007F25E0"/>
    <w:rsid w:val="007F5328"/>
    <w:rsid w:val="00802259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663C9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D75F3"/>
    <w:rsid w:val="008E4F1F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07A2"/>
    <w:rsid w:val="00961124"/>
    <w:rsid w:val="009621B6"/>
    <w:rsid w:val="00974F2D"/>
    <w:rsid w:val="00977524"/>
    <w:rsid w:val="00977E88"/>
    <w:rsid w:val="00982264"/>
    <w:rsid w:val="00984920"/>
    <w:rsid w:val="0099303A"/>
    <w:rsid w:val="009971C2"/>
    <w:rsid w:val="009A1254"/>
    <w:rsid w:val="009A34BB"/>
    <w:rsid w:val="009B2FF2"/>
    <w:rsid w:val="009B380C"/>
    <w:rsid w:val="009B4843"/>
    <w:rsid w:val="009B6543"/>
    <w:rsid w:val="009C199D"/>
    <w:rsid w:val="009C278F"/>
    <w:rsid w:val="009C2B94"/>
    <w:rsid w:val="009C5874"/>
    <w:rsid w:val="009C7389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9F5BE8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D7008"/>
    <w:rsid w:val="00AE2745"/>
    <w:rsid w:val="00AE2F64"/>
    <w:rsid w:val="00AF42CB"/>
    <w:rsid w:val="00AF483F"/>
    <w:rsid w:val="00AF5957"/>
    <w:rsid w:val="00AF5E07"/>
    <w:rsid w:val="00AF5F06"/>
    <w:rsid w:val="00B00A25"/>
    <w:rsid w:val="00B1422A"/>
    <w:rsid w:val="00B1765C"/>
    <w:rsid w:val="00B213C4"/>
    <w:rsid w:val="00B21824"/>
    <w:rsid w:val="00B31B74"/>
    <w:rsid w:val="00B40C4C"/>
    <w:rsid w:val="00B40C60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A5EC3"/>
    <w:rsid w:val="00BB612A"/>
    <w:rsid w:val="00BD499F"/>
    <w:rsid w:val="00BD56DE"/>
    <w:rsid w:val="00BF2406"/>
    <w:rsid w:val="00C06080"/>
    <w:rsid w:val="00C06E43"/>
    <w:rsid w:val="00C16315"/>
    <w:rsid w:val="00C27F7B"/>
    <w:rsid w:val="00C3091E"/>
    <w:rsid w:val="00C40FF1"/>
    <w:rsid w:val="00C419E2"/>
    <w:rsid w:val="00C5020E"/>
    <w:rsid w:val="00C56BEA"/>
    <w:rsid w:val="00C57452"/>
    <w:rsid w:val="00C61045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87714"/>
    <w:rsid w:val="00C978F0"/>
    <w:rsid w:val="00CA58FE"/>
    <w:rsid w:val="00CB1CB1"/>
    <w:rsid w:val="00CB6BC1"/>
    <w:rsid w:val="00CB6CB8"/>
    <w:rsid w:val="00CC1A68"/>
    <w:rsid w:val="00CC2123"/>
    <w:rsid w:val="00CD2BFD"/>
    <w:rsid w:val="00CD56D2"/>
    <w:rsid w:val="00CD5C3C"/>
    <w:rsid w:val="00CE5AD6"/>
    <w:rsid w:val="00CE617F"/>
    <w:rsid w:val="00CE78EF"/>
    <w:rsid w:val="00D048F7"/>
    <w:rsid w:val="00D0517E"/>
    <w:rsid w:val="00D140FC"/>
    <w:rsid w:val="00D21D8C"/>
    <w:rsid w:val="00D26DA2"/>
    <w:rsid w:val="00D31357"/>
    <w:rsid w:val="00D33220"/>
    <w:rsid w:val="00D334D1"/>
    <w:rsid w:val="00D345BB"/>
    <w:rsid w:val="00D44C89"/>
    <w:rsid w:val="00D516CD"/>
    <w:rsid w:val="00D611E3"/>
    <w:rsid w:val="00D668E6"/>
    <w:rsid w:val="00D70670"/>
    <w:rsid w:val="00D74D80"/>
    <w:rsid w:val="00D76624"/>
    <w:rsid w:val="00D77B85"/>
    <w:rsid w:val="00D87570"/>
    <w:rsid w:val="00D91CB9"/>
    <w:rsid w:val="00D97989"/>
    <w:rsid w:val="00D97D8D"/>
    <w:rsid w:val="00DA352E"/>
    <w:rsid w:val="00DA7FDD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4DB9"/>
    <w:rsid w:val="00E46BCB"/>
    <w:rsid w:val="00E51CAF"/>
    <w:rsid w:val="00E60F04"/>
    <w:rsid w:val="00E62AAC"/>
    <w:rsid w:val="00E63CAA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E6192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1852"/>
    <w:rsid w:val="00F22093"/>
    <w:rsid w:val="00F236DF"/>
    <w:rsid w:val="00F43AD5"/>
    <w:rsid w:val="00F4402E"/>
    <w:rsid w:val="00F44D1B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177C"/>
    <w:rsid w:val="00FB4826"/>
    <w:rsid w:val="00FB4B3D"/>
    <w:rsid w:val="00FB4E07"/>
    <w:rsid w:val="00FB755A"/>
    <w:rsid w:val="00FC3D59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53A8BA03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5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6D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6D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CCB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20BC8D26515A4C11AC6304FB75A7C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72BE-1073-48D1-A613-18F5D94AD94A}"/>
      </w:docPartPr>
      <w:docPartBody>
        <w:p w:rsidR="00D21A9F" w:rsidRDefault="00D21A9F">
          <w:pPr>
            <w:pStyle w:val="20BC8D26515A4C11AC6304FB75A7CBA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599BE4318CD4CC0836196E577CC2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A569F-48FE-4FF8-8C03-2D2A8FB34A20}"/>
      </w:docPartPr>
      <w:docPartBody>
        <w:p w:rsidR="00D21A9F" w:rsidRDefault="00D21A9F">
          <w:pPr>
            <w:pStyle w:val="0599BE4318CD4CC0836196E577CC2921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CFFDE270CB50461B826B0194984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0F8-F751-45C7-BEFB-A7D3397CEB99}"/>
      </w:docPartPr>
      <w:docPartBody>
        <w:p w:rsidR="00D21A9F" w:rsidRDefault="00D21A9F">
          <w:pPr>
            <w:pStyle w:val="CFFDE270CB50461B826B0194984892C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047AD93791DC493F8562BB3488160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F63B6-C115-4EF7-97B0-A1A4995B6C1D}"/>
      </w:docPartPr>
      <w:docPartBody>
        <w:p w:rsidR="00D21A9F" w:rsidRDefault="00D21A9F">
          <w:pPr>
            <w:pStyle w:val="047AD93791DC493F8562BB3488160D64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2F6857"/>
    <w:rsid w:val="00347D16"/>
    <w:rsid w:val="003E0149"/>
    <w:rsid w:val="00845DDD"/>
    <w:rsid w:val="00D21A9F"/>
    <w:rsid w:val="00F6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7D16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9C8F6F4644C746BFA02EEC90531372EE">
    <w:name w:val="9C8F6F4644C746BFA02EEC90531372EE"/>
    <w:rsid w:val="00845DDD"/>
  </w:style>
  <w:style w:type="paragraph" w:customStyle="1" w:styleId="C6B39EF77A664522B88BC1488C6A9D42">
    <w:name w:val="C6B39EF77A664522B88BC1488C6A9D42"/>
    <w:rsid w:val="00845DDD"/>
  </w:style>
  <w:style w:type="paragraph" w:customStyle="1" w:styleId="14C2E55FB8F3467AA920067D502D2A0D">
    <w:name w:val="14C2E55FB8F3467AA920067D502D2A0D"/>
    <w:rsid w:val="00845DDD"/>
  </w:style>
  <w:style w:type="paragraph" w:customStyle="1" w:styleId="FCC78EB0B19E4F9CBE3CF0B53FCE6039">
    <w:name w:val="FCC78EB0B19E4F9CBE3CF0B53FCE6039"/>
    <w:rsid w:val="00845D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5AE304-BD52-4F19-ACB0-9CBE42403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schemas.microsoft.com/office/2006/metadata/properties"/>
    <ds:schemaRef ds:uri="http://www.w3.org/XML/1998/namespace"/>
    <ds:schemaRef ds:uri="bf54d604-3e62-4e70-ba33-9e9084b96a66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213CA5B-97A6-4DD4-B491-DBB06D4AD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7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56</cp:revision>
  <cp:lastPrinted>2018-10-22T22:41:00Z</cp:lastPrinted>
  <dcterms:created xsi:type="dcterms:W3CDTF">2019-04-14T23:55:00Z</dcterms:created>
  <dcterms:modified xsi:type="dcterms:W3CDTF">2020-07-21T01:56:00Z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