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11F54812" w:rsidR="00BD499F" w:rsidRPr="004C23F4" w:rsidRDefault="00E14ED5" w:rsidP="00B40C60">
          <w:pPr>
            <w:pStyle w:val="Heading1"/>
            <w:jc w:val="center"/>
            <w:rPr>
              <w:rFonts w:ascii="Arial" w:hAnsi="Arial" w:cs="Arial"/>
            </w:rPr>
          </w:pPr>
          <w:r w:rsidRPr="00E14ED5">
            <w:rPr>
              <w:rFonts w:ascii="Arial" w:hAnsi="Arial" w:cs="Arial"/>
            </w:rPr>
            <w:t>Vinyl acetate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189D6E38" w14:textId="77777777" w:rsidTr="001D50A1">
        <w:trPr>
          <w:cantSplit/>
          <w:tblHeader/>
        </w:trPr>
        <w:tc>
          <w:tcPr>
            <w:tcW w:w="3981" w:type="dxa"/>
          </w:tcPr>
          <w:bookmarkEnd w:id="0"/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5" w:type="dxa"/>
          </w:tcPr>
          <w:p w14:paraId="3EDBFD9E" w14:textId="06F9D65B" w:rsidR="00F43AD5" w:rsidRPr="00717D45" w:rsidRDefault="00E14ED5" w:rsidP="00B76A41">
            <w:pPr>
              <w:pStyle w:val="Tablefont"/>
            </w:pPr>
            <w:bookmarkStart w:id="1" w:name="_Hlk22223086"/>
            <w:r w:rsidRPr="00E14ED5">
              <w:t>108-05-4</w:t>
            </w:r>
            <w:bookmarkEnd w:id="1"/>
          </w:p>
        </w:tc>
      </w:tr>
      <w:tr w:rsidR="00F43AD5" w:rsidRPr="004C23F4" w14:paraId="562A9F51" w14:textId="77777777" w:rsidTr="001D50A1">
        <w:trPr>
          <w:cantSplit/>
        </w:trPr>
        <w:tc>
          <w:tcPr>
            <w:tcW w:w="3981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5" w:type="dxa"/>
          </w:tcPr>
          <w:p w14:paraId="32648AB9" w14:textId="7D5AEBE5" w:rsidR="00F43AD5" w:rsidRPr="00717D45" w:rsidRDefault="00286E0D" w:rsidP="00B76A41">
            <w:pPr>
              <w:pStyle w:val="Tablefont"/>
            </w:pPr>
            <w:r>
              <w:t xml:space="preserve">Acetic acid vinyl ester, vinyl A monomer, </w:t>
            </w:r>
            <w:r w:rsidR="001D50A1">
              <w:br/>
            </w:r>
            <w:r>
              <w:t xml:space="preserve">1-acetoxyethylene, </w:t>
            </w:r>
            <w:proofErr w:type="spellStart"/>
            <w:r>
              <w:t>ethenyl</w:t>
            </w:r>
            <w:proofErr w:type="spellEnd"/>
            <w:r>
              <w:t xml:space="preserve"> acetate, </w:t>
            </w:r>
            <w:r w:rsidR="001D50A1">
              <w:br/>
            </w:r>
            <w:r>
              <w:t xml:space="preserve">ethynyl ethanoate, ethanoic acid </w:t>
            </w:r>
            <w:proofErr w:type="spellStart"/>
            <w:r>
              <w:t>ethenyl</w:t>
            </w:r>
            <w:proofErr w:type="spellEnd"/>
            <w:r>
              <w:t xml:space="preserve"> ester, </w:t>
            </w:r>
            <w:r w:rsidR="001D50A1">
              <w:br/>
            </w:r>
            <w:r>
              <w:t>vinyl ethanoate</w:t>
            </w:r>
          </w:p>
        </w:tc>
      </w:tr>
      <w:tr w:rsidR="00F43AD5" w:rsidRPr="004C23F4" w14:paraId="6EE54A08" w14:textId="77777777" w:rsidTr="001D50A1">
        <w:trPr>
          <w:cantSplit/>
        </w:trPr>
        <w:tc>
          <w:tcPr>
            <w:tcW w:w="3981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5" w:type="dxa"/>
          </w:tcPr>
          <w:p w14:paraId="69369B00" w14:textId="2B0DFA2E" w:rsidR="00F43AD5" w:rsidRPr="00717D45" w:rsidRDefault="00286E0D" w:rsidP="00B76A41">
            <w:pPr>
              <w:pStyle w:val="Tablefont"/>
            </w:pPr>
            <w:r>
              <w:t>C</w:t>
            </w:r>
            <w:r w:rsidRPr="00286E0D">
              <w:rPr>
                <w:vertAlign w:val="subscript"/>
              </w:rPr>
              <w:t>4</w:t>
            </w:r>
            <w:r>
              <w:t>H</w:t>
            </w:r>
            <w:r w:rsidRPr="00286E0D">
              <w:rPr>
                <w:vertAlign w:val="subscript"/>
              </w:rPr>
              <w:t>6</w:t>
            </w:r>
            <w:r>
              <w:t>O</w:t>
            </w:r>
            <w:r w:rsidRPr="00286E0D">
              <w:rPr>
                <w:vertAlign w:val="subscript"/>
              </w:rPr>
              <w:t>6</w:t>
            </w:r>
          </w:p>
        </w:tc>
      </w:tr>
    </w:tbl>
    <w:p w14:paraId="71D72173" w14:textId="32CFEAF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E1F7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38264FA" w:rsidR="002C7AFE" w:rsidRPr="00FE1F75" w:rsidRDefault="00FE1F7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ppm (35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52D2BADA" w:rsidR="00037E52" w:rsidRPr="00FE1F75" w:rsidRDefault="00FE1F7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15 ppm (53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F7857AE" w:rsidR="00037E52" w:rsidRPr="00EB3D1B" w:rsidRDefault="00F93BA8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</w:t>
            </w:r>
            <w:r w:rsidR="000E7FFE">
              <w:rPr>
                <w:b/>
              </w:rPr>
              <w:t>.</w:t>
            </w:r>
            <w:r>
              <w:rPr>
                <w:b/>
              </w:rPr>
              <w:t xml:space="preserve"> 2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513CEA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3B952CF0" w:rsidR="00155999" w:rsidRPr="00EB3D1B" w:rsidRDefault="00155999" w:rsidP="00037E52">
            <w:pPr>
              <w:pStyle w:val="Tablefont"/>
              <w:rPr>
                <w:b/>
              </w:rPr>
            </w:pPr>
            <w:r w:rsidRPr="008E29F0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E1F75" w:rsidRPr="008E29F0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A207A4F" w14:textId="1AE3C830" w:rsidR="00513CEA" w:rsidRPr="00513CEA" w:rsidRDefault="00513CEA" w:rsidP="00513CEA">
      <w:pPr>
        <w:rPr>
          <w:rFonts w:cs="Arial"/>
        </w:rPr>
      </w:pPr>
      <w:r w:rsidRPr="00513CEA">
        <w:rPr>
          <w:rFonts w:cs="Arial"/>
        </w:rPr>
        <w:t xml:space="preserve">A TWA of </w:t>
      </w:r>
      <w:r w:rsidR="00FE1F75">
        <w:rPr>
          <w:rFonts w:cs="Arial"/>
        </w:rPr>
        <w:t>10</w:t>
      </w:r>
      <w:r w:rsidRPr="00513CEA">
        <w:rPr>
          <w:rFonts w:cs="Arial"/>
        </w:rPr>
        <w:t xml:space="preserve"> ppm (</w:t>
      </w:r>
      <w:r w:rsidR="00FE1F75">
        <w:rPr>
          <w:rFonts w:cs="Arial"/>
        </w:rPr>
        <w:t>35</w:t>
      </w:r>
      <w:r w:rsidRPr="00513CEA">
        <w:rPr>
          <w:rFonts w:cs="Arial"/>
        </w:rPr>
        <w:t xml:space="preserve"> mg/m</w:t>
      </w:r>
      <w:r w:rsidRPr="00513CEA">
        <w:rPr>
          <w:rFonts w:cs="Arial"/>
          <w:vertAlign w:val="superscript"/>
        </w:rPr>
        <w:t>3</w:t>
      </w:r>
      <w:r w:rsidRPr="00513CEA">
        <w:rPr>
          <w:rFonts w:cs="Arial"/>
        </w:rPr>
        <w:t xml:space="preserve">) is recommended to protect for irritant effects and </w:t>
      </w:r>
      <w:r w:rsidR="00FE1F75">
        <w:rPr>
          <w:rFonts w:cs="Arial"/>
        </w:rPr>
        <w:t xml:space="preserve">carcinogenicity </w:t>
      </w:r>
      <w:r w:rsidRPr="00513CEA">
        <w:rPr>
          <w:rFonts w:cs="Arial"/>
        </w:rPr>
        <w:t xml:space="preserve">in exposed workers. </w:t>
      </w:r>
    </w:p>
    <w:p w14:paraId="56D7D7AF" w14:textId="2566F25F" w:rsidR="006639B4" w:rsidRPr="004C23F4" w:rsidRDefault="00513CEA" w:rsidP="000C139A">
      <w:pPr>
        <w:rPr>
          <w:rFonts w:cs="Arial"/>
        </w:rPr>
      </w:pPr>
      <w:r w:rsidRPr="00513CEA">
        <w:rPr>
          <w:rFonts w:cs="Arial"/>
        </w:rPr>
        <w:t xml:space="preserve">A STEL of </w:t>
      </w:r>
      <w:r w:rsidR="00FE1F75">
        <w:rPr>
          <w:rFonts w:cs="Arial"/>
        </w:rPr>
        <w:t>15</w:t>
      </w:r>
      <w:r w:rsidRPr="00513CEA">
        <w:rPr>
          <w:rFonts w:cs="Arial"/>
        </w:rPr>
        <w:t xml:space="preserve"> ppm (</w:t>
      </w:r>
      <w:r w:rsidR="00FE1F75">
        <w:rPr>
          <w:rFonts w:cs="Arial"/>
        </w:rPr>
        <w:t>53</w:t>
      </w:r>
      <w:r w:rsidRPr="00513CEA">
        <w:rPr>
          <w:rFonts w:cs="Arial"/>
        </w:rPr>
        <w:t xml:space="preserve"> mg/m</w:t>
      </w:r>
      <w:r w:rsidRPr="00513CEA">
        <w:rPr>
          <w:rFonts w:cs="Arial"/>
          <w:vertAlign w:val="superscript"/>
        </w:rPr>
        <w:t>3</w:t>
      </w:r>
      <w:r w:rsidRPr="00513CEA">
        <w:rPr>
          <w:rFonts w:cs="Arial"/>
        </w:rPr>
        <w:t>) is recommended to protect for</w:t>
      </w:r>
      <w:r w:rsidR="00390E26">
        <w:rPr>
          <w:rFonts w:cs="Arial"/>
        </w:rPr>
        <w:t xml:space="preserve"> acute</w:t>
      </w:r>
      <w:r w:rsidRPr="00513CEA">
        <w:rPr>
          <w:rFonts w:cs="Arial"/>
        </w:rPr>
        <w:t xml:space="preserve"> irritant effects 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E914BA1" w14:textId="796CE3E0" w:rsidR="00390E26" w:rsidRDefault="004233AA" w:rsidP="006639B4">
      <w:pPr>
        <w:rPr>
          <w:rFonts w:cs="Arial"/>
        </w:rPr>
      </w:pPr>
      <w:r>
        <w:rPr>
          <w:rFonts w:cs="Arial"/>
        </w:rPr>
        <w:t xml:space="preserve">Vinyl acetate is used </w:t>
      </w:r>
      <w:r w:rsidR="006B3B1D">
        <w:rPr>
          <w:rFonts w:cs="Arial"/>
        </w:rPr>
        <w:t>as an emulsifier in polymer, ink, adhesive, paint, textile</w:t>
      </w:r>
      <w:r w:rsidR="0048167F">
        <w:rPr>
          <w:rFonts w:cs="Arial"/>
        </w:rPr>
        <w:t xml:space="preserve"> and</w:t>
      </w:r>
      <w:r w:rsidR="006B3B1D">
        <w:rPr>
          <w:rFonts w:cs="Arial"/>
        </w:rPr>
        <w:t xml:space="preserve"> paper production.</w:t>
      </w:r>
      <w:r w:rsidR="00512AD8">
        <w:rPr>
          <w:rFonts w:cs="Arial"/>
        </w:rPr>
        <w:t xml:space="preserve"> </w:t>
      </w:r>
    </w:p>
    <w:p w14:paraId="4607B2A5" w14:textId="616EFF82" w:rsidR="006B3B1D" w:rsidRDefault="00390E26" w:rsidP="006639B4">
      <w:pPr>
        <w:rPr>
          <w:rFonts w:cs="Arial"/>
        </w:rPr>
      </w:pPr>
      <w:r>
        <w:rPr>
          <w:rFonts w:cs="Arial"/>
        </w:rPr>
        <w:t>The c</w:t>
      </w:r>
      <w:r w:rsidR="006B3B1D">
        <w:rPr>
          <w:rFonts w:cs="Arial"/>
        </w:rPr>
        <w:t xml:space="preserve">ritical effects </w:t>
      </w:r>
      <w:r w:rsidR="00512AD8">
        <w:rPr>
          <w:rFonts w:cs="Arial"/>
        </w:rPr>
        <w:t xml:space="preserve">of exposure </w:t>
      </w:r>
      <w:r w:rsidR="006B3B1D">
        <w:rPr>
          <w:rFonts w:cs="Arial"/>
        </w:rPr>
        <w:t>are irritation of the upper respiratory tract</w:t>
      </w:r>
      <w:r w:rsidR="00512AD8">
        <w:rPr>
          <w:rFonts w:cs="Arial"/>
        </w:rPr>
        <w:t xml:space="preserve"> </w:t>
      </w:r>
      <w:r w:rsidR="006B3B1D">
        <w:rPr>
          <w:rFonts w:cs="Arial"/>
        </w:rPr>
        <w:t>and carcinogenicity.</w:t>
      </w:r>
    </w:p>
    <w:p w14:paraId="0020799D" w14:textId="5F40BCCE" w:rsidR="006B3B1D" w:rsidRDefault="00FE1F75" w:rsidP="006639B4">
      <w:pPr>
        <w:rPr>
          <w:rFonts w:cs="Arial"/>
        </w:rPr>
      </w:pPr>
      <w:r>
        <w:rPr>
          <w:rFonts w:cs="Arial"/>
        </w:rPr>
        <w:t>T</w:t>
      </w:r>
      <w:r w:rsidR="006B3B1D">
        <w:rPr>
          <w:rFonts w:cs="Arial"/>
        </w:rPr>
        <w:t>hresholds for local irritation vary in the available human exposure data.</w:t>
      </w:r>
      <w:r w:rsidR="00D92188">
        <w:rPr>
          <w:rFonts w:cs="Arial"/>
        </w:rPr>
        <w:t xml:space="preserve"> A single exposure at 4 ppm for </w:t>
      </w:r>
      <w:r w:rsidR="00512AD8">
        <w:rPr>
          <w:rFonts w:cs="Arial"/>
        </w:rPr>
        <w:t>two</w:t>
      </w:r>
      <w:r w:rsidR="00D92188">
        <w:rPr>
          <w:rFonts w:cs="Arial"/>
        </w:rPr>
        <w:t xml:space="preserve"> minutes or 20 ppm for </w:t>
      </w:r>
      <w:r w:rsidR="008E29F0">
        <w:rPr>
          <w:rFonts w:cs="Arial"/>
        </w:rPr>
        <w:t>four</w:t>
      </w:r>
      <w:r w:rsidR="00D92188">
        <w:rPr>
          <w:rFonts w:cs="Arial"/>
        </w:rPr>
        <w:t xml:space="preserve"> hours </w:t>
      </w:r>
      <w:r w:rsidR="001D50A1">
        <w:rPr>
          <w:rFonts w:cs="Arial"/>
        </w:rPr>
        <w:t>i</w:t>
      </w:r>
      <w:r w:rsidR="00D92188">
        <w:rPr>
          <w:rFonts w:cs="Arial"/>
        </w:rPr>
        <w:t>s irritating to some volunteers</w:t>
      </w:r>
      <w:r w:rsidR="0048167F">
        <w:rPr>
          <w:rFonts w:cs="Arial"/>
        </w:rPr>
        <w:t xml:space="preserve"> and</w:t>
      </w:r>
      <w:r w:rsidR="00D92188">
        <w:rPr>
          <w:rFonts w:cs="Arial"/>
        </w:rPr>
        <w:t xml:space="preserve"> a </w:t>
      </w:r>
      <w:r w:rsidR="00F415EB">
        <w:rPr>
          <w:rFonts w:cs="Arial"/>
        </w:rPr>
        <w:t>30-</w:t>
      </w:r>
      <w:r>
        <w:rPr>
          <w:rFonts w:cs="Arial"/>
        </w:rPr>
        <w:t>minute exposure at 72 </w:t>
      </w:r>
      <w:r w:rsidR="006B3B1D">
        <w:rPr>
          <w:rFonts w:cs="Arial"/>
        </w:rPr>
        <w:t xml:space="preserve">ppm </w:t>
      </w:r>
      <w:r w:rsidR="001D50A1">
        <w:rPr>
          <w:rFonts w:cs="Arial"/>
        </w:rPr>
        <w:t>i</w:t>
      </w:r>
      <w:r w:rsidR="006B3B1D">
        <w:rPr>
          <w:rFonts w:cs="Arial"/>
        </w:rPr>
        <w:t>s irritating to all volunteers</w:t>
      </w:r>
      <w:r w:rsidR="00D92188">
        <w:rPr>
          <w:rFonts w:cs="Arial"/>
        </w:rPr>
        <w:t xml:space="preserve">. These data are </w:t>
      </w:r>
      <w:r>
        <w:rPr>
          <w:rFonts w:cs="Arial"/>
        </w:rPr>
        <w:t xml:space="preserve">generally </w:t>
      </w:r>
      <w:r w:rsidR="00D92188">
        <w:rPr>
          <w:rFonts w:cs="Arial"/>
        </w:rPr>
        <w:t>consistent with the results of a workplace study</w:t>
      </w:r>
      <w:r w:rsidR="006B3B1D">
        <w:rPr>
          <w:rFonts w:cs="Arial"/>
        </w:rPr>
        <w:t xml:space="preserve"> </w:t>
      </w:r>
      <w:r w:rsidR="00021F74">
        <w:rPr>
          <w:rFonts w:cs="Arial"/>
        </w:rPr>
        <w:t>that associate</w:t>
      </w:r>
      <w:r w:rsidR="001D50A1">
        <w:rPr>
          <w:rFonts w:cs="Arial"/>
        </w:rPr>
        <w:t>s</w:t>
      </w:r>
      <w:r w:rsidR="00021F74">
        <w:rPr>
          <w:rFonts w:cs="Arial"/>
        </w:rPr>
        <w:t xml:space="preserve"> respiratory irritation with air concentrations of 21.6 ppm and above</w:t>
      </w:r>
      <w:r w:rsidR="001D50A1">
        <w:rPr>
          <w:rFonts w:cs="Arial"/>
        </w:rPr>
        <w:t>;</w:t>
      </w:r>
      <w:r w:rsidR="00021F74">
        <w:rPr>
          <w:rFonts w:cs="Arial"/>
        </w:rPr>
        <w:t xml:space="preserve"> </w:t>
      </w:r>
      <w:r w:rsidR="00512AD8">
        <w:rPr>
          <w:rFonts w:cs="Arial"/>
        </w:rPr>
        <w:t xml:space="preserve">with </w:t>
      </w:r>
      <w:r w:rsidR="00021F74">
        <w:rPr>
          <w:rFonts w:cs="Arial"/>
        </w:rPr>
        <w:t xml:space="preserve">no adverse effects reported at 5 to 10 ppm (ACGIH, 2018). Available epidemiological data are indicative of </w:t>
      </w:r>
      <w:r w:rsidR="00512AD8">
        <w:rPr>
          <w:rFonts w:cs="Arial"/>
        </w:rPr>
        <w:t>carcinogenicity but</w:t>
      </w:r>
      <w:r w:rsidR="00021F74">
        <w:rPr>
          <w:rFonts w:cs="Arial"/>
        </w:rPr>
        <w:t xml:space="preserve"> limited by confounding co-exposures and small case numbers (ACGIH</w:t>
      </w:r>
      <w:r>
        <w:rPr>
          <w:rFonts w:cs="Arial"/>
        </w:rPr>
        <w:t>,</w:t>
      </w:r>
      <w:r w:rsidR="00021F74">
        <w:rPr>
          <w:rFonts w:cs="Arial"/>
        </w:rPr>
        <w:t xml:space="preserve"> 2018; DFG, 2005). Carcinogenicity is </w:t>
      </w:r>
      <w:r w:rsidR="00F415EB">
        <w:rPr>
          <w:rFonts w:cs="Arial"/>
        </w:rPr>
        <w:t xml:space="preserve">reported </w:t>
      </w:r>
      <w:r w:rsidR="00021F74">
        <w:rPr>
          <w:rFonts w:cs="Arial"/>
        </w:rPr>
        <w:t xml:space="preserve">in chronically exposed rodents </w:t>
      </w:r>
      <w:r w:rsidR="00021F74" w:rsidRPr="001D50A1">
        <w:rPr>
          <w:rFonts w:cs="Arial"/>
          <w:i/>
        </w:rPr>
        <w:t>via</w:t>
      </w:r>
      <w:r w:rsidR="00021F74">
        <w:rPr>
          <w:rFonts w:cs="Arial"/>
        </w:rPr>
        <w:t xml:space="preserve"> inhalation </w:t>
      </w:r>
      <w:r w:rsidR="00F415EB">
        <w:rPr>
          <w:rFonts w:cs="Arial"/>
        </w:rPr>
        <w:t xml:space="preserve">at 600 ppm </w:t>
      </w:r>
      <w:r w:rsidR="00021F74">
        <w:rPr>
          <w:rFonts w:cs="Arial"/>
        </w:rPr>
        <w:t xml:space="preserve">or oral routes </w:t>
      </w:r>
      <w:r w:rsidR="001D50A1">
        <w:rPr>
          <w:rFonts w:cs="Arial"/>
        </w:rPr>
        <w:t xml:space="preserve">at </w:t>
      </w:r>
      <w:r w:rsidR="00021F74">
        <w:rPr>
          <w:rFonts w:cs="Arial"/>
        </w:rPr>
        <w:t xml:space="preserve">1,000 ppm </w:t>
      </w:r>
      <w:r w:rsidR="001D50A1">
        <w:rPr>
          <w:rFonts w:cs="Arial"/>
        </w:rPr>
        <w:t>in</w:t>
      </w:r>
      <w:r w:rsidR="00021F74">
        <w:rPr>
          <w:rFonts w:cs="Arial"/>
        </w:rPr>
        <w:t xml:space="preserve"> drinking water (ACGIH, 2018; DFG, 2005). The dose</w:t>
      </w:r>
      <w:r w:rsidR="00F415EB">
        <w:rPr>
          <w:rFonts w:cs="Arial"/>
        </w:rPr>
        <w:noBreakHyphen/>
      </w:r>
      <w:r w:rsidR="00021F74">
        <w:rPr>
          <w:rFonts w:cs="Arial"/>
        </w:rPr>
        <w:t xml:space="preserve">response relationship </w:t>
      </w:r>
      <w:r w:rsidR="00480979">
        <w:rPr>
          <w:rFonts w:cs="Arial"/>
        </w:rPr>
        <w:t xml:space="preserve">for tumorigenicity </w:t>
      </w:r>
      <w:r w:rsidR="00021F74">
        <w:rPr>
          <w:rFonts w:cs="Arial"/>
        </w:rPr>
        <w:t xml:space="preserve">is non-linear and suggests a threshold </w:t>
      </w:r>
      <w:r w:rsidR="00480979">
        <w:rPr>
          <w:rFonts w:cs="Arial"/>
        </w:rPr>
        <w:t xml:space="preserve">for carcinogenic effects, which depends on </w:t>
      </w:r>
      <w:r w:rsidR="00513CEA">
        <w:rPr>
          <w:rFonts w:cs="Arial"/>
        </w:rPr>
        <w:t xml:space="preserve">the action of chronic irritation and </w:t>
      </w:r>
      <w:r w:rsidR="00480979">
        <w:rPr>
          <w:rFonts w:cs="Arial"/>
        </w:rPr>
        <w:t xml:space="preserve">saturation of acetaldehyde-forming metabolic pathways (ACGIH, 2018; DFG, 2005). A NOAEC of 50 ppm for histopathological </w:t>
      </w:r>
      <w:r>
        <w:rPr>
          <w:rFonts w:cs="Arial"/>
        </w:rPr>
        <w:t>signs</w:t>
      </w:r>
      <w:r w:rsidR="00480979">
        <w:rPr>
          <w:rFonts w:cs="Arial"/>
        </w:rPr>
        <w:t xml:space="preserve"> of irritation is reported in a chronic inhalation study with </w:t>
      </w:r>
      <w:r w:rsidR="00513CEA">
        <w:rPr>
          <w:rFonts w:cs="Arial"/>
        </w:rPr>
        <w:t>mice and rats</w:t>
      </w:r>
      <w:r w:rsidR="00480979">
        <w:rPr>
          <w:rFonts w:cs="Arial"/>
        </w:rPr>
        <w:t xml:space="preserve"> (ACGIH, 2018; DFG, 2005). </w:t>
      </w:r>
    </w:p>
    <w:p w14:paraId="5B60ED10" w14:textId="519813F6" w:rsidR="00480979" w:rsidRPr="004C23F4" w:rsidRDefault="00513CEA" w:rsidP="00513CEA">
      <w:r>
        <w:t>DFG (2005) considers the available human irritation and carcinogenicity data insufficient for the basis of a</w:t>
      </w:r>
      <w:r w:rsidR="00F415EB">
        <w:t xml:space="preserve">n OEL </w:t>
      </w:r>
      <w:r>
        <w:t xml:space="preserve">recommendation. </w:t>
      </w:r>
      <w:r w:rsidR="00480979">
        <w:t xml:space="preserve">The </w:t>
      </w:r>
      <w:r>
        <w:t xml:space="preserve">evaluations of ACGIH (2018) </w:t>
      </w:r>
      <w:r w:rsidR="00480979">
        <w:t>and SCOEL (2005)</w:t>
      </w:r>
      <w:r w:rsidR="00FE1F75">
        <w:t xml:space="preserve"> use the NOAEC of </w:t>
      </w:r>
      <w:r w:rsidR="001D50A1">
        <w:t>50 </w:t>
      </w:r>
      <w:r>
        <w:t xml:space="preserve">ppm for upper respiratory irritation in rodents as a point of departure. The TWA of 10 ppm and </w:t>
      </w:r>
      <w:r>
        <w:lastRenderedPageBreak/>
        <w:t xml:space="preserve">STEL of 15 ppm are supported by limited human exposure data that suggest irritation occurs near </w:t>
      </w:r>
      <w:r w:rsidR="001D50A1">
        <w:t>20 </w:t>
      </w:r>
      <w:r>
        <w:t>ppm</w:t>
      </w:r>
      <w:r w:rsidR="00FE1F75">
        <w:t xml:space="preserve"> over prolonged exposure</w:t>
      </w:r>
      <w:r>
        <w:t>, but not at 10 ppm. In view of this</w:t>
      </w:r>
      <w:r w:rsidR="00FE1F75">
        <w:t xml:space="preserve"> information, the TWA of 10 </w:t>
      </w:r>
      <w:r>
        <w:t>ppm and STEL of 15 ppm are recommended and expected to protect for local irritation and potential carcinogenicity.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0F62221" w14:textId="4A7DDD3C" w:rsidR="00FE1F75" w:rsidRPr="00FE1F75" w:rsidRDefault="00FE1F75" w:rsidP="008E4F1F">
      <w:pPr>
        <w:rPr>
          <w:rFonts w:cs="Arial"/>
        </w:rPr>
      </w:pPr>
      <w:r w:rsidRPr="00FE1F75">
        <w:rPr>
          <w:rFonts w:cs="Arial"/>
        </w:rPr>
        <w:t xml:space="preserve">Classified as a category </w:t>
      </w:r>
      <w:r w:rsidR="003B15F7">
        <w:rPr>
          <w:rFonts w:cs="Arial"/>
        </w:rPr>
        <w:t>2</w:t>
      </w:r>
      <w:r w:rsidRPr="00FE1F75">
        <w:rPr>
          <w:rFonts w:cs="Arial"/>
        </w:rPr>
        <w:t xml:space="preserve"> carcinogen according to the Globally Harmonized System of Classification and Labelling of Chemicals (GHS).</w:t>
      </w:r>
    </w:p>
    <w:p w14:paraId="03916CCC" w14:textId="2AD60E7A" w:rsidR="008E4F1F" w:rsidRPr="00FE1F75" w:rsidRDefault="008E4F1F" w:rsidP="008E4F1F">
      <w:pPr>
        <w:rPr>
          <w:rFonts w:cs="Arial"/>
        </w:rPr>
      </w:pPr>
      <w:r w:rsidRPr="00FE1F75">
        <w:rPr>
          <w:rFonts w:cs="Arial"/>
        </w:rPr>
        <w:t xml:space="preserve">Not classified as a skin </w:t>
      </w:r>
      <w:r w:rsidR="00155999" w:rsidRPr="00FE1F75">
        <w:rPr>
          <w:rFonts w:cs="Arial"/>
        </w:rPr>
        <w:t xml:space="preserve">sensitiser </w:t>
      </w:r>
      <w:r w:rsidRPr="00FE1F75">
        <w:rPr>
          <w:rFonts w:cs="Arial"/>
        </w:rPr>
        <w:t>or respiratory sensitiser according to the GHS.</w:t>
      </w:r>
    </w:p>
    <w:p w14:paraId="091C5456" w14:textId="77777777" w:rsidR="00FE1F75" w:rsidRPr="00FE1F75" w:rsidRDefault="00FE1F75" w:rsidP="00FE1F75">
      <w:pPr>
        <w:rPr>
          <w:rFonts w:cs="Arial"/>
        </w:rPr>
      </w:pPr>
      <w:r w:rsidRPr="00FE1F75">
        <w:rPr>
          <w:rFonts w:cs="Arial"/>
        </w:rPr>
        <w:t>A skin notation is not recommended based on the available evidence.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34479E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3447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1DA186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86E0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86E0D">
                  <w:t>TWA: 10 ppm (35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>); STEL: 20 ppm (70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>)</w:t>
                </w:r>
              </w:sdtContent>
            </w:sdt>
          </w:p>
        </w:tc>
      </w:tr>
      <w:tr w:rsidR="00C978F0" w:rsidRPr="00DA352E" w14:paraId="26087DDB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34479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53AE9A7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86E0D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86E0D">
                  <w:t>TLV-TWA: 10 ppm (35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>); TLV-STEL: 15 ppm (53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>)</w:t>
                </w:r>
              </w:sdtContent>
            </w:sdt>
          </w:p>
        </w:tc>
      </w:tr>
      <w:tr w:rsidR="00C978F0" w:rsidRPr="00DA352E" w14:paraId="418D532D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58CC6343" w14:textId="3A84A9EA" w:rsidR="00C978F0" w:rsidRDefault="000507DA" w:rsidP="003365A5">
            <w:pPr>
              <w:pStyle w:val="Tabletextprimarysource"/>
            </w:pPr>
            <w:r>
              <w:t>TLV-TWA</w:t>
            </w:r>
            <w:r w:rsidR="0038131C">
              <w:t xml:space="preserve"> and TLV-STEL</w:t>
            </w:r>
            <w:r>
              <w:t xml:space="preserve"> intended to protect for </w:t>
            </w:r>
            <w:r w:rsidR="00AC1F62">
              <w:t xml:space="preserve">respiratory tract irritation. </w:t>
            </w:r>
          </w:p>
          <w:p w14:paraId="049774E4" w14:textId="51DB6452" w:rsidR="0038131C" w:rsidRDefault="0038131C" w:rsidP="003365A5">
            <w:pPr>
              <w:pStyle w:val="Tabletextprimarysource"/>
            </w:pPr>
            <w:r>
              <w:t>Summary of information</w:t>
            </w:r>
            <w:r w:rsidR="001A4790">
              <w:t>:</w:t>
            </w:r>
          </w:p>
          <w:p w14:paraId="4CA1BED9" w14:textId="53C4EE65" w:rsidR="0038131C" w:rsidRDefault="0038131C" w:rsidP="003365A5">
            <w:pPr>
              <w:pStyle w:val="Tabletextprimarysource"/>
            </w:pPr>
            <w:r>
              <w:t xml:space="preserve">TLV-TWA based on NOAEC of 50 ppm for microscopic changes indicative of </w:t>
            </w:r>
            <w:r w:rsidR="00F93BA8">
              <w:t>URT</w:t>
            </w:r>
            <w:r>
              <w:t xml:space="preserve"> irritation in rats and mice in </w:t>
            </w:r>
            <w:r w:rsidR="004628A5">
              <w:t>chronic</w:t>
            </w:r>
            <w:r>
              <w:t xml:space="preserve"> inhalation studies. TLV-STEL based on separate reports of eye and </w:t>
            </w:r>
            <w:r w:rsidR="00F93BA8">
              <w:t xml:space="preserve">URT </w:t>
            </w:r>
            <w:r>
              <w:t>irritation in humans exposed at 2</w:t>
            </w:r>
            <w:r w:rsidR="000A0A43">
              <w:t>1.6</w:t>
            </w:r>
            <w:r>
              <w:t xml:space="preserve"> and 72 ppm.</w:t>
            </w:r>
          </w:p>
          <w:p w14:paraId="2E3F8E27" w14:textId="68A477C7" w:rsidR="0038131C" w:rsidRDefault="0038131C" w:rsidP="003365A5">
            <w:pPr>
              <w:pStyle w:val="Tabletextprimarysource"/>
            </w:pPr>
            <w:r>
              <w:t>Human data</w:t>
            </w:r>
            <w:r w:rsidR="001A4790">
              <w:t>:</w:t>
            </w:r>
          </w:p>
          <w:p w14:paraId="379517CC" w14:textId="0893ECE8" w:rsidR="0038131C" w:rsidRDefault="00BD45D0" w:rsidP="00BD45D0">
            <w:pPr>
              <w:pStyle w:val="Tabletextprimarysource"/>
              <w:numPr>
                <w:ilvl w:val="0"/>
                <w:numId w:val="2"/>
              </w:numPr>
            </w:pPr>
            <w:r>
              <w:t>No differences in haematological parameters between controls and workers exposed on average at 5–10 ppm (peaks 300 ppm); irritation of eyes and throat reported in workers exposed at 21.6 ppm</w:t>
            </w:r>
          </w:p>
          <w:p w14:paraId="12FD08C5" w14:textId="46B376DE" w:rsidR="00BD45D0" w:rsidRDefault="00BD45D0" w:rsidP="00BD45D0">
            <w:pPr>
              <w:pStyle w:val="Tabletextprimarysource"/>
              <w:numPr>
                <w:ilvl w:val="0"/>
                <w:numId w:val="2"/>
              </w:numPr>
            </w:pPr>
            <w:r>
              <w:t>No</w:t>
            </w:r>
            <w:r w:rsidR="00F415EB">
              <w:t xml:space="preserve"> irritation </w:t>
            </w:r>
            <w:r>
              <w:t>to eyes and throat at 1.3 ppm (2 min</w:t>
            </w:r>
            <w:r w:rsidR="00F415EB">
              <w:t xml:space="preserve">). Throat </w:t>
            </w:r>
            <w:r>
              <w:t>irritation at 4 ppm (2 min) in 1/9 volunteers</w:t>
            </w:r>
            <w:r w:rsidR="0048167F">
              <w:t xml:space="preserve"> and</w:t>
            </w:r>
            <w:r>
              <w:t xml:space="preserve"> at 72 ppm (30 min) in 9/9 volunteers; irritation at 20 ppm (4 h) in 1/3 volunteers</w:t>
            </w:r>
          </w:p>
          <w:p w14:paraId="1B1AE217" w14:textId="43A5C4DC" w:rsidR="00BD45D0" w:rsidRDefault="005F203B" w:rsidP="00BD45D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Excess </w:t>
            </w:r>
            <w:r w:rsidR="00214F63">
              <w:t>risk of respiratory system and CNS cancers in epidemiological study of exposed workers (n=4,806); confounded by co-exposures to other chemicals including vinyl chloride, chlorinated solvents</w:t>
            </w:r>
            <w:r w:rsidR="0048167F">
              <w:t xml:space="preserve"> and</w:t>
            </w:r>
            <w:r w:rsidR="00214F63">
              <w:t xml:space="preserve"> acrylonitrile; subgroup of cases with slightly higher cumulative exposure to vinyl acetate associated with lung cancer</w:t>
            </w:r>
          </w:p>
          <w:p w14:paraId="2EB1C47B" w14:textId="6ADCAEFB" w:rsidR="001D50A1" w:rsidRDefault="00214F63" w:rsidP="00BD45D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Increased OR for incidence of </w:t>
            </w:r>
            <w:r w:rsidR="001D50A1">
              <w:t>NHL</w:t>
            </w:r>
            <w:r>
              <w:t xml:space="preserve"> in 7/52 males (OR=1.2), multiple myeloma in 3/20 males (OR=1.6), lymphocytic leukaemia in 2/18 males (OR=1.8) in case-control study of exposed workers in 3 workplaces (n=29,139)</w:t>
            </w:r>
            <w:r w:rsidR="001A4790">
              <w:t>:</w:t>
            </w:r>
            <w:r>
              <w:t xml:space="preserve"> </w:t>
            </w:r>
          </w:p>
          <w:p w14:paraId="66F74777" w14:textId="5FF80675" w:rsidR="00214F63" w:rsidRDefault="00F415EB" w:rsidP="001D50A1">
            <w:pPr>
              <w:pStyle w:val="Tabletextprimarysource"/>
              <w:numPr>
                <w:ilvl w:val="0"/>
                <w:numId w:val="4"/>
              </w:numPr>
            </w:pPr>
            <w:r>
              <w:t xml:space="preserve">ACGIH </w:t>
            </w:r>
            <w:r w:rsidR="00214F63">
              <w:t>considers results inconclusive due to small numbers of cases</w:t>
            </w:r>
            <w:r w:rsidR="00A91AE0">
              <w:t xml:space="preserve"> and workers</w:t>
            </w:r>
          </w:p>
          <w:p w14:paraId="40456E00" w14:textId="44FA88EF" w:rsidR="00214F63" w:rsidRDefault="00214F63" w:rsidP="00BD45D0">
            <w:pPr>
              <w:pStyle w:val="Tabletextprimarysource"/>
              <w:numPr>
                <w:ilvl w:val="0"/>
                <w:numId w:val="2"/>
              </w:numPr>
            </w:pPr>
            <w:r>
              <w:t>No positive patch test reactions to 1% solution of exposed workers (n=76)</w:t>
            </w:r>
            <w:r w:rsidR="00F93BA8">
              <w:t>.</w:t>
            </w:r>
          </w:p>
          <w:p w14:paraId="56AD6D31" w14:textId="2F31B4AB" w:rsidR="0038131C" w:rsidRDefault="0038131C" w:rsidP="003365A5">
            <w:pPr>
              <w:pStyle w:val="Tabletextprimarysource"/>
            </w:pPr>
            <w:r>
              <w:t>Animal data</w:t>
            </w:r>
            <w:r w:rsidR="001A4790">
              <w:t>:</w:t>
            </w:r>
          </w:p>
          <w:p w14:paraId="7C95B274" w14:textId="11896D36" w:rsidR="005F2CBE" w:rsidRDefault="005F2CBE" w:rsidP="0038131C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2,920–3,470 mg/kg (rats), 1,613 mg/kg (mice)</w:t>
            </w:r>
          </w:p>
          <w:p w14:paraId="123616E1" w14:textId="7666E924" w:rsidR="001D50A1" w:rsidRDefault="0038131C" w:rsidP="0038131C">
            <w:pPr>
              <w:pStyle w:val="Tabletextprimarysource"/>
              <w:numPr>
                <w:ilvl w:val="0"/>
                <w:numId w:val="1"/>
              </w:numPr>
            </w:pPr>
            <w:r>
              <w:t>NOAEC: 36 ppm for decreased excitability of CNS</w:t>
            </w:r>
            <w:r w:rsidR="00F93BA8">
              <w:t xml:space="preserve"> </w:t>
            </w:r>
            <w:r w:rsidR="00A045B7">
              <w:t>reported in acute inhalation study (rabbits, 40 min)</w:t>
            </w:r>
            <w:r w:rsidR="0034479E">
              <w:t>:</w:t>
            </w:r>
            <w:r w:rsidR="00A045B7">
              <w:t xml:space="preserve"> </w:t>
            </w:r>
          </w:p>
          <w:p w14:paraId="13C234D0" w14:textId="20ECC3BD" w:rsidR="001D50A1" w:rsidRDefault="00A045B7" w:rsidP="001D50A1">
            <w:pPr>
              <w:pStyle w:val="Tabletextprimarysource"/>
              <w:numPr>
                <w:ilvl w:val="0"/>
                <w:numId w:val="4"/>
              </w:numPr>
            </w:pPr>
            <w:r>
              <w:t>LOAEC</w:t>
            </w:r>
            <w:r w:rsidR="00A91AE0">
              <w:t xml:space="preserve"> of </w:t>
            </w:r>
            <w:r>
              <w:t>71 ppm</w:t>
            </w:r>
          </w:p>
          <w:p w14:paraId="4F72C792" w14:textId="40E3B2D3" w:rsidR="0038131C" w:rsidRDefault="00A045B7" w:rsidP="001D50A1">
            <w:pPr>
              <w:pStyle w:val="Tabletextprimarysource"/>
              <w:numPr>
                <w:ilvl w:val="0"/>
                <w:numId w:val="4"/>
              </w:numPr>
            </w:pPr>
            <w:r>
              <w:t>higher excitability at 142 ppm</w:t>
            </w:r>
          </w:p>
          <w:p w14:paraId="2F97CA0B" w14:textId="33F2AB4B" w:rsidR="001D50A1" w:rsidRDefault="00A045B7" w:rsidP="0038131C">
            <w:pPr>
              <w:pStyle w:val="Tabletextprimarysource"/>
              <w:numPr>
                <w:ilvl w:val="0"/>
                <w:numId w:val="1"/>
              </w:numPr>
            </w:pPr>
            <w:r>
              <w:t>No change in liver enzyme levels and liver pathology at 250 mg/kg as single IP injection (guinea pigs)</w:t>
            </w:r>
            <w:r w:rsidR="001A4790">
              <w:t>:</w:t>
            </w:r>
            <w:r>
              <w:t xml:space="preserve"> </w:t>
            </w:r>
          </w:p>
          <w:p w14:paraId="79C3E019" w14:textId="1C70D493" w:rsidR="00A045B7" w:rsidRDefault="00A045B7" w:rsidP="001D50A1">
            <w:pPr>
              <w:pStyle w:val="Tabletextprimarysource"/>
              <w:numPr>
                <w:ilvl w:val="0"/>
                <w:numId w:val="5"/>
              </w:numPr>
            </w:pPr>
            <w:r>
              <w:t>mortality and marginally increased liver enzyme activity at 500 mg/kg</w:t>
            </w:r>
          </w:p>
          <w:p w14:paraId="61B2D077" w14:textId="7FA21A6F" w:rsidR="00A045B7" w:rsidRDefault="001C1329" w:rsidP="0038131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Decreased </w:t>
            </w:r>
            <w:r w:rsidR="00A91AE0">
              <w:t>body weight</w:t>
            </w:r>
            <w:r>
              <w:t xml:space="preserve">, respiratory distress, </w:t>
            </w:r>
            <w:r w:rsidR="005C7F79">
              <w:t>increased lung/body ratio</w:t>
            </w:r>
            <w:r w:rsidR="0048167F">
              <w:t xml:space="preserve"> and</w:t>
            </w:r>
            <w:r w:rsidR="004628A5">
              <w:t xml:space="preserve"> inflammatory</w:t>
            </w:r>
            <w:r w:rsidR="005C7F79">
              <w:t xml:space="preserve"> </w:t>
            </w:r>
            <w:r w:rsidR="004628A5">
              <w:t>histological changes in the respiratory tract at 1,000 ppm (rats) and 200 ppm (mice) reported in subchronic inhalation study (6 h/d, 5 d/wk, 90 d)</w:t>
            </w:r>
          </w:p>
          <w:p w14:paraId="17762CE0" w14:textId="69BEBF14" w:rsidR="001D50A1" w:rsidRDefault="00C467BA" w:rsidP="00873EBD">
            <w:pPr>
              <w:pStyle w:val="Tabletextprimarysource"/>
              <w:numPr>
                <w:ilvl w:val="0"/>
                <w:numId w:val="1"/>
              </w:numPr>
            </w:pPr>
            <w:r>
              <w:t>No changes in haematology, blood chemistry, organ weights or histopathology at</w:t>
            </w:r>
            <w:r w:rsidR="001D50A1">
              <w:t xml:space="preserve"> </w:t>
            </w:r>
            <w:r>
              <w:t>200</w:t>
            </w:r>
            <w:r w:rsidR="00A91AE0">
              <w:noBreakHyphen/>
            </w:r>
            <w:r>
              <w:t xml:space="preserve">5,000 ppm of drinking water in subchronic oral dose study (rats, 13 </w:t>
            </w:r>
            <w:proofErr w:type="spellStart"/>
            <w:r>
              <w:t>wk</w:t>
            </w:r>
            <w:proofErr w:type="spellEnd"/>
            <w:r>
              <w:t>)</w:t>
            </w:r>
            <w:r w:rsidR="001A4790">
              <w:t>:</w:t>
            </w:r>
            <w:r>
              <w:t xml:space="preserve"> </w:t>
            </w:r>
          </w:p>
          <w:p w14:paraId="7A4CFD9E" w14:textId="6392F2B6" w:rsidR="004628A5" w:rsidRDefault="00C467BA" w:rsidP="001D50A1">
            <w:pPr>
              <w:pStyle w:val="Tabletextprimarysource"/>
              <w:numPr>
                <w:ilvl w:val="0"/>
                <w:numId w:val="5"/>
              </w:numPr>
            </w:pPr>
            <w:r>
              <w:t>growth rate reduced non-significantly at 5,000 ppm of drinking water (males only)</w:t>
            </w:r>
          </w:p>
          <w:p w14:paraId="6F70F42F" w14:textId="351FBEEA" w:rsidR="001D50A1" w:rsidRDefault="0075753E" w:rsidP="0038131C">
            <w:pPr>
              <w:pStyle w:val="Tabletextprimarysource"/>
              <w:numPr>
                <w:ilvl w:val="0"/>
                <w:numId w:val="1"/>
              </w:numPr>
            </w:pPr>
            <w:r>
              <w:t>NOAEL</w:t>
            </w:r>
            <w:r w:rsidR="00A91AE0">
              <w:t xml:space="preserve"> of </w:t>
            </w:r>
            <w:r>
              <w:t xml:space="preserve">50 ppm for microscopic evidence </w:t>
            </w:r>
            <w:r w:rsidR="00A91AE0">
              <w:t xml:space="preserve">of </w:t>
            </w:r>
            <w:r>
              <w:t xml:space="preserve">respiratory tract irritation </w:t>
            </w:r>
            <w:r w:rsidR="003E3C49">
              <w:t xml:space="preserve">and reduced </w:t>
            </w:r>
            <w:r w:rsidR="00A91AE0">
              <w:t>body weight</w:t>
            </w:r>
            <w:r w:rsidR="003E3C49">
              <w:t xml:space="preserve"> </w:t>
            </w:r>
            <w:r>
              <w:t xml:space="preserve">in chronic inhalation study </w:t>
            </w:r>
            <w:r w:rsidR="00A91AE0">
              <w:t>at</w:t>
            </w:r>
            <w:r>
              <w:t xml:space="preserve"> 0, 50, 200</w:t>
            </w:r>
            <w:r w:rsidR="0048167F">
              <w:t xml:space="preserve"> and</w:t>
            </w:r>
            <w:r>
              <w:t xml:space="preserve"> 600 ppm (mice, rats, 2</w:t>
            </w:r>
            <w:r w:rsidR="004F390C">
              <w:t> </w:t>
            </w:r>
            <w:r>
              <w:t>yr, no details on exposure duration and frequency)</w:t>
            </w:r>
            <w:r w:rsidR="001A4790">
              <w:t>:</w:t>
            </w:r>
            <w:r>
              <w:t xml:space="preserve"> </w:t>
            </w:r>
          </w:p>
          <w:p w14:paraId="1FA5C550" w14:textId="77777777" w:rsidR="001D50A1" w:rsidRDefault="0075753E" w:rsidP="001D50A1">
            <w:pPr>
              <w:pStyle w:val="Tabletextprimarysource"/>
              <w:numPr>
                <w:ilvl w:val="0"/>
                <w:numId w:val="5"/>
              </w:numPr>
            </w:pPr>
            <w:r>
              <w:t>tumours in nasal cavity (rats) and lungs (mice) at 600 ppm</w:t>
            </w:r>
          </w:p>
          <w:p w14:paraId="4027CD8F" w14:textId="5993E3C3" w:rsidR="0075753E" w:rsidRDefault="000E67E7" w:rsidP="001D50A1">
            <w:pPr>
              <w:pStyle w:val="Tabletextprimarysource"/>
              <w:numPr>
                <w:ilvl w:val="0"/>
                <w:numId w:val="5"/>
              </w:numPr>
            </w:pPr>
            <w:r>
              <w:t>tumours in rats considered to be due to chronic irritation</w:t>
            </w:r>
          </w:p>
          <w:p w14:paraId="215A1760" w14:textId="00583CF0" w:rsidR="001D50A1" w:rsidRDefault="000E67E7" w:rsidP="000E67E7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Increased incidence of tumours in oesophagus and forestomach (females and their offspring) at 5,000 ppm </w:t>
            </w:r>
            <w:r w:rsidR="001D50A1">
              <w:t>in</w:t>
            </w:r>
            <w:r>
              <w:t xml:space="preserve"> drinking water in chronic 2-gen oral dose study with exposure groups 0, 1,000</w:t>
            </w:r>
            <w:r w:rsidR="0048167F">
              <w:t xml:space="preserve"> and</w:t>
            </w:r>
            <w:r>
              <w:t xml:space="preserve"> 5,000 ppm (mice, 78 </w:t>
            </w:r>
            <w:proofErr w:type="spellStart"/>
            <w:r>
              <w:t>wk</w:t>
            </w:r>
            <w:proofErr w:type="spellEnd"/>
            <w:r>
              <w:t>)</w:t>
            </w:r>
            <w:r w:rsidR="001A4790">
              <w:t>:</w:t>
            </w:r>
            <w:r>
              <w:t xml:space="preserve"> </w:t>
            </w:r>
          </w:p>
          <w:p w14:paraId="597318A0" w14:textId="2428A83E" w:rsidR="000E67E7" w:rsidRDefault="000E67E7" w:rsidP="001D50A1">
            <w:pPr>
              <w:pStyle w:val="Tabletextprimarysource"/>
              <w:numPr>
                <w:ilvl w:val="0"/>
                <w:numId w:val="6"/>
              </w:numPr>
            </w:pPr>
            <w:r>
              <w:t>2 and 12% incidence of tumours of oral cavity and tongue at 1,000 and 5,000 ppm, respectively (0 in controls)</w:t>
            </w:r>
          </w:p>
          <w:p w14:paraId="06B761D5" w14:textId="765E77E9" w:rsidR="00981F57" w:rsidRDefault="00981F57" w:rsidP="001D50A1">
            <w:pPr>
              <w:pStyle w:val="Tabletextprimarysource"/>
              <w:numPr>
                <w:ilvl w:val="0"/>
                <w:numId w:val="6"/>
              </w:numPr>
            </w:pPr>
            <w:r>
              <w:t xml:space="preserve">4 and </w:t>
            </w:r>
            <w:r w:rsidR="000E67E7">
              <w:t xml:space="preserve">8% incidence of </w:t>
            </w:r>
            <w:r>
              <w:t xml:space="preserve">oesophagus and forestomach at 5,000 ppm in offspring of rats reported in the same study (rats, 104 wk); 2 and 6% oral cavity tumours at 1,000 and 5,000 ppm </w:t>
            </w:r>
          </w:p>
          <w:p w14:paraId="006B5536" w14:textId="3027A19D" w:rsidR="0075753E" w:rsidRDefault="000E67E7" w:rsidP="0038131C">
            <w:pPr>
              <w:pStyle w:val="Tabletextprimarysource"/>
              <w:numPr>
                <w:ilvl w:val="0"/>
                <w:numId w:val="1"/>
              </w:numPr>
            </w:pPr>
            <w:r>
              <w:t>Cited review of several animal carcinogenicity data concludes substance is carcinogenic at site of entry</w:t>
            </w:r>
          </w:p>
          <w:p w14:paraId="7B6FD57B" w14:textId="60173E2F" w:rsidR="00981F57" w:rsidRDefault="00981F57" w:rsidP="0038131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Mutagenic </w:t>
            </w:r>
            <w:r>
              <w:rPr>
                <w:i/>
              </w:rPr>
              <w:t>in vitro</w:t>
            </w:r>
            <w:r>
              <w:t xml:space="preserve"> in bacteria and mammalian cells in the presence or absence of metabolic activation; chromosomal aberrations detected in human whole-blood lymphocyte cultures</w:t>
            </w:r>
          </w:p>
          <w:p w14:paraId="76B9764D" w14:textId="5B9C2D66" w:rsidR="00FE7B81" w:rsidRDefault="005F2CBE" w:rsidP="0038131C">
            <w:pPr>
              <w:pStyle w:val="Tabletextprimarysource"/>
              <w:numPr>
                <w:ilvl w:val="0"/>
                <w:numId w:val="1"/>
              </w:numPr>
            </w:pPr>
            <w:r>
              <w:t>DNA binding and induction of sister chromatid exchange at half the LD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</w:p>
          <w:p w14:paraId="5BEEDC2F" w14:textId="1FC90B40" w:rsidR="00981F57" w:rsidRDefault="005F2CBE" w:rsidP="0038131C">
            <w:pPr>
              <w:pStyle w:val="Tabletextprimarysource"/>
              <w:numPr>
                <w:ilvl w:val="0"/>
                <w:numId w:val="1"/>
              </w:numPr>
            </w:pPr>
            <w:r>
              <w:t>Genotoxicity likely mediated by acetaldehyde metabolite</w:t>
            </w:r>
            <w:r w:rsidR="00F93BA8">
              <w:t>.</w:t>
            </w:r>
          </w:p>
          <w:p w14:paraId="7EC165F8" w14:textId="77777777" w:rsidR="001D50A1" w:rsidRDefault="001D50A1" w:rsidP="001D50A1">
            <w:pPr>
              <w:pStyle w:val="Tabletextprimarysource"/>
            </w:pPr>
          </w:p>
          <w:p w14:paraId="3FED5A59" w14:textId="77777777" w:rsidR="0034479E" w:rsidRDefault="0034479E" w:rsidP="003365A5">
            <w:pPr>
              <w:pStyle w:val="Tabletextprimarysource"/>
            </w:pPr>
            <w:r>
              <w:t>Carcinogenicity confirmed in chronic feeding studies with animals but not confirmed in human epidemiological data (A3).</w:t>
            </w:r>
          </w:p>
          <w:p w14:paraId="187DB2C5" w14:textId="510ECD78" w:rsidR="0038131C" w:rsidRDefault="0038131C" w:rsidP="003365A5">
            <w:pPr>
              <w:pStyle w:val="Tabletextprimarysource"/>
            </w:pPr>
            <w:r>
              <w:t>Insufficient data to recommend notations for skin absorption or sensitisation.</w:t>
            </w:r>
          </w:p>
          <w:p w14:paraId="0CE4D35D" w14:textId="5C71E57C" w:rsidR="001D50A1" w:rsidRPr="00DA352E" w:rsidRDefault="001D50A1" w:rsidP="003365A5">
            <w:pPr>
              <w:pStyle w:val="Tabletextprimarysource"/>
            </w:pPr>
          </w:p>
        </w:tc>
      </w:tr>
      <w:tr w:rsidR="00C978F0" w:rsidRPr="00DA352E" w14:paraId="174F8B79" w14:textId="77777777" w:rsidTr="0034479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3080C22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86E0D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86E0D">
                  <w:t>Not assigned</w:t>
                </w:r>
              </w:sdtContent>
            </w:sdt>
          </w:p>
        </w:tc>
      </w:tr>
      <w:tr w:rsidR="00C978F0" w:rsidRPr="00DA352E" w14:paraId="4433014F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5790B9CA" w14:textId="405CAE45" w:rsidR="00C978F0" w:rsidRDefault="00D94BAD" w:rsidP="003365A5">
            <w:pPr>
              <w:pStyle w:val="Tabletextprimarysource"/>
            </w:pPr>
            <w:r>
              <w:t>Summary of additional information</w:t>
            </w:r>
            <w:r w:rsidR="0034479E">
              <w:t>:</w:t>
            </w:r>
          </w:p>
          <w:p w14:paraId="162EE98E" w14:textId="77777777" w:rsidR="001D50A1" w:rsidRDefault="00D94BAD" w:rsidP="003365A5">
            <w:pPr>
              <w:pStyle w:val="Tabletextprimarysource"/>
            </w:pPr>
            <w:r>
              <w:t xml:space="preserve">Previous MAK of 10 ppm withdrawn due to classification as </w:t>
            </w:r>
            <w:r w:rsidR="00897771">
              <w:t>non-genotoxic carcinogen. Insufficient data to assign a MAK at which potential carcinogenicity may not be expected (3A).</w:t>
            </w:r>
            <w:r w:rsidR="00420589">
              <w:t xml:space="preserve"> </w:t>
            </w:r>
          </w:p>
          <w:p w14:paraId="5211126F" w14:textId="68F4DE0C" w:rsidR="00D94BAD" w:rsidRPr="003E3C49" w:rsidRDefault="00420589" w:rsidP="003365A5">
            <w:pPr>
              <w:pStyle w:val="Tabletextprimarysource"/>
            </w:pPr>
            <w:r>
              <w:t>Skin notation not recommended due to low dermal absorption potentia</w:t>
            </w:r>
            <w:r w:rsidR="003E3C49">
              <w:t>l regarding calculated N</w:t>
            </w:r>
            <w:r w:rsidR="00CE0B52">
              <w:t>O</w:t>
            </w:r>
            <w:r w:rsidR="003E3C49">
              <w:t>AEC</w:t>
            </w:r>
            <w:r>
              <w:t xml:space="preserve"> for systemic effects in humans and </w:t>
            </w:r>
            <w:r w:rsidR="003E3C49">
              <w:t xml:space="preserve">modelled dermal penetration data; starting from a NOAEC of </w:t>
            </w:r>
            <w:r w:rsidR="001D50A1">
              <w:t>50 </w:t>
            </w:r>
            <w:r w:rsidR="003E3C49">
              <w:t>ppm</w:t>
            </w:r>
            <w:r w:rsidR="0034479E">
              <w:t xml:space="preserve"> (175 mg/m</w:t>
            </w:r>
            <w:r w:rsidR="0034479E" w:rsidRPr="00D259F0">
              <w:rPr>
                <w:vertAlign w:val="superscript"/>
              </w:rPr>
              <w:t>3</w:t>
            </w:r>
            <w:r w:rsidR="0034479E">
              <w:t>)</w:t>
            </w:r>
            <w:r w:rsidR="003E3C49">
              <w:t xml:space="preserve"> for systemic effects (measured as decreased </w:t>
            </w:r>
            <w:r w:rsidR="00A91AE0">
              <w:t>body weight</w:t>
            </w:r>
            <w:r w:rsidR="003E3C49">
              <w:t xml:space="preserve"> in mice</w:t>
            </w:r>
            <w:r w:rsidR="00723D53">
              <w:t>, also presented in ACGIH, 2018</w:t>
            </w:r>
            <w:r w:rsidR="003E3C49">
              <w:t xml:space="preserve">), </w:t>
            </w:r>
            <w:r w:rsidR="00D259F0">
              <w:t xml:space="preserve">daily </w:t>
            </w:r>
            <w:r w:rsidR="003E3C49">
              <w:t xml:space="preserve">human equivalent oral intake </w:t>
            </w:r>
            <w:r w:rsidR="003E3C49">
              <w:rPr>
                <w:rFonts w:cs="Arial"/>
              </w:rPr>
              <w:t>≈</w:t>
            </w:r>
            <w:r w:rsidR="003E3C49">
              <w:t>12,250 mg for a 70</w:t>
            </w:r>
            <w:r w:rsidR="004F390C">
              <w:t> </w:t>
            </w:r>
            <w:r w:rsidR="003E3C49">
              <w:t>kg worker.</w:t>
            </w:r>
          </w:p>
          <w:p w14:paraId="59439A43" w14:textId="29C031EC" w:rsidR="00F4468E" w:rsidRDefault="00F4468E" w:rsidP="003365A5">
            <w:pPr>
              <w:pStyle w:val="Tabletextprimarysource"/>
            </w:pPr>
            <w:r>
              <w:t>Human data</w:t>
            </w:r>
            <w:r w:rsidR="0034479E">
              <w:t>:</w:t>
            </w:r>
          </w:p>
          <w:p w14:paraId="38E41253" w14:textId="2E341934" w:rsidR="00F4468E" w:rsidRDefault="00F4468E" w:rsidP="00F4468E">
            <w:pPr>
              <w:pStyle w:val="Tabletextprimarysource"/>
              <w:numPr>
                <w:ilvl w:val="0"/>
                <w:numId w:val="1"/>
              </w:numPr>
            </w:pPr>
            <w:r>
              <w:t>2 epidemiological studies (also pr</w:t>
            </w:r>
            <w:r w:rsidR="00420589">
              <w:t>esented in ACGIH, 2018) dismissed due to confounding co-exposures</w:t>
            </w:r>
          </w:p>
          <w:p w14:paraId="45F85150" w14:textId="17AE7599" w:rsidR="003E3C49" w:rsidRDefault="003E3C49" w:rsidP="00F4468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Modelled dermal </w:t>
            </w:r>
            <w:r w:rsidR="00FE6A25">
              <w:t>intake from 2 reports</w:t>
            </w:r>
            <w:r>
              <w:t xml:space="preserve">: 541 mg and 68 mg </w:t>
            </w:r>
            <w:r w:rsidR="00FE6A25">
              <w:t>assuming</w:t>
            </w:r>
            <w:r>
              <w:t xml:space="preserve"> saturated aqueous solution on 2,0</w:t>
            </w:r>
            <w:r w:rsidR="00FE6A25">
              <w:t>00 </w:t>
            </w:r>
            <w:r>
              <w:t>cm</w:t>
            </w:r>
            <w:r>
              <w:rPr>
                <w:vertAlign w:val="superscript"/>
              </w:rPr>
              <w:t>2</w:t>
            </w:r>
            <w:r w:rsidR="00FE6A25">
              <w:t xml:space="preserve"> skin over 1 h</w:t>
            </w:r>
            <w:r w:rsidR="00F93BA8">
              <w:t>.</w:t>
            </w:r>
          </w:p>
          <w:p w14:paraId="0472BEBD" w14:textId="2F487064" w:rsidR="00420589" w:rsidRDefault="00420589" w:rsidP="00420589">
            <w:pPr>
              <w:pStyle w:val="Tabletextprimarysource"/>
            </w:pPr>
            <w:r>
              <w:t>Animal data</w:t>
            </w:r>
            <w:r w:rsidR="0034479E">
              <w:t>:</w:t>
            </w:r>
          </w:p>
          <w:p w14:paraId="10B7205D" w14:textId="01AACE42" w:rsidR="001D50A1" w:rsidRDefault="00FE6A25" w:rsidP="00FE6A2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Positive skin sensitisation in non-guideline-compliant sensitisation test with undiluted substance (guinea pigs, 9 times in 3 wk for induction, provocation after 2 </w:t>
            </w:r>
            <w:proofErr w:type="spellStart"/>
            <w:r>
              <w:t>wk</w:t>
            </w:r>
            <w:proofErr w:type="spellEnd"/>
            <w:r>
              <w:t>)</w:t>
            </w:r>
            <w:r w:rsidR="0034479E">
              <w:t>:</w:t>
            </w:r>
            <w:r>
              <w:t xml:space="preserve"> </w:t>
            </w:r>
          </w:p>
          <w:p w14:paraId="33EDB25D" w14:textId="10B75FE5" w:rsidR="00FE6A25" w:rsidRDefault="00CE0B52" w:rsidP="001D50A1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DFG </w:t>
            </w:r>
            <w:r w:rsidR="00FE6A25">
              <w:t>considers results of study confounded by irritative effect</w:t>
            </w:r>
          </w:p>
          <w:p w14:paraId="3C324EED" w14:textId="65E68439" w:rsidR="00420589" w:rsidRDefault="00420589" w:rsidP="0042058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Positive carcinogenicity in chronic exposure studies with mice and rats (also </w:t>
            </w:r>
            <w:r w:rsidR="00CE0B52">
              <w:t xml:space="preserve">reported </w:t>
            </w:r>
            <w:r>
              <w:t>in ACGIH, 2018) likely due to local metabolism to acetaldehyde and subsequent cytotoxicity and genotoxic effects of this metabolite</w:t>
            </w:r>
            <w:r w:rsidR="0034479E">
              <w:t>:</w:t>
            </w:r>
          </w:p>
          <w:p w14:paraId="2969BFF8" w14:textId="4C5EC276" w:rsidR="00420589" w:rsidRDefault="00420589" w:rsidP="00F93BA8">
            <w:pPr>
              <w:pStyle w:val="Tabletextprimarysource"/>
              <w:numPr>
                <w:ilvl w:val="1"/>
                <w:numId w:val="1"/>
              </w:numPr>
              <w:ind w:left="1153"/>
            </w:pPr>
            <w:r>
              <w:t xml:space="preserve">non-linear dose-response relationship regarding carcinogenicity </w:t>
            </w:r>
            <w:r w:rsidR="00CE0B52">
              <w:t xml:space="preserve">inferred </w:t>
            </w:r>
            <w:r>
              <w:t>threshold for this effect, but not established in the current data</w:t>
            </w:r>
            <w:r w:rsidR="00CE0B52">
              <w:t xml:space="preserve"> </w:t>
            </w:r>
            <w:r>
              <w:t>set</w:t>
            </w:r>
          </w:p>
          <w:p w14:paraId="70661FA4" w14:textId="6A570D0B" w:rsidR="003E3C49" w:rsidRDefault="003E3C49" w:rsidP="003E3C4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Not considered mutagenic based on negative results </w:t>
            </w:r>
            <w:r>
              <w:rPr>
                <w:i/>
              </w:rPr>
              <w:t>in vivo</w:t>
            </w:r>
            <w:r>
              <w:t xml:space="preserve"> following inhalation or administration in drinking water (mice); micronucleus formation observed following high sin</w:t>
            </w:r>
            <w:r w:rsidR="001F4B3C">
              <w:t xml:space="preserve">gle IP dose (mice, also </w:t>
            </w:r>
            <w:r w:rsidR="00A91AE0">
              <w:t>reported</w:t>
            </w:r>
            <w:r w:rsidR="001F4B3C">
              <w:t xml:space="preserve"> in ACGIH, 2018)</w:t>
            </w:r>
          </w:p>
          <w:p w14:paraId="08A2CBB3" w14:textId="112562E7" w:rsidR="004B21CD" w:rsidRDefault="00FE6A25" w:rsidP="00F93BA8">
            <w:pPr>
              <w:pStyle w:val="Tabletextprimarysource"/>
              <w:numPr>
                <w:ilvl w:val="1"/>
                <w:numId w:val="1"/>
              </w:numPr>
              <w:ind w:left="1153"/>
            </w:pPr>
            <w:r>
              <w:t>metabolism to acetaldehyde contributes to endogenous acetaldehyde burden</w:t>
            </w:r>
            <w:r w:rsidR="0034479E">
              <w:t>.</w:t>
            </w:r>
          </w:p>
          <w:p w14:paraId="1438A55F" w14:textId="77777777" w:rsidR="001D50A1" w:rsidRDefault="001D50A1" w:rsidP="003E3C49">
            <w:pPr>
              <w:pStyle w:val="Tabletextprimarysource"/>
            </w:pPr>
          </w:p>
          <w:p w14:paraId="3DBDF13D" w14:textId="77777777" w:rsidR="00420589" w:rsidRDefault="003E3C49" w:rsidP="003E3C49">
            <w:pPr>
              <w:pStyle w:val="Tabletextprimarysource"/>
            </w:pPr>
            <w:r>
              <w:t>Insufficient data to recommend a sensitiser notation.</w:t>
            </w:r>
          </w:p>
          <w:p w14:paraId="61A64F09" w14:textId="090C73AA" w:rsidR="0034479E" w:rsidRPr="00DA352E" w:rsidRDefault="0034479E" w:rsidP="003E3C49">
            <w:pPr>
              <w:pStyle w:val="Tabletextprimarysource"/>
            </w:pPr>
          </w:p>
        </w:tc>
      </w:tr>
      <w:tr w:rsidR="00C978F0" w:rsidRPr="00DA352E" w14:paraId="0E6A0B2C" w14:textId="77777777" w:rsidTr="0034479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7F973C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86E0D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86E0D" w:rsidRPr="00286E0D">
                  <w:t>TWA:</w:t>
                </w:r>
                <w:r w:rsidR="00286E0D">
                  <w:t xml:space="preserve"> 5 ppm (17.6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 xml:space="preserve">); </w:t>
                </w:r>
                <w:r w:rsidR="00286E0D" w:rsidRPr="00286E0D">
                  <w:t>STEL:</w:t>
                </w:r>
                <w:r w:rsidR="00286E0D">
                  <w:t xml:space="preserve"> 10 ppm (35.2 mg/m</w:t>
                </w:r>
                <w:r w:rsidR="00286E0D" w:rsidRPr="00286E0D">
                  <w:rPr>
                    <w:vertAlign w:val="superscript"/>
                  </w:rPr>
                  <w:t>3</w:t>
                </w:r>
                <w:r w:rsidR="00286E0D">
                  <w:t>)</w:t>
                </w:r>
              </w:sdtContent>
            </w:sdt>
          </w:p>
        </w:tc>
      </w:tr>
      <w:tr w:rsidR="00C978F0" w:rsidRPr="00DA352E" w14:paraId="2008D281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79494BA7" w14:textId="3336E28E" w:rsidR="008661F8" w:rsidRDefault="008661F8" w:rsidP="008661F8">
            <w:pPr>
              <w:pStyle w:val="Tabletextprimarysource"/>
            </w:pPr>
            <w:r>
              <w:t>Summary of additional information</w:t>
            </w:r>
            <w:r w:rsidR="0034479E">
              <w:t>:</w:t>
            </w:r>
          </w:p>
          <w:p w14:paraId="6319CEDC" w14:textId="5B9E392D" w:rsidR="00E53777" w:rsidRDefault="004233AA" w:rsidP="00AB79F9">
            <w:pPr>
              <w:pStyle w:val="Tabletextprimarysource"/>
            </w:pPr>
            <w:r>
              <w:t xml:space="preserve">Animal carcinogenicity and mechanistic data indicate carcinogenesis caused by chronic irritation and consequent regenerative processes from acetaldehyde and acetic acid metabolites. Therefore, prevention of irritation should protect for carcinogenicity. </w:t>
            </w:r>
            <w:r w:rsidR="00723D53">
              <w:t xml:space="preserve">STEL based on NOAEC of 50 ppm for microscopic lesions in nasal tissue of chronically exposed mice and rats (also </w:t>
            </w:r>
            <w:r w:rsidR="00A91AE0">
              <w:t>reported</w:t>
            </w:r>
            <w:r w:rsidR="00723D53">
              <w:t xml:space="preserve"> in ACGIH, 2018 and DFG, 2005)</w:t>
            </w:r>
            <w:r w:rsidR="0048167F">
              <w:t xml:space="preserve"> and</w:t>
            </w:r>
            <w:r w:rsidR="00723D53">
              <w:t xml:space="preserve"> limited evidence for NOAEC of </w:t>
            </w:r>
            <w:r w:rsidR="00723D53">
              <w:rPr>
                <w:rFonts w:cs="Arial"/>
              </w:rPr>
              <w:t>≈</w:t>
            </w:r>
            <w:r w:rsidR="00D92188">
              <w:t>10</w:t>
            </w:r>
            <w:r w:rsidR="00723D53">
              <w:t xml:space="preserve"> ppm for irritation in humans (</w:t>
            </w:r>
            <w:r w:rsidR="00AE65F0">
              <w:t>ACGIH, 2002 report cited without further details</w:t>
            </w:r>
            <w:r w:rsidR="00723D53">
              <w:t>). TWA based</w:t>
            </w:r>
            <w:r>
              <w:t xml:space="preserve"> on half the value of the STEL, both values expected to be sufficiently low to protect for irritation and potential carcinogenicity.</w:t>
            </w:r>
          </w:p>
          <w:p w14:paraId="4C1CF3A6" w14:textId="02620C0C" w:rsidR="00E53777" w:rsidRDefault="00E53777" w:rsidP="00AB79F9">
            <w:pPr>
              <w:pStyle w:val="Tabletextprimarysource"/>
            </w:pPr>
            <w:r>
              <w:t>Skin notation not recommended due to low dermal uptake relative to exposure at the OEL.</w:t>
            </w:r>
          </w:p>
          <w:p w14:paraId="3A0F2B4C" w14:textId="220345BD" w:rsidR="00FE6A25" w:rsidRPr="00FE6A25" w:rsidRDefault="00FE6A25" w:rsidP="00FE6A25">
            <w:pPr>
              <w:pStyle w:val="Tabletextprimarysource"/>
              <w:numPr>
                <w:ilvl w:val="0"/>
                <w:numId w:val="1"/>
              </w:numPr>
            </w:pPr>
            <w:r w:rsidRPr="00FE6A25">
              <w:t xml:space="preserve">Not mutagenic based on negative results </w:t>
            </w:r>
            <w:r w:rsidRPr="00FE6A25">
              <w:rPr>
                <w:i/>
              </w:rPr>
              <w:t>in vivo</w:t>
            </w:r>
            <w:r w:rsidRPr="00FE6A25">
              <w:t xml:space="preserve"> following inhalation or administration in drinking water (mice); micronucleus formation observed following high single IP dose (mice, also </w:t>
            </w:r>
            <w:r w:rsidR="00A91AE0">
              <w:t>reported</w:t>
            </w:r>
            <w:r w:rsidRPr="00FE6A25">
              <w:t xml:space="preserve"> in ACGIH, 2018</w:t>
            </w:r>
            <w:r>
              <w:t xml:space="preserve"> and DFG, 2005</w:t>
            </w:r>
            <w:r w:rsidRPr="00FE6A25">
              <w:t>)</w:t>
            </w:r>
            <w:r w:rsidR="00F93BA8">
              <w:t>.</w:t>
            </w:r>
          </w:p>
          <w:p w14:paraId="416C93D3" w14:textId="77777777" w:rsidR="001D50A1" w:rsidRDefault="001D50A1" w:rsidP="00E53777">
            <w:pPr>
              <w:pStyle w:val="Tabletextprimarysource"/>
            </w:pPr>
          </w:p>
          <w:p w14:paraId="453D14B5" w14:textId="77777777" w:rsidR="00C978F0" w:rsidRDefault="00E53777" w:rsidP="00E53777">
            <w:pPr>
              <w:pStyle w:val="Tabletextprimarysource"/>
            </w:pPr>
            <w:r>
              <w:t>Insufficient data to recommend a sensitiser notation.</w:t>
            </w:r>
          </w:p>
          <w:p w14:paraId="153B53C1" w14:textId="7D6FCDF4" w:rsidR="001D50A1" w:rsidRPr="00DA352E" w:rsidRDefault="001D50A1" w:rsidP="00E53777">
            <w:pPr>
              <w:pStyle w:val="Tabletextprimarysource"/>
            </w:pPr>
          </w:p>
        </w:tc>
      </w:tr>
      <w:tr w:rsidR="00DA352E" w:rsidRPr="00DA352E" w14:paraId="12BAB90D" w14:textId="77777777" w:rsidTr="0034479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3B10649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86E0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86E0D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2059E4CB" w14:textId="67DC070A" w:rsidR="00DA352E" w:rsidRPr="00DA352E" w:rsidRDefault="00286E0D" w:rsidP="003365A5">
            <w:pPr>
              <w:pStyle w:val="Tabletextprimarysource"/>
            </w:pPr>
            <w:r>
              <w:t>No report</w:t>
            </w:r>
            <w:r w:rsidR="00F93BA8">
              <w:t>.</w:t>
            </w:r>
          </w:p>
        </w:tc>
      </w:tr>
      <w:tr w:rsidR="00DA352E" w:rsidRPr="00DA352E" w14:paraId="605F758C" w14:textId="77777777" w:rsidTr="0034479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7D8C0E1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86E0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286E0D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34479E">
        <w:trPr>
          <w:gridAfter w:val="1"/>
          <w:wAfter w:w="8" w:type="pct"/>
        </w:trPr>
        <w:tc>
          <w:tcPr>
            <w:tcW w:w="4992" w:type="pct"/>
          </w:tcPr>
          <w:p w14:paraId="492D7791" w14:textId="7F06F1BB" w:rsidR="00DA352E" w:rsidRPr="00DA352E" w:rsidRDefault="00286E0D" w:rsidP="003365A5">
            <w:pPr>
              <w:pStyle w:val="Tabletextprimarysource"/>
            </w:pPr>
            <w:r>
              <w:t>No report</w:t>
            </w:r>
            <w:r w:rsidR="00F93BA8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1"/>
        <w:gridCol w:w="661"/>
        <w:gridCol w:w="6456"/>
      </w:tblGrid>
      <w:tr w:rsidR="004966BF" w:rsidRPr="00263255" w14:paraId="6AE89AB3" w14:textId="77777777" w:rsidTr="00F93BA8">
        <w:trPr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F93BA8">
        <w:tc>
          <w:tcPr>
            <w:tcW w:w="1488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37DAB09E" w14:textId="1A433046" w:rsidR="004966BF" w:rsidRPr="00CE617F" w:rsidRDefault="00FE356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47E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4E37BF25" w:rsidR="004966BF" w:rsidRPr="004C23F4" w:rsidRDefault="00B47E8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6" w:type="dxa"/>
          </w:tcPr>
          <w:p w14:paraId="7FCCE9AE" w14:textId="2353E2F3" w:rsidR="00B47E84" w:rsidRDefault="00B47E84" w:rsidP="001D50A1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LD</w:t>
            </w:r>
            <w:r>
              <w:rPr>
                <w:rFonts w:cs="Arial"/>
                <w:vertAlign w:val="subscript"/>
              </w:rPr>
              <w:t>50</w:t>
            </w:r>
            <w:r>
              <w:rPr>
                <w:rFonts w:cs="Arial"/>
              </w:rPr>
              <w:t>: 2,335–7,440 mg/kg (rabbits</w:t>
            </w:r>
            <w:r w:rsidR="00F93BA8">
              <w:rPr>
                <w:rFonts w:cs="Arial"/>
              </w:rPr>
              <w:t>, dermal</w:t>
            </w:r>
            <w:r>
              <w:rPr>
                <w:rFonts w:cs="Arial"/>
              </w:rPr>
              <w:t>)</w:t>
            </w:r>
          </w:p>
          <w:p w14:paraId="1702CF35" w14:textId="643641B7" w:rsidR="00487C73" w:rsidRDefault="00487C73" w:rsidP="001D50A1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Positive mutagenicity </w:t>
            </w:r>
            <w:r>
              <w:rPr>
                <w:rFonts w:cs="Arial"/>
                <w:i/>
              </w:rPr>
              <w:t>in vitro</w:t>
            </w:r>
            <w:r>
              <w:rPr>
                <w:rFonts w:cs="Arial"/>
              </w:rPr>
              <w:t xml:space="preserve"> in mammalian cells; </w:t>
            </w:r>
            <w:r w:rsidRPr="00AD1CF7">
              <w:rPr>
                <w:rFonts w:cs="Arial"/>
              </w:rPr>
              <w:t xml:space="preserve">genotoxicity </w:t>
            </w:r>
            <w:r>
              <w:rPr>
                <w:rFonts w:cs="Arial"/>
              </w:rPr>
              <w:t xml:space="preserve">possibly </w:t>
            </w:r>
            <w:r w:rsidRPr="00AD1CF7">
              <w:rPr>
                <w:rFonts w:cs="Arial"/>
              </w:rPr>
              <w:t>attributable to formation of acetaldehyde</w:t>
            </w:r>
            <w:r>
              <w:rPr>
                <w:rFonts w:cs="Arial"/>
              </w:rPr>
              <w:t xml:space="preserve"> or acidification from metabolism of</w:t>
            </w:r>
            <w:r w:rsidRPr="00487C73">
              <w:rPr>
                <w:rFonts w:cs="Arial"/>
              </w:rPr>
              <w:t xml:space="preserve"> large doses to acetic acid</w:t>
            </w:r>
          </w:p>
          <w:p w14:paraId="0ED339A0" w14:textId="14F75604" w:rsidR="00487C73" w:rsidRDefault="00487C73" w:rsidP="001D50A1">
            <w:pPr>
              <w:pStyle w:val="Tablefont"/>
              <w:numPr>
                <w:ilvl w:val="0"/>
                <w:numId w:val="3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Mutagenic </w:t>
            </w:r>
            <w:r>
              <w:rPr>
                <w:rFonts w:cs="Arial"/>
                <w:i/>
              </w:rPr>
              <w:t xml:space="preserve">in </w:t>
            </w:r>
            <w:r w:rsidRPr="00487C73">
              <w:rPr>
                <w:rFonts w:cs="Arial"/>
                <w:i/>
              </w:rPr>
              <w:t>vivo</w:t>
            </w:r>
            <w:r w:rsidR="0034479E">
              <w:rPr>
                <w:rFonts w:cs="Arial"/>
              </w:rPr>
              <w:t>:</w:t>
            </w:r>
          </w:p>
          <w:p w14:paraId="33BC3064" w14:textId="7D404147" w:rsidR="00487C73" w:rsidRDefault="00487C73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Fonts w:cs="Arial"/>
              </w:rPr>
            </w:pPr>
            <w:r>
              <w:rPr>
                <w:rFonts w:cs="Arial"/>
              </w:rPr>
              <w:t>increased frequency of chromosomal aberrations in cultured human lymphocytes from exposed workers (no further details provided)</w:t>
            </w:r>
          </w:p>
          <w:p w14:paraId="56D7FDDA" w14:textId="18C081C0" w:rsidR="00487C73" w:rsidRDefault="00487C73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Fonts w:cs="Arial"/>
              </w:rPr>
            </w:pPr>
            <w:r>
              <w:rPr>
                <w:rFonts w:cs="Arial"/>
              </w:rPr>
              <w:t>increased micronucleus formation at 1,000 and 2,000 mg/kg IP injection, but not at 750 mg/kg (mice)</w:t>
            </w:r>
          </w:p>
          <w:p w14:paraId="0076C2F1" w14:textId="4CBD6AAD" w:rsidR="00AD1CF7" w:rsidRPr="00743466" w:rsidRDefault="00487C73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abnormal sperm </w:t>
            </w:r>
            <w:r w:rsidR="00743466">
              <w:rPr>
                <w:rFonts w:cs="Arial"/>
              </w:rPr>
              <w:t>at 500 mg/kg (mice); dose-dependent decrease in testicular weight from 125–500 mg/kg</w:t>
            </w:r>
            <w:r w:rsidR="00B47E84">
              <w:rPr>
                <w:rFonts w:cs="Arial"/>
              </w:rPr>
              <w:t>.</w:t>
            </w:r>
          </w:p>
        </w:tc>
      </w:tr>
      <w:tr w:rsidR="004966BF" w:rsidRPr="004C23F4" w14:paraId="04FEEADE" w14:textId="77777777" w:rsidTr="00F93BA8">
        <w:tc>
          <w:tcPr>
            <w:tcW w:w="1488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1" w:type="dxa"/>
          </w:tcPr>
          <w:p w14:paraId="184BEF97" w14:textId="73BC99B2" w:rsidR="004966BF" w:rsidRPr="00CE617F" w:rsidRDefault="00FE356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C368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5CA6511A" w:rsidR="004966BF" w:rsidRPr="004C23F4" w:rsidRDefault="00BC368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</w:t>
            </w:r>
          </w:p>
        </w:tc>
        <w:tc>
          <w:tcPr>
            <w:tcW w:w="6456" w:type="dxa"/>
          </w:tcPr>
          <w:p w14:paraId="15BFBECC" w14:textId="77972DCB" w:rsidR="00AD1CF7" w:rsidRDefault="00BC3686" w:rsidP="001D50A1">
            <w:pPr>
              <w:pStyle w:val="Tablefont"/>
              <w:numPr>
                <w:ilvl w:val="0"/>
                <w:numId w:val="3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Eye and nose irritation thresholds reported at 10–22 ppm; t</w:t>
            </w:r>
            <w:r w:rsidR="00AD1CF7" w:rsidRPr="00AD1CF7">
              <w:rPr>
                <w:rFonts w:cs="Arial"/>
              </w:rPr>
              <w:t xml:space="preserve">hroat irritation </w:t>
            </w:r>
            <w:r>
              <w:rPr>
                <w:rFonts w:cs="Arial"/>
              </w:rPr>
              <w:t>at 200 ppm</w:t>
            </w:r>
            <w:r w:rsidR="00AD1CF7" w:rsidRPr="00AD1CF7">
              <w:rPr>
                <w:rFonts w:cs="Arial"/>
              </w:rPr>
              <w:t xml:space="preserve"> and eye irritation at 72 </w:t>
            </w:r>
            <w:r>
              <w:rPr>
                <w:rFonts w:cs="Arial"/>
              </w:rPr>
              <w:t>ppm reported in separate study (</w:t>
            </w:r>
            <w:r w:rsidR="00F93BA8">
              <w:rPr>
                <w:rFonts w:cs="Arial"/>
              </w:rPr>
              <w:t>both</w:t>
            </w:r>
            <w:r>
              <w:rPr>
                <w:rFonts w:cs="Arial"/>
              </w:rPr>
              <w:t xml:space="preserve"> </w:t>
            </w:r>
            <w:r w:rsidR="00F93BA8">
              <w:rPr>
                <w:rFonts w:cs="Arial"/>
              </w:rPr>
              <w:t xml:space="preserve">studies </w:t>
            </w:r>
            <w:r w:rsidR="00A91AE0">
              <w:rPr>
                <w:rFonts w:cs="Arial"/>
              </w:rPr>
              <w:t>reported</w:t>
            </w:r>
            <w:r>
              <w:rPr>
                <w:rFonts w:cs="Arial"/>
              </w:rPr>
              <w:t xml:space="preserve"> in ACGIH, 2018)</w:t>
            </w:r>
          </w:p>
          <w:p w14:paraId="31E5E9F7" w14:textId="13007E52" w:rsidR="00B47E84" w:rsidRDefault="00B47E84" w:rsidP="001D50A1">
            <w:pPr>
              <w:pStyle w:val="Tablefont"/>
              <w:numPr>
                <w:ilvl w:val="0"/>
                <w:numId w:val="3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Inadequate evidence for carcinogenicity in humans, limited evidence for carcinogenicity in animals; overall possibly carcinogenic to humans (Group 2B) supported by the following evidence</w:t>
            </w:r>
            <w:r w:rsidR="0034479E">
              <w:rPr>
                <w:rFonts w:cs="Arial"/>
              </w:rPr>
              <w:t>:</w:t>
            </w:r>
          </w:p>
          <w:p w14:paraId="35053D0F" w14:textId="5B645F98" w:rsidR="00BC3686" w:rsidRDefault="00B47E84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7C19FA">
              <w:rPr>
                <w:rFonts w:cs="Arial"/>
              </w:rPr>
              <w:t xml:space="preserve">apidly </w:t>
            </w:r>
            <w:r>
              <w:rPr>
                <w:rFonts w:cs="Arial"/>
              </w:rPr>
              <w:t>metabolised</w:t>
            </w:r>
            <w:r w:rsidRPr="007C19FA">
              <w:rPr>
                <w:rFonts w:cs="Arial"/>
              </w:rPr>
              <w:t xml:space="preserve"> into acetaldehyde in human blood and animal tissues</w:t>
            </w:r>
          </w:p>
          <w:p w14:paraId="2DB94D8F" w14:textId="67F3CEF0" w:rsidR="00B47E84" w:rsidRDefault="00B47E84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7C19FA">
              <w:rPr>
                <w:rFonts w:cs="Arial"/>
              </w:rPr>
              <w:t xml:space="preserve">oth vinyl acetate and acetaldehyde induce nasal cancer in rats </w:t>
            </w:r>
            <w:r>
              <w:rPr>
                <w:rFonts w:cs="Arial"/>
              </w:rPr>
              <w:t>following</w:t>
            </w:r>
            <w:r w:rsidRPr="007C19FA">
              <w:rPr>
                <w:rFonts w:cs="Arial"/>
              </w:rPr>
              <w:t xml:space="preserve"> inhalation</w:t>
            </w:r>
          </w:p>
          <w:p w14:paraId="2DDCA6FC" w14:textId="28E279FB" w:rsidR="00AD1CF7" w:rsidRPr="00B47E84" w:rsidRDefault="00B47E84" w:rsidP="001D50A1">
            <w:pPr>
              <w:pStyle w:val="Tablefont"/>
              <w:numPr>
                <w:ilvl w:val="1"/>
                <w:numId w:val="3"/>
              </w:numPr>
              <w:tabs>
                <w:tab w:val="clear" w:pos="1440"/>
              </w:tabs>
              <w:spacing w:before="60" w:after="60"/>
              <w:ind w:left="1151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lastRenderedPageBreak/>
              <w:t>b</w:t>
            </w:r>
            <w:r w:rsidRPr="007C19FA">
              <w:rPr>
                <w:rFonts w:cs="Arial"/>
              </w:rPr>
              <w:t>oth vinyl acetate and acetaldehyde</w:t>
            </w:r>
            <w:r>
              <w:rPr>
                <w:rFonts w:cs="Arial"/>
              </w:rPr>
              <w:t xml:space="preserve"> are genotoxic to human cells </w:t>
            </w:r>
            <w:r>
              <w:rPr>
                <w:rFonts w:cs="Arial"/>
                <w:i/>
              </w:rPr>
              <w:t>in vitro</w:t>
            </w:r>
            <w:r>
              <w:rPr>
                <w:rFonts w:cs="Arial"/>
              </w:rPr>
              <w:t xml:space="preserve"> and animal cells </w:t>
            </w:r>
            <w:r>
              <w:rPr>
                <w:rFonts w:cs="Arial"/>
                <w:i/>
              </w:rPr>
              <w:t>in vivo</w:t>
            </w:r>
            <w:r>
              <w:rPr>
                <w:rFonts w:cs="Arial"/>
              </w:rPr>
              <w:t>.</w:t>
            </w:r>
          </w:p>
        </w:tc>
      </w:tr>
      <w:tr w:rsidR="004966BF" w:rsidRPr="004C23F4" w14:paraId="61B5CF9D" w14:textId="77777777" w:rsidTr="00F93BA8">
        <w:tc>
          <w:tcPr>
            <w:tcW w:w="1488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421" w:type="dxa"/>
          </w:tcPr>
          <w:p w14:paraId="1B271840" w14:textId="1BFBB418" w:rsidR="004966BF" w:rsidRPr="00CE617F" w:rsidRDefault="00FE356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47E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234C8F9B" w:rsidR="004966BF" w:rsidRPr="004C23F4" w:rsidRDefault="00B47E8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6" w:type="dxa"/>
          </w:tcPr>
          <w:p w14:paraId="5C19B807" w14:textId="162C1E19" w:rsidR="004966BF" w:rsidRPr="004C23F4" w:rsidRDefault="00BC3686" w:rsidP="001D50A1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DNEL adopted from SCOEL </w:t>
            </w:r>
            <w:r w:rsidR="00B47E84">
              <w:rPr>
                <w:rFonts w:cs="Arial"/>
              </w:rPr>
              <w:t>(2005) recommendation in accordance with the agency’s evaluation and absence of additional information.</w:t>
            </w:r>
          </w:p>
        </w:tc>
      </w:tr>
    </w:tbl>
    <w:bookmarkEnd w:id="2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743466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53995BEA" w:rsidR="002E0D61" w:rsidRDefault="0074346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618A4C0" w14:textId="77777777" w:rsidTr="00743466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1B3D45B0" w:rsidR="008A36CF" w:rsidRDefault="0074346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1D50A1" w14:paraId="4D6DDFA3" w14:textId="77777777" w:rsidTr="003854D3">
        <w:trPr>
          <w:trHeight w:val="454"/>
        </w:trPr>
        <w:sdt>
          <w:sdtPr>
            <w:rPr>
              <w:b/>
            </w:rPr>
            <w:id w:val="1830936485"/>
            <w:placeholder>
              <w:docPart w:val="7E5C9CA33BEA482CA83570DDB3F9C1D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24433ADE" w:rsidR="001D50A1" w:rsidRDefault="001D50A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3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81288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E461402" w:rsidR="00687890" w:rsidRPr="00DD2F9B" w:rsidRDefault="0029651B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81288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1775AC9" w:rsidR="007925F0" w:rsidRPr="00DD2F9B" w:rsidRDefault="0029651B" w:rsidP="00DD2F9B">
            <w:pPr>
              <w:pStyle w:val="Tablefont"/>
            </w:pPr>
            <w:r w:rsidRPr="0029651B">
              <w:t>Carcinogenicity – category 2</w:t>
            </w:r>
          </w:p>
        </w:tc>
      </w:tr>
      <w:tr w:rsidR="00AF483F" w:rsidRPr="004C23F4" w14:paraId="4C1044B3" w14:textId="77777777" w:rsidTr="0081288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BAE1A4E" w:rsidR="00AF483F" w:rsidRPr="00DD2F9B" w:rsidRDefault="0029651B" w:rsidP="00DD2F9B">
            <w:pPr>
              <w:pStyle w:val="Tablefont"/>
            </w:pPr>
            <w:r w:rsidRPr="0029651B">
              <w:t>Carc. Cat 3</w:t>
            </w:r>
          </w:p>
        </w:tc>
      </w:tr>
      <w:tr w:rsidR="00687890" w:rsidRPr="004C23F4" w14:paraId="7812F0EC" w14:textId="77777777" w:rsidTr="0081288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7ED7BC7E" w:rsidR="00687890" w:rsidRPr="00DD2F9B" w:rsidRDefault="00181EDA" w:rsidP="00DD2F9B">
            <w:pPr>
              <w:pStyle w:val="Tablefont"/>
            </w:pPr>
            <w:r>
              <w:t>Carcinogenicity – category 2</w:t>
            </w:r>
          </w:p>
        </w:tc>
      </w:tr>
      <w:tr w:rsidR="00E41A26" w:rsidRPr="004C23F4" w14:paraId="403F0800" w14:textId="77777777" w:rsidTr="0081288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6B6B6E4C" w:rsidR="00E41A26" w:rsidRPr="00DD2F9B" w:rsidRDefault="0029651B" w:rsidP="00DD2F9B">
            <w:pPr>
              <w:pStyle w:val="Tablefont"/>
            </w:pPr>
            <w:r w:rsidRPr="0029651B">
              <w:t>Carc. 2</w:t>
            </w:r>
          </w:p>
        </w:tc>
      </w:tr>
      <w:tr w:rsidR="002E0D61" w:rsidRPr="004C23F4" w14:paraId="57A490EF" w14:textId="77777777" w:rsidTr="0081288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BB1BCB5" w:rsidR="002E0D61" w:rsidRPr="00DD2F9B" w:rsidRDefault="0029651B" w:rsidP="00DD2F9B">
            <w:pPr>
              <w:pStyle w:val="Tablefont"/>
            </w:pPr>
            <w:r w:rsidRPr="0029651B">
              <w:t>Carcinogenicity – A3</w:t>
            </w:r>
          </w:p>
        </w:tc>
      </w:tr>
      <w:tr w:rsidR="002E0D61" w:rsidRPr="004C23F4" w14:paraId="43FA3590" w14:textId="77777777" w:rsidTr="0081288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41D568F" w:rsidR="002E0D61" w:rsidRPr="00DD2F9B" w:rsidRDefault="0029651B" w:rsidP="00DD2F9B">
            <w:pPr>
              <w:pStyle w:val="Tablefont"/>
            </w:pPr>
            <w:r w:rsidRPr="0029651B">
              <w:t>Carcinogenicity – 3A</w:t>
            </w:r>
          </w:p>
        </w:tc>
      </w:tr>
      <w:tr w:rsidR="002E0D61" w:rsidRPr="004C23F4" w14:paraId="2AC7B866" w14:textId="77777777" w:rsidTr="0081288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4550650D" w:rsidR="002E0D61" w:rsidRPr="00DD2F9B" w:rsidRDefault="0029651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BE6EC07" w14:textId="77777777" w:rsidTr="0081288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4E5DD4FB" w:rsidR="002E0D61" w:rsidRPr="00DD2F9B" w:rsidRDefault="0029651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81288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4AA1E391" w:rsidR="00386093" w:rsidRPr="00DD2F9B" w:rsidRDefault="0029651B" w:rsidP="00DD2F9B">
            <w:pPr>
              <w:pStyle w:val="Tablefont"/>
            </w:pPr>
            <w:r w:rsidRPr="0029651B">
              <w:t>Carcinogenicity – Group 2B</w:t>
            </w:r>
          </w:p>
        </w:tc>
      </w:tr>
      <w:tr w:rsidR="00386093" w:rsidRPr="004C23F4" w14:paraId="7461DB0E" w14:textId="77777777" w:rsidTr="0081288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41E5AFAA" w:rsidR="00386093" w:rsidRPr="00DD2F9B" w:rsidRDefault="0029651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10377" w:type="dxa"/>
              <w:tblLook w:val="04A0" w:firstRow="1" w:lastRow="0" w:firstColumn="1" w:lastColumn="0" w:noHBand="0" w:noVBand="1"/>
            </w:tblPr>
            <w:tblGrid>
              <w:gridCol w:w="3643"/>
              <w:gridCol w:w="1097"/>
              <w:gridCol w:w="1097"/>
              <w:gridCol w:w="2973"/>
            </w:tblGrid>
            <w:tr w:rsidR="00B47E84" w:rsidRPr="00B47E84" w14:paraId="070F3CED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39F442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5C6DBB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EA6C09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3F6B96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2A4EC49D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A104FF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498D9E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CABE4A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F2F931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51CD3569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D97F85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FDEBE7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4FEDE9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66DA30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4CB1426E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86CC0B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EA619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4700B2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F290FE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4529109E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4E4DDA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0D8082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07CCAC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43CD54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5E697C8A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6F560A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4492E6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C47684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0394A0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47E84" w:rsidRPr="00B47E84" w14:paraId="43EC6F09" w14:textId="77777777" w:rsidTr="00B47E84">
              <w:trPr>
                <w:trHeight w:val="231"/>
              </w:trPr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DB9FBE" w14:textId="77777777" w:rsidR="00B47E84" w:rsidRPr="00B47E84" w:rsidRDefault="00B47E84" w:rsidP="00B47E8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8BEBD3" w14:textId="77777777" w:rsidR="00B47E84" w:rsidRPr="00B47E84" w:rsidRDefault="00B47E84" w:rsidP="00B47E8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E2F982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8AD3CF" w14:textId="77777777" w:rsidR="00B47E84" w:rsidRPr="00B47E84" w:rsidRDefault="00B47E84" w:rsidP="00B47E8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47E8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177E47E" w:rsidR="00EB3D1B" w:rsidRDefault="0029651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3997412" w:rsidR="001B79E5" w:rsidRDefault="0029651B" w:rsidP="001B79E5">
                <w:pPr>
                  <w:pStyle w:val="Tablefont"/>
                </w:pPr>
                <w:r w:rsidRPr="0029651B">
                  <w:t>86.09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402D527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29651B" w:rsidRPr="0029651B">
                  <w:t>3.52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29651B" w:rsidRPr="0029651B">
                  <w:t>0.28</w:t>
                </w:r>
              </w:sdtContent>
            </w:sdt>
            <w:r w:rsidRPr="0029651B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FE356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0D670BEB" w:rsidR="008E4F1F" w:rsidRDefault="008E4F1F" w:rsidP="008E4F1F">
      <w:pPr>
        <w:rPr>
          <w:b/>
        </w:rPr>
      </w:pPr>
      <w:r w:rsidRPr="002022B6">
        <w:t>Deutsche Forschungsgemeinschaft (DFG)</w:t>
      </w:r>
      <w:r>
        <w:t xml:space="preserve"> (</w:t>
      </w:r>
      <w:r w:rsidR="0029651B">
        <w:t>2005</w:t>
      </w:r>
      <w:r>
        <w:t xml:space="preserve">) </w:t>
      </w:r>
      <w:r w:rsidR="0029651B" w:rsidRPr="0029651B">
        <w:t>Vinyl acetate</w:t>
      </w:r>
      <w:r>
        <w:t xml:space="preserve"> – MAK value documentation.</w:t>
      </w:r>
    </w:p>
    <w:p w14:paraId="3A4FF805" w14:textId="4E87805E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29651B" w:rsidRPr="0029651B">
        <w:t>2005</w:t>
      </w:r>
      <w:r>
        <w:t xml:space="preserve">) Recommendation from the Scientific Committee on Occupational Exposure Limits for </w:t>
      </w:r>
      <w:r w:rsidR="0029651B" w:rsidRPr="0029651B">
        <w:t>Vinyl Acetate</w:t>
      </w:r>
      <w:r>
        <w:t>. SCOEL/</w:t>
      </w:r>
      <w:r w:rsidR="001745B0" w:rsidRPr="001745B0">
        <w:t>SUM/122</w:t>
      </w:r>
      <w:r>
        <w:t>.</w:t>
      </w:r>
    </w:p>
    <w:p w14:paraId="4D7F094F" w14:textId="4AAD8ECD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1745B0" w:rsidRPr="001745B0">
        <w:t>1995</w:t>
      </w:r>
      <w:r>
        <w:t xml:space="preserve">) </w:t>
      </w:r>
      <w:r w:rsidR="001745B0" w:rsidRPr="001745B0">
        <w:t>Vinyl acetate</w:t>
      </w:r>
      <w:r>
        <w:t>. IARC Monographs on the evaluation of the carcinogenic risk to humans.</w:t>
      </w:r>
    </w:p>
    <w:p w14:paraId="1D94FE62" w14:textId="0B2E5BEA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1745B0" w:rsidRPr="001745B0">
        <w:t>2016</w:t>
      </w:r>
      <w:r>
        <w:t xml:space="preserve">) </w:t>
      </w:r>
      <w:r w:rsidR="001745B0" w:rsidRPr="001745B0">
        <w:t xml:space="preserve">Acetic acid, </w:t>
      </w:r>
      <w:proofErr w:type="spellStart"/>
      <w:r w:rsidR="001745B0" w:rsidRPr="001745B0">
        <w:t>ethenyl</w:t>
      </w:r>
      <w:proofErr w:type="spellEnd"/>
      <w:r w:rsidR="001745B0" w:rsidRPr="001745B0">
        <w:t xml:space="preserve"> ester</w:t>
      </w:r>
      <w:r w:rsidRPr="0071660C">
        <w:t xml:space="preserve">: Human health </w:t>
      </w:r>
      <w:r w:rsidR="001745B0" w:rsidRPr="001745B0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76DA" w16cex:dateUtc="2020-05-31T1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7B2B" w14:textId="77777777" w:rsidR="00025D49" w:rsidRDefault="00025D49" w:rsidP="00F43AD5">
      <w:pPr>
        <w:spacing w:after="0" w:line="240" w:lineRule="auto"/>
      </w:pPr>
      <w:r>
        <w:separator/>
      </w:r>
    </w:p>
  </w:endnote>
  <w:endnote w:type="continuationSeparator" w:id="0">
    <w:p w14:paraId="402693D5" w14:textId="77777777" w:rsidR="00025D49" w:rsidRDefault="00025D4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950B" w14:textId="77777777" w:rsidR="000D7A02" w:rsidRDefault="000D7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7A47A13B" w:rsidR="00513CEA" w:rsidRDefault="00513CEA" w:rsidP="0034744C">
        <w:pPr>
          <w:pStyle w:val="Footer"/>
          <w:rPr>
            <w:sz w:val="18"/>
            <w:szCs w:val="18"/>
          </w:rPr>
        </w:pPr>
        <w:r w:rsidRPr="00286E0D">
          <w:rPr>
            <w:b/>
            <w:sz w:val="18"/>
            <w:szCs w:val="18"/>
          </w:rPr>
          <w:t xml:space="preserve">Vinyl acetate </w:t>
        </w:r>
        <w:r>
          <w:rPr>
            <w:b/>
            <w:sz w:val="18"/>
            <w:szCs w:val="18"/>
          </w:rPr>
          <w:t>(</w:t>
        </w:r>
        <w:r w:rsidRPr="00286E0D">
          <w:rPr>
            <w:b/>
            <w:sz w:val="18"/>
            <w:szCs w:val="18"/>
          </w:rPr>
          <w:t>108-05-4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8E29F0">
          <w:rPr>
            <w:sz w:val="18"/>
            <w:szCs w:val="18"/>
          </w:rPr>
          <w:t>20</w:t>
        </w:r>
      </w:p>
      <w:p w14:paraId="2D517F5E" w14:textId="2945388F" w:rsidR="00513CEA" w:rsidRPr="00F43AD5" w:rsidRDefault="00513CEA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47E8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F85A" w14:textId="77777777" w:rsidR="000D7A02" w:rsidRDefault="000D7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EAF8" w14:textId="77777777" w:rsidR="00025D49" w:rsidRDefault="00025D49" w:rsidP="00F43AD5">
      <w:pPr>
        <w:spacing w:after="0" w:line="240" w:lineRule="auto"/>
      </w:pPr>
      <w:r>
        <w:separator/>
      </w:r>
    </w:p>
  </w:footnote>
  <w:footnote w:type="continuationSeparator" w:id="0">
    <w:p w14:paraId="0972E56C" w14:textId="77777777" w:rsidR="00025D49" w:rsidRDefault="00025D4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52C5" w14:textId="2604B1B5" w:rsidR="000D7A02" w:rsidRDefault="000D7A02">
    <w:pPr>
      <w:pStyle w:val="Header"/>
    </w:pPr>
    <w:r>
      <w:rPr>
        <w:noProof/>
      </w:rPr>
      <w:pict w14:anchorId="06F2A7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19" o:spid="_x0000_s614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7A598D68" w:rsidR="00513CEA" w:rsidRDefault="000D7A02" w:rsidP="00F43AD5">
    <w:pPr>
      <w:pStyle w:val="Header"/>
      <w:jc w:val="right"/>
    </w:pPr>
    <w:r>
      <w:rPr>
        <w:noProof/>
      </w:rPr>
      <w:pict w14:anchorId="0C56D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20" o:spid="_x0000_s6147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513CEA">
      <w:rPr>
        <w:noProof/>
        <w:lang w:val="en-US"/>
      </w:rPr>
      <w:drawing>
        <wp:inline distT="0" distB="0" distL="0" distR="0" wp14:anchorId="32D08995" wp14:editId="053AF405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FF55" w14:textId="43291E53" w:rsidR="000D7A02" w:rsidRDefault="000D7A02">
    <w:pPr>
      <w:pStyle w:val="Header"/>
    </w:pPr>
    <w:r>
      <w:rPr>
        <w:noProof/>
      </w:rPr>
      <w:pict w14:anchorId="7AE87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18" o:spid="_x0000_s614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F26E" w14:textId="4AC5F08A" w:rsidR="000D7A02" w:rsidRDefault="000D7A02">
    <w:pPr>
      <w:pStyle w:val="Header"/>
    </w:pPr>
    <w:r>
      <w:rPr>
        <w:noProof/>
      </w:rPr>
      <w:pict w14:anchorId="19EA40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22" o:spid="_x0000_s614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9FB4" w14:textId="5D4B8C71" w:rsidR="00513CEA" w:rsidRDefault="000D7A02" w:rsidP="00F43AD5">
    <w:pPr>
      <w:pStyle w:val="Header"/>
      <w:jc w:val="right"/>
    </w:pPr>
    <w:r>
      <w:rPr>
        <w:noProof/>
      </w:rPr>
      <w:pict w14:anchorId="3EE47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23" o:spid="_x0000_s6150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4020" w14:textId="756891F3" w:rsidR="000D7A02" w:rsidRDefault="000D7A02">
    <w:pPr>
      <w:pStyle w:val="Header"/>
    </w:pPr>
    <w:r>
      <w:rPr>
        <w:noProof/>
      </w:rPr>
      <w:pict w14:anchorId="535EC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2221" o:spid="_x0000_s614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5BBB"/>
    <w:multiLevelType w:val="hybridMultilevel"/>
    <w:tmpl w:val="F7A4F3D6"/>
    <w:lvl w:ilvl="0" w:tplc="CA5A6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9AF"/>
    <w:multiLevelType w:val="hybridMultilevel"/>
    <w:tmpl w:val="3E7EE57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32784"/>
    <w:multiLevelType w:val="multilevel"/>
    <w:tmpl w:val="38B6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D138A"/>
    <w:multiLevelType w:val="hybridMultilevel"/>
    <w:tmpl w:val="BF9AFBBC"/>
    <w:lvl w:ilvl="0" w:tplc="DC70417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AAF"/>
    <w:multiLevelType w:val="hybridMultilevel"/>
    <w:tmpl w:val="C77C570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0E7FA9"/>
    <w:multiLevelType w:val="hybridMultilevel"/>
    <w:tmpl w:val="0552545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00BBA"/>
    <w:multiLevelType w:val="hybridMultilevel"/>
    <w:tmpl w:val="399685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F74"/>
    <w:rsid w:val="00025D49"/>
    <w:rsid w:val="00032B88"/>
    <w:rsid w:val="00037E52"/>
    <w:rsid w:val="00046DF5"/>
    <w:rsid w:val="000507DA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0A43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D7A02"/>
    <w:rsid w:val="000E5A54"/>
    <w:rsid w:val="000E63D3"/>
    <w:rsid w:val="000E67CF"/>
    <w:rsid w:val="000E67E7"/>
    <w:rsid w:val="000E7FFE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45B0"/>
    <w:rsid w:val="00177CA1"/>
    <w:rsid w:val="00181EDA"/>
    <w:rsid w:val="00183823"/>
    <w:rsid w:val="00183942"/>
    <w:rsid w:val="001915F6"/>
    <w:rsid w:val="001A009E"/>
    <w:rsid w:val="001A1287"/>
    <w:rsid w:val="001A3859"/>
    <w:rsid w:val="001A3C9D"/>
    <w:rsid w:val="001A43F8"/>
    <w:rsid w:val="001A4790"/>
    <w:rsid w:val="001B79E5"/>
    <w:rsid w:val="001C1329"/>
    <w:rsid w:val="001D50A1"/>
    <w:rsid w:val="001D56F0"/>
    <w:rsid w:val="001D663B"/>
    <w:rsid w:val="001D7B41"/>
    <w:rsid w:val="001E46DA"/>
    <w:rsid w:val="001E7D80"/>
    <w:rsid w:val="001F4B3C"/>
    <w:rsid w:val="001F4B6C"/>
    <w:rsid w:val="001F62CB"/>
    <w:rsid w:val="001F6ED0"/>
    <w:rsid w:val="001F72E6"/>
    <w:rsid w:val="001F73C5"/>
    <w:rsid w:val="002046A6"/>
    <w:rsid w:val="00204956"/>
    <w:rsid w:val="00213640"/>
    <w:rsid w:val="00214F63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6E0D"/>
    <w:rsid w:val="0029651B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479E"/>
    <w:rsid w:val="00347192"/>
    <w:rsid w:val="0034744C"/>
    <w:rsid w:val="00351FE0"/>
    <w:rsid w:val="00352615"/>
    <w:rsid w:val="0035412B"/>
    <w:rsid w:val="003567A8"/>
    <w:rsid w:val="00362895"/>
    <w:rsid w:val="00370DBF"/>
    <w:rsid w:val="0038131C"/>
    <w:rsid w:val="00386093"/>
    <w:rsid w:val="003904A4"/>
    <w:rsid w:val="00390E26"/>
    <w:rsid w:val="00391841"/>
    <w:rsid w:val="00391B6D"/>
    <w:rsid w:val="00394922"/>
    <w:rsid w:val="003A0E32"/>
    <w:rsid w:val="003A2B94"/>
    <w:rsid w:val="003B15F7"/>
    <w:rsid w:val="003B387D"/>
    <w:rsid w:val="003C0D58"/>
    <w:rsid w:val="003D4FA3"/>
    <w:rsid w:val="003E0807"/>
    <w:rsid w:val="003E3C49"/>
    <w:rsid w:val="003E51FB"/>
    <w:rsid w:val="003E6B39"/>
    <w:rsid w:val="003F07E1"/>
    <w:rsid w:val="004030BC"/>
    <w:rsid w:val="00403F7D"/>
    <w:rsid w:val="00405BFF"/>
    <w:rsid w:val="00406785"/>
    <w:rsid w:val="004079B4"/>
    <w:rsid w:val="00417A56"/>
    <w:rsid w:val="00420589"/>
    <w:rsid w:val="00420957"/>
    <w:rsid w:val="00422A10"/>
    <w:rsid w:val="004233AA"/>
    <w:rsid w:val="00426820"/>
    <w:rsid w:val="00430179"/>
    <w:rsid w:val="004414B5"/>
    <w:rsid w:val="00444482"/>
    <w:rsid w:val="00444B42"/>
    <w:rsid w:val="00445E44"/>
    <w:rsid w:val="004509E2"/>
    <w:rsid w:val="004515EE"/>
    <w:rsid w:val="004529F0"/>
    <w:rsid w:val="004563CB"/>
    <w:rsid w:val="00460A03"/>
    <w:rsid w:val="004628A5"/>
    <w:rsid w:val="00472A11"/>
    <w:rsid w:val="00472AAD"/>
    <w:rsid w:val="00474E33"/>
    <w:rsid w:val="00476803"/>
    <w:rsid w:val="00480979"/>
    <w:rsid w:val="0048167F"/>
    <w:rsid w:val="00485BFD"/>
    <w:rsid w:val="004867A2"/>
    <w:rsid w:val="004873F2"/>
    <w:rsid w:val="00487C73"/>
    <w:rsid w:val="00490D4C"/>
    <w:rsid w:val="00493A35"/>
    <w:rsid w:val="0049527A"/>
    <w:rsid w:val="004966BF"/>
    <w:rsid w:val="00497984"/>
    <w:rsid w:val="004A5088"/>
    <w:rsid w:val="004B21CD"/>
    <w:rsid w:val="004C1E3F"/>
    <w:rsid w:val="004C23F4"/>
    <w:rsid w:val="004C3475"/>
    <w:rsid w:val="004C58B6"/>
    <w:rsid w:val="004D16A3"/>
    <w:rsid w:val="004D4AA1"/>
    <w:rsid w:val="004D6D68"/>
    <w:rsid w:val="004E5EDD"/>
    <w:rsid w:val="004F390C"/>
    <w:rsid w:val="004F448A"/>
    <w:rsid w:val="004F493D"/>
    <w:rsid w:val="004F65E8"/>
    <w:rsid w:val="0050005E"/>
    <w:rsid w:val="00502B88"/>
    <w:rsid w:val="00512AD8"/>
    <w:rsid w:val="00513CEA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C7F79"/>
    <w:rsid w:val="005D3193"/>
    <w:rsid w:val="005D4A6E"/>
    <w:rsid w:val="005E6979"/>
    <w:rsid w:val="005E75CB"/>
    <w:rsid w:val="005F203B"/>
    <w:rsid w:val="005F2CBE"/>
    <w:rsid w:val="006013C1"/>
    <w:rsid w:val="0060669E"/>
    <w:rsid w:val="00610F2E"/>
    <w:rsid w:val="00611399"/>
    <w:rsid w:val="00624C4E"/>
    <w:rsid w:val="00625200"/>
    <w:rsid w:val="00636075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3B1D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3D53"/>
    <w:rsid w:val="007365D1"/>
    <w:rsid w:val="00740E0E"/>
    <w:rsid w:val="00743466"/>
    <w:rsid w:val="00750212"/>
    <w:rsid w:val="00754779"/>
    <w:rsid w:val="0075716D"/>
    <w:rsid w:val="0075753E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9FA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1F8"/>
    <w:rsid w:val="00871CD5"/>
    <w:rsid w:val="008745A2"/>
    <w:rsid w:val="008768A8"/>
    <w:rsid w:val="0088798F"/>
    <w:rsid w:val="00887E4B"/>
    <w:rsid w:val="008915C8"/>
    <w:rsid w:val="00897771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29F0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F57"/>
    <w:rsid w:val="00984920"/>
    <w:rsid w:val="00992783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5B7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59CA"/>
    <w:rsid w:val="00A84504"/>
    <w:rsid w:val="00A8672F"/>
    <w:rsid w:val="00A91AE0"/>
    <w:rsid w:val="00A93057"/>
    <w:rsid w:val="00A968B0"/>
    <w:rsid w:val="00AB2672"/>
    <w:rsid w:val="00AB2817"/>
    <w:rsid w:val="00AB43C4"/>
    <w:rsid w:val="00AB79F9"/>
    <w:rsid w:val="00AC1F62"/>
    <w:rsid w:val="00AC32E7"/>
    <w:rsid w:val="00AC3A9F"/>
    <w:rsid w:val="00AC6D2F"/>
    <w:rsid w:val="00AD1CF7"/>
    <w:rsid w:val="00AE2745"/>
    <w:rsid w:val="00AE2F64"/>
    <w:rsid w:val="00AE65F0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47E84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3A51"/>
    <w:rsid w:val="00BB612A"/>
    <w:rsid w:val="00BC3686"/>
    <w:rsid w:val="00BD45D0"/>
    <w:rsid w:val="00BD499F"/>
    <w:rsid w:val="00BD56DE"/>
    <w:rsid w:val="00BF2406"/>
    <w:rsid w:val="00C06E43"/>
    <w:rsid w:val="00C16315"/>
    <w:rsid w:val="00C3091E"/>
    <w:rsid w:val="00C40FF1"/>
    <w:rsid w:val="00C419E2"/>
    <w:rsid w:val="00C467BA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5AEB"/>
    <w:rsid w:val="00CB1CB1"/>
    <w:rsid w:val="00CB6BC1"/>
    <w:rsid w:val="00CB6CB8"/>
    <w:rsid w:val="00CC1A68"/>
    <w:rsid w:val="00CC2123"/>
    <w:rsid w:val="00CC694B"/>
    <w:rsid w:val="00CD2BFD"/>
    <w:rsid w:val="00CE0B52"/>
    <w:rsid w:val="00CE5AD6"/>
    <w:rsid w:val="00CE617F"/>
    <w:rsid w:val="00CE78EF"/>
    <w:rsid w:val="00D048F7"/>
    <w:rsid w:val="00D0517E"/>
    <w:rsid w:val="00D140FC"/>
    <w:rsid w:val="00D21D8C"/>
    <w:rsid w:val="00D259F0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2188"/>
    <w:rsid w:val="00D94BAD"/>
    <w:rsid w:val="00D97989"/>
    <w:rsid w:val="00D97D8D"/>
    <w:rsid w:val="00DA352E"/>
    <w:rsid w:val="00DC7694"/>
    <w:rsid w:val="00DD1BF6"/>
    <w:rsid w:val="00DD2F9B"/>
    <w:rsid w:val="00DE2513"/>
    <w:rsid w:val="00DE26E8"/>
    <w:rsid w:val="00DE28EF"/>
    <w:rsid w:val="00DF6F36"/>
    <w:rsid w:val="00E0084C"/>
    <w:rsid w:val="00E025AB"/>
    <w:rsid w:val="00E02B23"/>
    <w:rsid w:val="00E06F40"/>
    <w:rsid w:val="00E07CE8"/>
    <w:rsid w:val="00E14ED5"/>
    <w:rsid w:val="00E26A07"/>
    <w:rsid w:val="00E32595"/>
    <w:rsid w:val="00E37CFD"/>
    <w:rsid w:val="00E41A26"/>
    <w:rsid w:val="00E46BCB"/>
    <w:rsid w:val="00E51CAF"/>
    <w:rsid w:val="00E53777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15EB"/>
    <w:rsid w:val="00F43AD5"/>
    <w:rsid w:val="00F4402E"/>
    <w:rsid w:val="00F4468E"/>
    <w:rsid w:val="00F56DD0"/>
    <w:rsid w:val="00F6491C"/>
    <w:rsid w:val="00F67BBB"/>
    <w:rsid w:val="00F87D92"/>
    <w:rsid w:val="00F90AA7"/>
    <w:rsid w:val="00F92498"/>
    <w:rsid w:val="00F93BA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1F75"/>
    <w:rsid w:val="00FE3560"/>
    <w:rsid w:val="00FE6A25"/>
    <w:rsid w:val="00FE7B8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3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E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5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7E5C9CA33BEA482CA83570DDB3F9C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2EAC-D5EF-4633-AC34-8D477B988400}"/>
      </w:docPartPr>
      <w:docPartBody>
        <w:p w:rsidR="009770EC" w:rsidRDefault="00755D91" w:rsidP="00755D91">
          <w:pPr>
            <w:pStyle w:val="7E5C9CA33BEA482CA83570DDB3F9C1D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D91"/>
    <w:rsid w:val="00755FBF"/>
    <w:rsid w:val="009770EC"/>
    <w:rsid w:val="00C24BC3"/>
    <w:rsid w:val="00CA72D3"/>
    <w:rsid w:val="00D21A9F"/>
    <w:rsid w:val="00D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D9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7E5C9CA33BEA482CA83570DDB3F9C1D1">
    <w:name w:val="7E5C9CA33BEA482CA83570DDB3F9C1D1"/>
    <w:rsid w:val="00755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f54d604-3e62-4e70-ba33-9e9084b96a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4B1DDB-E772-49F3-A610-A8F3EB989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780B2-7E5C-4ED1-884F-74D88B3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13</cp:revision>
  <cp:lastPrinted>2021-01-27T22:51:00Z</cp:lastPrinted>
  <dcterms:created xsi:type="dcterms:W3CDTF">2020-04-21T06:40:00Z</dcterms:created>
  <dcterms:modified xsi:type="dcterms:W3CDTF">2021-01-27T22:54:00Z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